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41153B26" w:rsidR="001D677A" w:rsidRPr="00F567E1" w:rsidRDefault="001D677A" w:rsidP="004434BB">
            <w:pPr>
              <w:pStyle w:val="ASymbol"/>
              <w:rPr>
                <w:lang w:val="es-ES_tradnl"/>
              </w:rPr>
            </w:pPr>
            <w:r w:rsidRPr="00F567E1">
              <w:rPr>
                <w:b/>
                <w:sz w:val="28"/>
                <w:lang w:val="es-ES_tradnl"/>
              </w:rPr>
              <w:t>UNEP</w:t>
            </w:r>
            <w:r w:rsidRPr="00F567E1">
              <w:rPr>
                <w:lang w:val="es-ES_tradnl"/>
              </w:rPr>
              <w:t>/MC/COP.6/25/Add.1</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77777777"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567E1">
              <w:rPr>
                <w:lang w:val="es-ES_tradnl"/>
              </w:rPr>
              <w:t xml:space="preserve"> </w:t>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1CF9C3C3" w14:textId="77777777" w:rsidR="00032118" w:rsidRPr="00F567E1" w:rsidRDefault="00032118" w:rsidP="00F16F39">
      <w:pPr>
        <w:pStyle w:val="NormalNonumber"/>
        <w:rPr>
          <w:lang w:val="es-ES_tradnl"/>
        </w:rPr>
      </w:pPr>
      <w:r w:rsidRPr="00F567E1">
        <w:rPr>
          <w:lang w:val="es-ES_tradnl"/>
        </w:rPr>
        <w:t>Las decisiones adoptadas por la Conferencia de las Partes en el Convenio de Minamata sobre el Mercurio en su sexta reunión figuran en el anexo a la presente adición.</w:t>
      </w:r>
    </w:p>
    <w:p w14:paraId="67E79553" w14:textId="77777777" w:rsidR="00312042" w:rsidRPr="00F567E1" w:rsidRDefault="00312042" w:rsidP="00312042">
      <w:pPr>
        <w:pStyle w:val="Normal-pool"/>
        <w:rPr>
          <w:lang w:val="es-ES_tradnl"/>
        </w:rPr>
      </w:pPr>
      <w:r w:rsidRPr="00F567E1">
        <w:rPr>
          <w:lang w:val="es-ES_tradnl"/>
        </w:rPr>
        <w:br w:type="page"/>
      </w:r>
    </w:p>
    <w:p w14:paraId="3A587050" w14:textId="77777777" w:rsidR="00312042" w:rsidRPr="00F567E1" w:rsidRDefault="00312042" w:rsidP="00312042">
      <w:pPr>
        <w:pStyle w:val="ZZAnxheader"/>
        <w:rPr>
          <w:lang w:val="es-ES_tradnl"/>
        </w:rPr>
      </w:pPr>
      <w:r w:rsidRPr="00F567E1">
        <w:rPr>
          <w:lang w:val="es-ES_tradnl"/>
        </w:rPr>
        <w:lastRenderedPageBreak/>
        <w:t>Anexo</w:t>
      </w:r>
    </w:p>
    <w:p w14:paraId="6DD97AC3" w14:textId="77777777" w:rsidR="00312042" w:rsidRPr="00F567E1" w:rsidRDefault="00312042" w:rsidP="005B0170">
      <w:pPr>
        <w:pStyle w:val="ZZAnxtitle"/>
        <w:spacing w:after="240"/>
        <w:rPr>
          <w:lang w:val="es-ES_tradnl"/>
        </w:rPr>
      </w:pPr>
      <w:r w:rsidRPr="00F567E1">
        <w:rPr>
          <w:lang w:val="es-ES_tradnl"/>
        </w:rPr>
        <w:t>Decisiones adoptadas por la Conferencia de las Partes en el Convenio de Minamata sobre el Mercurio en su sexta reunión</w:t>
      </w:r>
    </w:p>
    <w:sdt>
      <w:sdtPr>
        <w:rPr>
          <w:bCs w:val="0"/>
          <w:lang w:val="es-ES_tradnl"/>
        </w:rPr>
        <w:id w:val="1144399681"/>
        <w:docPartObj>
          <w:docPartGallery w:val="Table of Contents"/>
          <w:docPartUnique/>
        </w:docPartObj>
      </w:sdtPr>
      <w:sdtEndPr>
        <w:rPr>
          <w:b/>
          <w:noProof/>
        </w:rPr>
      </w:sdtEndPr>
      <w:sdtContent>
        <w:p w14:paraId="5EA19AE1" w14:textId="23402537" w:rsidR="00DA02C2" w:rsidRPr="00F567E1" w:rsidRDefault="002819FE" w:rsidP="00DA02C2">
          <w:pPr>
            <w:pStyle w:val="TOC1"/>
            <w:rPr>
              <w:rFonts w:asciiTheme="minorHAnsi" w:eastAsiaTheme="minorEastAsia" w:hAnsiTheme="minorHAnsi" w:cstheme="minorBidi"/>
              <w:noProof/>
              <w:kern w:val="2"/>
              <w:sz w:val="24"/>
              <w:szCs w:val="24"/>
              <w:lang w:val="es-ES_tradnl" w:eastAsia="es-ES"/>
              <w14:ligatures w14:val="standardContextual"/>
            </w:rPr>
          </w:pPr>
          <w:r w:rsidRPr="00F567E1">
            <w:rPr>
              <w:lang w:val="es-ES_tradnl"/>
            </w:rPr>
            <w:fldChar w:fldCharType="begin"/>
          </w:r>
          <w:r w:rsidRPr="00F567E1">
            <w:rPr>
              <w:lang w:val="es-ES_tradnl"/>
            </w:rPr>
            <w:instrText xml:space="preserve"> TOC \o "1-3" \h \z \u </w:instrText>
          </w:r>
          <w:r w:rsidRPr="00F567E1">
            <w:rPr>
              <w:lang w:val="es-ES_tradnl"/>
            </w:rPr>
            <w:fldChar w:fldCharType="separate"/>
          </w:r>
          <w:hyperlink w:anchor="_Toc223088506" w:history="1">
            <w:r w:rsidR="00DA02C2" w:rsidRPr="00F567E1">
              <w:rPr>
                <w:rStyle w:val="Hyperlink"/>
                <w:noProof/>
                <w:lang w:val="es-ES_tradnl"/>
              </w:rPr>
              <w:t>Decisión MC</w:t>
            </w:r>
            <w:r w:rsidR="00DA02C2" w:rsidRPr="00F567E1">
              <w:rPr>
                <w:rStyle w:val="Hyperlink"/>
                <w:noProof/>
                <w:lang w:val="es-ES_tradnl"/>
              </w:rPr>
              <w:noBreakHyphen/>
              <w:t>6/1: fuentes de suministro y comercio</w:t>
            </w:r>
            <w:r w:rsidR="00DA02C2" w:rsidRPr="00F567E1">
              <w:rPr>
                <w:noProof/>
                <w:webHidden/>
                <w:lang w:val="es-ES_tradnl"/>
              </w:rPr>
              <w:tab/>
            </w:r>
            <w:r w:rsidR="00DA02C2" w:rsidRPr="00F567E1">
              <w:rPr>
                <w:noProof/>
                <w:webHidden/>
                <w:lang w:val="es-ES_tradnl"/>
              </w:rPr>
              <w:fldChar w:fldCharType="begin"/>
            </w:r>
            <w:r w:rsidR="00DA02C2" w:rsidRPr="00F567E1">
              <w:rPr>
                <w:noProof/>
                <w:webHidden/>
                <w:lang w:val="es-ES_tradnl"/>
              </w:rPr>
              <w:instrText xml:space="preserve"> PAGEREF _Toc223088506 \h </w:instrText>
            </w:r>
            <w:r w:rsidR="00DA02C2" w:rsidRPr="00F567E1">
              <w:rPr>
                <w:noProof/>
                <w:webHidden/>
                <w:lang w:val="es-ES_tradnl"/>
              </w:rPr>
            </w:r>
            <w:r w:rsidR="00DA02C2" w:rsidRPr="00F567E1">
              <w:rPr>
                <w:noProof/>
                <w:webHidden/>
                <w:lang w:val="es-ES_tradnl"/>
              </w:rPr>
              <w:fldChar w:fldCharType="separate"/>
            </w:r>
            <w:r w:rsidR="0060672F" w:rsidRPr="00F567E1">
              <w:rPr>
                <w:noProof/>
                <w:webHidden/>
                <w:lang w:val="es-ES_tradnl"/>
              </w:rPr>
              <w:t>3</w:t>
            </w:r>
            <w:r w:rsidR="00DA02C2" w:rsidRPr="00F567E1">
              <w:rPr>
                <w:noProof/>
                <w:webHidden/>
                <w:lang w:val="es-ES_tradnl"/>
              </w:rPr>
              <w:fldChar w:fldCharType="end"/>
            </w:r>
          </w:hyperlink>
        </w:p>
        <w:p w14:paraId="78BF8453" w14:textId="6C11049F" w:rsidR="00DA02C2" w:rsidRPr="00F567E1" w:rsidRDefault="00DA02C2" w:rsidP="00DA02C2">
          <w:pPr>
            <w:pStyle w:val="TOC1"/>
            <w:rPr>
              <w:rFonts w:asciiTheme="minorHAnsi" w:eastAsiaTheme="minorEastAsia" w:hAnsiTheme="minorHAnsi" w:cstheme="minorBidi"/>
              <w:noProof/>
              <w:kern w:val="2"/>
              <w:sz w:val="24"/>
              <w:szCs w:val="24"/>
              <w:lang w:val="es-ES_tradnl" w:eastAsia="es-ES"/>
              <w14:ligatures w14:val="standardContextual"/>
            </w:rPr>
          </w:pPr>
          <w:hyperlink w:anchor="_Toc223088507" w:history="1">
            <w:r w:rsidRPr="00F567E1">
              <w:rPr>
                <w:rStyle w:val="Hyperlink"/>
                <w:noProof/>
                <w:lang w:val="es-ES_tradnl"/>
              </w:rPr>
              <w:t>Decisión MC</w:t>
            </w:r>
            <w:r w:rsidRPr="00F567E1">
              <w:rPr>
                <w:rStyle w:val="Hyperlink"/>
                <w:noProof/>
                <w:lang w:val="es-ES_tradnl"/>
              </w:rPr>
              <w:noBreakHyphen/>
              <w:t>6/2: promoción de la labor relacionada con las posibles restricciones al comercio de</w:t>
            </w:r>
            <w:r w:rsidR="00931420" w:rsidRPr="00F567E1">
              <w:rPr>
                <w:rStyle w:val="Hyperlink"/>
                <w:noProof/>
                <w:lang w:val="es-ES_tradnl"/>
              </w:rPr>
              <w:t> </w:t>
            </w:r>
            <w:r w:rsidRPr="00F567E1">
              <w:rPr>
                <w:rStyle w:val="Hyperlink"/>
                <w:noProof/>
                <w:lang w:val="es-ES_tradnl"/>
              </w:rPr>
              <w:t>compuestos de mercurio</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_Toc223088507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5</w:t>
            </w:r>
            <w:r w:rsidRPr="00F567E1">
              <w:rPr>
                <w:noProof/>
                <w:webHidden/>
                <w:lang w:val="es-ES_tradnl"/>
              </w:rPr>
              <w:fldChar w:fldCharType="end"/>
            </w:r>
          </w:hyperlink>
        </w:p>
        <w:p w14:paraId="66445524" w14:textId="53F56352" w:rsidR="00DA02C2" w:rsidRPr="00F567E1" w:rsidRDefault="00DA02C2" w:rsidP="00DA02C2">
          <w:pPr>
            <w:pStyle w:val="TOC1"/>
            <w:rPr>
              <w:rFonts w:asciiTheme="minorHAnsi" w:eastAsiaTheme="minorEastAsia" w:hAnsiTheme="minorHAnsi" w:cstheme="minorBidi"/>
              <w:noProof/>
              <w:kern w:val="2"/>
              <w:sz w:val="24"/>
              <w:szCs w:val="24"/>
              <w:lang w:val="es-ES_tradnl" w:eastAsia="es-ES"/>
              <w14:ligatures w14:val="standardContextual"/>
            </w:rPr>
          </w:pPr>
          <w:hyperlink w:anchor="_Toc223088508" w:history="1">
            <w:r w:rsidRPr="00F567E1">
              <w:rPr>
                <w:rStyle w:val="Hyperlink"/>
                <w:noProof/>
                <w:lang w:val="es-ES_tradnl"/>
              </w:rPr>
              <w:t>Decisión MC</w:t>
            </w:r>
            <w:r w:rsidRPr="00F567E1">
              <w:rPr>
                <w:rStyle w:val="Hyperlink"/>
                <w:noProof/>
                <w:lang w:val="es-ES_tradnl"/>
              </w:rPr>
              <w:noBreakHyphen/>
              <w:t>6/3: modificaciones del anexo A</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_Toc223088508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6</w:t>
            </w:r>
            <w:r w:rsidRPr="00F567E1">
              <w:rPr>
                <w:noProof/>
                <w:webHidden/>
                <w:lang w:val="es-ES_tradnl"/>
              </w:rPr>
              <w:fldChar w:fldCharType="end"/>
            </w:r>
          </w:hyperlink>
        </w:p>
        <w:p w14:paraId="668342FB" w14:textId="244B20DB" w:rsidR="00DA02C2" w:rsidRPr="00F567E1" w:rsidRDefault="00DA02C2" w:rsidP="00DA02C2">
          <w:pPr>
            <w:pStyle w:val="TOC1"/>
            <w:rPr>
              <w:rFonts w:asciiTheme="minorHAnsi" w:eastAsiaTheme="minorEastAsia" w:hAnsiTheme="minorHAnsi" w:cstheme="minorBidi"/>
              <w:noProof/>
              <w:kern w:val="2"/>
              <w:sz w:val="24"/>
              <w:szCs w:val="24"/>
              <w:lang w:val="es-ES_tradnl" w:eastAsia="es-ES"/>
              <w14:ligatures w14:val="standardContextual"/>
            </w:rPr>
          </w:pPr>
          <w:hyperlink w:anchor="_Toc223088509" w:history="1">
            <w:r w:rsidRPr="00F567E1">
              <w:rPr>
                <w:rStyle w:val="Hyperlink"/>
                <w:noProof/>
                <w:lang w:val="es-ES_tradnl"/>
              </w:rPr>
              <w:t>Decisión MC</w:t>
            </w:r>
            <w:r w:rsidRPr="00F567E1">
              <w:rPr>
                <w:rStyle w:val="Hyperlink"/>
                <w:noProof/>
                <w:lang w:val="es-ES_tradnl"/>
              </w:rPr>
              <w:noBreakHyphen/>
              <w:t>6/4: fomento de la labor relacionada con los cosméticos con mercurio añadido</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_Toc223088509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9</w:t>
            </w:r>
            <w:r w:rsidRPr="00F567E1">
              <w:rPr>
                <w:noProof/>
                <w:webHidden/>
                <w:lang w:val="es-ES_tradnl"/>
              </w:rPr>
              <w:fldChar w:fldCharType="end"/>
            </w:r>
          </w:hyperlink>
        </w:p>
        <w:p w14:paraId="54AD8F84" w14:textId="15C0101A" w:rsidR="00DA02C2" w:rsidRPr="00F567E1" w:rsidRDefault="00DA02C2" w:rsidP="00DA02C2">
          <w:pPr>
            <w:pStyle w:val="TOC1"/>
            <w:rPr>
              <w:rFonts w:asciiTheme="minorHAnsi" w:eastAsiaTheme="minorEastAsia" w:hAnsiTheme="minorHAnsi" w:cstheme="minorBidi"/>
              <w:noProof/>
              <w:kern w:val="2"/>
              <w:sz w:val="24"/>
              <w:szCs w:val="24"/>
              <w:lang w:val="es-ES_tradnl" w:eastAsia="es-ES"/>
              <w14:ligatures w14:val="standardContextual"/>
            </w:rPr>
          </w:pPr>
          <w:hyperlink w:anchor="_Toc223088510" w:history="1">
            <w:r w:rsidRPr="00F567E1">
              <w:rPr>
                <w:rStyle w:val="Hyperlink"/>
                <w:noProof/>
                <w:lang w:val="es-ES_tradnl"/>
              </w:rPr>
              <w:t>Decisión MC</w:t>
            </w:r>
            <w:r w:rsidRPr="00F567E1">
              <w:rPr>
                <w:rStyle w:val="Hyperlink"/>
                <w:noProof/>
                <w:lang w:val="es-ES_tradnl"/>
              </w:rPr>
              <w:noBreakHyphen/>
              <w:t>6/5: estudio de la viabilidad de alternativas sin mercurio para la fabricación de cloruro</w:t>
            </w:r>
            <w:r w:rsidR="00931420" w:rsidRPr="00F567E1">
              <w:rPr>
                <w:rStyle w:val="Hyperlink"/>
                <w:noProof/>
                <w:lang w:val="es-ES_tradnl"/>
              </w:rPr>
              <w:t> </w:t>
            </w:r>
            <w:r w:rsidRPr="00F567E1">
              <w:rPr>
                <w:rStyle w:val="Hyperlink"/>
                <w:noProof/>
                <w:lang w:val="es-ES_tradnl"/>
              </w:rPr>
              <w:t>de vinilo</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_Toc223088510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10</w:t>
            </w:r>
            <w:r w:rsidRPr="00F567E1">
              <w:rPr>
                <w:noProof/>
                <w:webHidden/>
                <w:lang w:val="es-ES_tradnl"/>
              </w:rPr>
              <w:fldChar w:fldCharType="end"/>
            </w:r>
          </w:hyperlink>
        </w:p>
        <w:p w14:paraId="2167B038" w14:textId="39B11163" w:rsidR="00DA02C2" w:rsidRPr="00F567E1" w:rsidRDefault="00DA02C2" w:rsidP="00DA02C2">
          <w:pPr>
            <w:pStyle w:val="TOC1"/>
            <w:rPr>
              <w:rFonts w:asciiTheme="minorHAnsi" w:eastAsiaTheme="minorEastAsia" w:hAnsiTheme="minorHAnsi" w:cstheme="minorBidi"/>
              <w:noProof/>
              <w:kern w:val="2"/>
              <w:sz w:val="24"/>
              <w:szCs w:val="24"/>
              <w:lang w:val="es-ES_tradnl" w:eastAsia="es-ES"/>
              <w14:ligatures w14:val="standardContextual"/>
            </w:rPr>
          </w:pPr>
          <w:hyperlink w:anchor="_Toc223088511" w:history="1">
            <w:r w:rsidRPr="00F567E1">
              <w:rPr>
                <w:rStyle w:val="Hyperlink"/>
                <w:noProof/>
                <w:lang w:val="es-ES_tradnl"/>
              </w:rPr>
              <w:t>Decisión MC</w:t>
            </w:r>
            <w:r w:rsidRPr="00F567E1">
              <w:rPr>
                <w:rStyle w:val="Hyperlink"/>
                <w:noProof/>
                <w:lang w:val="es-ES_tradnl"/>
              </w:rPr>
              <w:noBreakHyphen/>
              <w:t>6/6: calendario para el examen de las solicitudes de prórroga de las exenciones presentadas por las Partes</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_Toc223088511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11</w:t>
            </w:r>
            <w:r w:rsidRPr="00F567E1">
              <w:rPr>
                <w:noProof/>
                <w:webHidden/>
                <w:lang w:val="es-ES_tradnl"/>
              </w:rPr>
              <w:fldChar w:fldCharType="end"/>
            </w:r>
          </w:hyperlink>
        </w:p>
        <w:p w14:paraId="21E01216" w14:textId="415DC3D3" w:rsidR="00DA02C2" w:rsidRPr="00F567E1" w:rsidRDefault="00DA02C2" w:rsidP="00DA02C2">
          <w:pPr>
            <w:pStyle w:val="TOC1"/>
            <w:rPr>
              <w:rFonts w:asciiTheme="minorHAnsi" w:eastAsiaTheme="minorEastAsia" w:hAnsiTheme="minorHAnsi" w:cstheme="minorBidi"/>
              <w:noProof/>
              <w:kern w:val="2"/>
              <w:sz w:val="24"/>
              <w:szCs w:val="24"/>
              <w:lang w:val="es-ES_tradnl" w:eastAsia="es-ES"/>
              <w14:ligatures w14:val="standardContextual"/>
            </w:rPr>
          </w:pPr>
          <w:hyperlink w:anchor="_Toc223088512" w:history="1">
            <w:r w:rsidRPr="00F567E1">
              <w:rPr>
                <w:rStyle w:val="Hyperlink"/>
                <w:noProof/>
                <w:lang w:val="es-ES_tradnl"/>
              </w:rPr>
              <w:t>Decisión MC-6/7: prórrogas de las exenciones</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_Toc223088512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12</w:t>
            </w:r>
            <w:r w:rsidRPr="00F567E1">
              <w:rPr>
                <w:noProof/>
                <w:webHidden/>
                <w:lang w:val="es-ES_tradnl"/>
              </w:rPr>
              <w:fldChar w:fldCharType="end"/>
            </w:r>
          </w:hyperlink>
        </w:p>
        <w:p w14:paraId="2C22A33F" w14:textId="1AA13DFC" w:rsidR="00DA02C2" w:rsidRPr="00F567E1" w:rsidRDefault="00DA02C2" w:rsidP="00DA02C2">
          <w:pPr>
            <w:pStyle w:val="TOC1"/>
            <w:rPr>
              <w:rFonts w:asciiTheme="minorHAnsi" w:eastAsiaTheme="minorEastAsia" w:hAnsiTheme="minorHAnsi" w:cstheme="minorBidi"/>
              <w:noProof/>
              <w:kern w:val="2"/>
              <w:sz w:val="24"/>
              <w:szCs w:val="24"/>
              <w:lang w:val="es-ES_tradnl" w:eastAsia="es-ES"/>
              <w14:ligatures w14:val="standardContextual"/>
            </w:rPr>
          </w:pPr>
          <w:hyperlink w:anchor="_Toc223088513" w:history="1">
            <w:r w:rsidRPr="00F567E1">
              <w:rPr>
                <w:rStyle w:val="Hyperlink"/>
                <w:noProof/>
                <w:lang w:val="es-ES_tradnl"/>
              </w:rPr>
              <w:t>Decisión MC-6/8: extracción de oro artesanal y en pequeña escala: examen de la aplicación del artículo 7</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_Toc223088513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13</w:t>
            </w:r>
            <w:r w:rsidRPr="00F567E1">
              <w:rPr>
                <w:noProof/>
                <w:webHidden/>
                <w:lang w:val="es-ES_tradnl"/>
              </w:rPr>
              <w:fldChar w:fldCharType="end"/>
            </w:r>
          </w:hyperlink>
        </w:p>
        <w:p w14:paraId="47DD65C7" w14:textId="72C83428" w:rsidR="00DA02C2" w:rsidRPr="00F567E1" w:rsidRDefault="00DA02C2" w:rsidP="00931420">
          <w:pPr>
            <w:pStyle w:val="TOC1"/>
            <w:ind w:left="2835" w:hanging="1588"/>
            <w:rPr>
              <w:rFonts w:asciiTheme="minorHAnsi" w:eastAsiaTheme="minorEastAsia" w:hAnsiTheme="minorHAnsi" w:cstheme="minorBidi"/>
              <w:noProof/>
              <w:kern w:val="2"/>
              <w:sz w:val="24"/>
              <w:szCs w:val="24"/>
              <w:lang w:val="es-ES_tradnl" w:eastAsia="es-ES"/>
              <w14:ligatures w14:val="standardContextual"/>
            </w:rPr>
          </w:pPr>
          <w:hyperlink w:anchor="_Toc223088514" w:history="1">
            <w:r w:rsidRPr="00F567E1">
              <w:rPr>
                <w:rStyle w:val="Hyperlink"/>
                <w:noProof/>
                <w:lang w:val="es-ES_tradnl"/>
              </w:rPr>
              <w:t>Decisión MC</w:t>
            </w:r>
            <w:r w:rsidRPr="00F567E1">
              <w:rPr>
                <w:rStyle w:val="Hyperlink"/>
                <w:noProof/>
                <w:lang w:val="es-ES_tradnl"/>
              </w:rPr>
              <w:noBreakHyphen/>
              <w:t>6/9: fomento de la labor relacionada con los desechos de mercurio</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_Toc223088514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15</w:t>
            </w:r>
            <w:r w:rsidRPr="00F567E1">
              <w:rPr>
                <w:noProof/>
                <w:webHidden/>
                <w:lang w:val="es-ES_tradnl"/>
              </w:rPr>
              <w:fldChar w:fldCharType="end"/>
            </w:r>
          </w:hyperlink>
        </w:p>
        <w:p w14:paraId="13965E7C" w14:textId="788C83C1" w:rsidR="00DA02C2" w:rsidRPr="00F567E1" w:rsidRDefault="00DA02C2" w:rsidP="00931420">
          <w:pPr>
            <w:pStyle w:val="TOC1"/>
            <w:ind w:left="2835" w:hanging="1588"/>
            <w:rPr>
              <w:rFonts w:asciiTheme="minorHAnsi" w:eastAsiaTheme="minorEastAsia" w:hAnsiTheme="minorHAnsi" w:cstheme="minorBidi"/>
              <w:noProof/>
              <w:kern w:val="2"/>
              <w:sz w:val="24"/>
              <w:szCs w:val="24"/>
              <w:lang w:val="es-ES_tradnl" w:eastAsia="es-ES"/>
              <w14:ligatures w14:val="standardContextual"/>
            </w:rPr>
          </w:pPr>
          <w:hyperlink w:anchor="_Toc223088515" w:history="1">
            <w:r w:rsidRPr="00F567E1">
              <w:rPr>
                <w:rStyle w:val="Hyperlink"/>
                <w:noProof/>
                <w:lang w:val="es-ES_tradnl"/>
              </w:rPr>
              <w:t>Decisión MC-6/10: mecanismo financiero</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_Toc223088515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16</w:t>
            </w:r>
            <w:r w:rsidRPr="00F567E1">
              <w:rPr>
                <w:noProof/>
                <w:webHidden/>
                <w:lang w:val="es-ES_tradnl"/>
              </w:rPr>
              <w:fldChar w:fldCharType="end"/>
            </w:r>
          </w:hyperlink>
        </w:p>
        <w:p w14:paraId="0AB370B3" w14:textId="4F660EA1" w:rsidR="00DA02C2" w:rsidRPr="00F567E1" w:rsidRDefault="00DA02C2" w:rsidP="00DA02C2">
          <w:pPr>
            <w:pStyle w:val="TOC1"/>
            <w:rPr>
              <w:rFonts w:asciiTheme="minorHAnsi" w:eastAsiaTheme="minorEastAsia" w:hAnsiTheme="minorHAnsi" w:cstheme="minorBidi"/>
              <w:noProof/>
              <w:kern w:val="2"/>
              <w:sz w:val="24"/>
              <w:szCs w:val="24"/>
              <w:lang w:val="es-ES_tradnl" w:eastAsia="es-ES"/>
              <w14:ligatures w14:val="standardContextual"/>
            </w:rPr>
          </w:pPr>
          <w:hyperlink w:anchor="_Toc223088516" w:history="1">
            <w:r w:rsidRPr="00F567E1">
              <w:rPr>
                <w:rStyle w:val="Hyperlink"/>
                <w:noProof/>
                <w:lang w:val="es-ES_tradnl"/>
              </w:rPr>
              <w:t>Decisión MC</w:t>
            </w:r>
            <w:r w:rsidRPr="00F567E1">
              <w:rPr>
                <w:rStyle w:val="Hyperlink"/>
                <w:noProof/>
                <w:lang w:val="es-ES_tradnl"/>
              </w:rPr>
              <w:noBreakHyphen/>
              <w:t>6/11: tercer examen del mecanismo financiero</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_Toc223088516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18</w:t>
            </w:r>
            <w:r w:rsidRPr="00F567E1">
              <w:rPr>
                <w:noProof/>
                <w:webHidden/>
                <w:lang w:val="es-ES_tradnl"/>
              </w:rPr>
              <w:fldChar w:fldCharType="end"/>
            </w:r>
          </w:hyperlink>
        </w:p>
        <w:p w14:paraId="20F7389A" w14:textId="14356E0C" w:rsidR="00DA02C2" w:rsidRPr="00F567E1" w:rsidRDefault="00DA02C2" w:rsidP="00931420">
          <w:pPr>
            <w:pStyle w:val="TOC1"/>
            <w:ind w:left="2835" w:hanging="1588"/>
            <w:rPr>
              <w:rFonts w:asciiTheme="minorHAnsi" w:eastAsiaTheme="minorEastAsia" w:hAnsiTheme="minorHAnsi" w:cstheme="minorBidi"/>
              <w:noProof/>
              <w:kern w:val="2"/>
              <w:sz w:val="24"/>
              <w:szCs w:val="24"/>
              <w:lang w:val="es-ES_tradnl" w:eastAsia="es-ES"/>
              <w14:ligatures w14:val="standardContextual"/>
            </w:rPr>
          </w:pPr>
          <w:hyperlink w:anchor="_Toc223088517" w:history="1">
            <w:r w:rsidRPr="00F567E1">
              <w:rPr>
                <w:rStyle w:val="Hyperlink"/>
                <w:noProof/>
                <w:lang w:val="es-ES_tradnl"/>
              </w:rPr>
              <w:t>Decisión MC</w:t>
            </w:r>
            <w:r w:rsidRPr="00F567E1">
              <w:rPr>
                <w:rStyle w:val="Hyperlink"/>
                <w:noProof/>
                <w:lang w:val="es-ES_tradnl"/>
              </w:rPr>
              <w:noBreakHyphen/>
              <w:t>6/12: aplicación del artículo 14 del Convenio de Minamata sobre el Mercurio, relativo</w:t>
            </w:r>
            <w:r w:rsidR="00931420" w:rsidRPr="00F567E1">
              <w:rPr>
                <w:rStyle w:val="Hyperlink"/>
                <w:noProof/>
                <w:lang w:val="es-ES_tradnl"/>
              </w:rPr>
              <w:t> </w:t>
            </w:r>
            <w:r w:rsidRPr="00F567E1">
              <w:rPr>
                <w:rStyle w:val="Hyperlink"/>
                <w:noProof/>
                <w:lang w:val="es-ES_tradnl"/>
              </w:rPr>
              <w:t>a</w:t>
            </w:r>
            <w:r w:rsidR="00931420" w:rsidRPr="00F567E1">
              <w:rPr>
                <w:rStyle w:val="Hyperlink"/>
                <w:noProof/>
                <w:lang w:val="es-ES_tradnl"/>
              </w:rPr>
              <w:t> </w:t>
            </w:r>
            <w:r w:rsidRPr="00F567E1">
              <w:rPr>
                <w:rStyle w:val="Hyperlink"/>
                <w:noProof/>
                <w:lang w:val="es-ES_tradnl"/>
              </w:rPr>
              <w:t xml:space="preserve">la creación de capacidad, asistencia técnica y transferencia de </w:t>
            </w:r>
            <w:r w:rsidR="00931420" w:rsidRPr="00F567E1">
              <w:rPr>
                <w:rStyle w:val="Hyperlink"/>
                <w:noProof/>
                <w:lang w:val="es-ES_tradnl"/>
              </w:rPr>
              <w:br/>
            </w:r>
            <w:r w:rsidRPr="00F567E1">
              <w:rPr>
                <w:rStyle w:val="Hyperlink"/>
                <w:noProof/>
                <w:lang w:val="es-ES_tradnl"/>
              </w:rPr>
              <w:t>tecnología</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_Toc223088517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21</w:t>
            </w:r>
            <w:r w:rsidRPr="00F567E1">
              <w:rPr>
                <w:noProof/>
                <w:webHidden/>
                <w:lang w:val="es-ES_tradnl"/>
              </w:rPr>
              <w:fldChar w:fldCharType="end"/>
            </w:r>
          </w:hyperlink>
        </w:p>
        <w:p w14:paraId="474340EA" w14:textId="79463AF8" w:rsidR="00DA02C2" w:rsidRPr="00F567E1" w:rsidRDefault="00DA02C2" w:rsidP="00931420">
          <w:pPr>
            <w:pStyle w:val="TOC1"/>
            <w:ind w:left="2835" w:hanging="1588"/>
            <w:rPr>
              <w:rFonts w:asciiTheme="minorHAnsi" w:eastAsiaTheme="minorEastAsia" w:hAnsiTheme="minorHAnsi" w:cstheme="minorBidi"/>
              <w:noProof/>
              <w:kern w:val="2"/>
              <w:sz w:val="24"/>
              <w:szCs w:val="24"/>
              <w:lang w:val="es-ES_tradnl" w:eastAsia="es-ES"/>
              <w14:ligatures w14:val="standardContextual"/>
            </w:rPr>
          </w:pPr>
          <w:hyperlink w:anchor="_Toc223088518" w:history="1">
            <w:r w:rsidRPr="00F567E1">
              <w:rPr>
                <w:rStyle w:val="Hyperlink"/>
                <w:noProof/>
                <w:lang w:val="es-ES_tradnl"/>
              </w:rPr>
              <w:t>Decisión MC</w:t>
            </w:r>
            <w:r w:rsidRPr="00F567E1">
              <w:rPr>
                <w:rStyle w:val="Hyperlink"/>
                <w:noProof/>
                <w:lang w:val="es-ES_tradnl"/>
              </w:rPr>
              <w:noBreakHyphen/>
              <w:t>6/13: presentación de informes nacionales (artículo 21): segundos informes nacionales</w:t>
            </w:r>
            <w:r w:rsidR="00931420" w:rsidRPr="00F567E1">
              <w:rPr>
                <w:rStyle w:val="Hyperlink"/>
                <w:noProof/>
                <w:lang w:val="es-ES_tradnl"/>
              </w:rPr>
              <w:t> </w:t>
            </w:r>
            <w:r w:rsidRPr="00F567E1">
              <w:rPr>
                <w:rStyle w:val="Hyperlink"/>
                <w:noProof/>
                <w:lang w:val="es-ES_tradnl"/>
              </w:rPr>
              <w:t>breves</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_Toc223088518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23</w:t>
            </w:r>
            <w:r w:rsidRPr="00F567E1">
              <w:rPr>
                <w:noProof/>
                <w:webHidden/>
                <w:lang w:val="es-ES_tradnl"/>
              </w:rPr>
              <w:fldChar w:fldCharType="end"/>
            </w:r>
          </w:hyperlink>
        </w:p>
        <w:p w14:paraId="7A1E2A18" w14:textId="465A97BB" w:rsidR="00DA02C2" w:rsidRPr="00F567E1" w:rsidRDefault="00DA02C2" w:rsidP="00931420">
          <w:pPr>
            <w:pStyle w:val="TOC1"/>
            <w:ind w:left="2835" w:hanging="1588"/>
            <w:rPr>
              <w:rFonts w:asciiTheme="minorHAnsi" w:eastAsiaTheme="minorEastAsia" w:hAnsiTheme="minorHAnsi" w:cstheme="minorBidi"/>
              <w:noProof/>
              <w:kern w:val="2"/>
              <w:sz w:val="24"/>
              <w:szCs w:val="24"/>
              <w:lang w:val="es-ES_tradnl" w:eastAsia="es-ES"/>
              <w14:ligatures w14:val="standardContextual"/>
            </w:rPr>
          </w:pPr>
          <w:hyperlink w:anchor="_Toc223088519" w:history="1">
            <w:r w:rsidRPr="00F567E1">
              <w:rPr>
                <w:rStyle w:val="Hyperlink"/>
                <w:noProof/>
                <w:lang w:val="es-ES_tradnl"/>
              </w:rPr>
              <w:t>Decisión MC</w:t>
            </w:r>
            <w:r w:rsidRPr="00F567E1">
              <w:rPr>
                <w:rStyle w:val="Hyperlink"/>
                <w:noProof/>
                <w:lang w:val="es-ES_tradnl"/>
              </w:rPr>
              <w:noBreakHyphen/>
              <w:t>6/14: marcha de los trabajos de la primera evaluación de la eficacia del Convenio de</w:t>
            </w:r>
            <w:r w:rsidR="00931420" w:rsidRPr="00F567E1">
              <w:rPr>
                <w:rStyle w:val="Hyperlink"/>
                <w:noProof/>
                <w:lang w:val="es-ES_tradnl"/>
              </w:rPr>
              <w:t> </w:t>
            </w:r>
            <w:r w:rsidRPr="00F567E1">
              <w:rPr>
                <w:rStyle w:val="Hyperlink"/>
                <w:noProof/>
                <w:lang w:val="es-ES_tradnl"/>
              </w:rPr>
              <w:t>Minamata sobre el Mercurio</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_Toc223088519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25</w:t>
            </w:r>
            <w:r w:rsidRPr="00F567E1">
              <w:rPr>
                <w:noProof/>
                <w:webHidden/>
                <w:lang w:val="es-ES_tradnl"/>
              </w:rPr>
              <w:fldChar w:fldCharType="end"/>
            </w:r>
          </w:hyperlink>
        </w:p>
        <w:p w14:paraId="7241D9CB" w14:textId="536B1C13" w:rsidR="00DA02C2" w:rsidRPr="00F567E1" w:rsidRDefault="00DA02C2" w:rsidP="00931420">
          <w:pPr>
            <w:pStyle w:val="TOC1"/>
            <w:ind w:left="2835" w:hanging="1588"/>
            <w:rPr>
              <w:rFonts w:asciiTheme="minorHAnsi" w:eastAsiaTheme="minorEastAsia" w:hAnsiTheme="minorHAnsi" w:cstheme="minorBidi"/>
              <w:noProof/>
              <w:kern w:val="2"/>
              <w:sz w:val="24"/>
              <w:szCs w:val="24"/>
              <w:lang w:val="es-ES_tradnl" w:eastAsia="es-ES"/>
              <w14:ligatures w14:val="standardContextual"/>
            </w:rPr>
          </w:pPr>
          <w:hyperlink w:anchor="_Toc223088520" w:history="1">
            <w:r w:rsidRPr="00F567E1">
              <w:rPr>
                <w:rStyle w:val="Hyperlink"/>
                <w:noProof/>
                <w:lang w:val="es-ES_tradnl"/>
              </w:rPr>
              <w:t>Decisión MC</w:t>
            </w:r>
            <w:r w:rsidRPr="00F567E1">
              <w:rPr>
                <w:rStyle w:val="Hyperlink"/>
                <w:noProof/>
                <w:lang w:val="es-ES_tradnl"/>
              </w:rPr>
              <w:noBreakHyphen/>
              <w:t>6/15: fortalecimiento de la cooperación efectiva con los Pueblos Indígenas, así como</w:t>
            </w:r>
            <w:r w:rsidR="00931420" w:rsidRPr="00F567E1">
              <w:rPr>
                <w:rStyle w:val="Hyperlink"/>
                <w:noProof/>
                <w:lang w:val="es-ES_tradnl"/>
              </w:rPr>
              <w:t> </w:t>
            </w:r>
            <w:r w:rsidRPr="00F567E1">
              <w:rPr>
                <w:rStyle w:val="Hyperlink"/>
                <w:noProof/>
                <w:lang w:val="es-ES_tradnl"/>
              </w:rPr>
              <w:t>con las comunidades locales</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_Toc223088520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26</w:t>
            </w:r>
            <w:r w:rsidRPr="00F567E1">
              <w:rPr>
                <w:noProof/>
                <w:webHidden/>
                <w:lang w:val="es-ES_tradnl"/>
              </w:rPr>
              <w:fldChar w:fldCharType="end"/>
            </w:r>
          </w:hyperlink>
        </w:p>
        <w:p w14:paraId="634D4358" w14:textId="39B7E016" w:rsidR="00DA02C2" w:rsidRPr="00F567E1" w:rsidRDefault="00DA02C2" w:rsidP="00DA02C2">
          <w:pPr>
            <w:pStyle w:val="TOC1"/>
            <w:rPr>
              <w:rFonts w:asciiTheme="minorHAnsi" w:eastAsiaTheme="minorEastAsia" w:hAnsiTheme="minorHAnsi" w:cstheme="minorBidi"/>
              <w:noProof/>
              <w:kern w:val="2"/>
              <w:sz w:val="24"/>
              <w:szCs w:val="24"/>
              <w:lang w:val="es-ES_tradnl" w:eastAsia="es-ES"/>
              <w14:ligatures w14:val="standardContextual"/>
            </w:rPr>
          </w:pPr>
          <w:hyperlink w:anchor="_Toc223088521" w:history="1">
            <w:r w:rsidRPr="00F567E1">
              <w:rPr>
                <w:rStyle w:val="Hyperlink"/>
                <w:noProof/>
                <w:lang w:val="es-ES_tradnl"/>
              </w:rPr>
              <w:t>Decisión MC</w:t>
            </w:r>
            <w:r w:rsidRPr="00F567E1">
              <w:rPr>
                <w:rStyle w:val="Hyperlink"/>
                <w:noProof/>
                <w:lang w:val="es-ES_tradnl"/>
              </w:rPr>
              <w:noBreakHyphen/>
              <w:t>6/16: formas de abordar problemas de salud de las mujeres y los niños</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_Toc223088521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27</w:t>
            </w:r>
            <w:r w:rsidRPr="00F567E1">
              <w:rPr>
                <w:noProof/>
                <w:webHidden/>
                <w:lang w:val="es-ES_tradnl"/>
              </w:rPr>
              <w:fldChar w:fldCharType="end"/>
            </w:r>
          </w:hyperlink>
        </w:p>
        <w:p w14:paraId="261D77E3" w14:textId="05F6BD30" w:rsidR="00DA02C2" w:rsidRPr="00F567E1" w:rsidRDefault="00DA02C2" w:rsidP="00DA02C2">
          <w:pPr>
            <w:pStyle w:val="TOC1"/>
            <w:rPr>
              <w:rFonts w:asciiTheme="minorHAnsi" w:eastAsiaTheme="minorEastAsia" w:hAnsiTheme="minorHAnsi" w:cstheme="minorBidi"/>
              <w:noProof/>
              <w:kern w:val="2"/>
              <w:sz w:val="24"/>
              <w:szCs w:val="24"/>
              <w:lang w:val="es-ES_tradnl" w:eastAsia="es-ES"/>
              <w14:ligatures w14:val="standardContextual"/>
            </w:rPr>
          </w:pPr>
          <w:hyperlink w:anchor="_Toc223088522" w:history="1">
            <w:r w:rsidRPr="00F567E1">
              <w:rPr>
                <w:rStyle w:val="Hyperlink"/>
                <w:noProof/>
                <w:lang w:val="es-ES_tradnl"/>
              </w:rPr>
              <w:t>Decisión MC</w:t>
            </w:r>
            <w:r w:rsidRPr="00F567E1">
              <w:rPr>
                <w:rStyle w:val="Hyperlink"/>
                <w:noProof/>
                <w:lang w:val="es-ES_tradnl"/>
              </w:rPr>
              <w:noBreakHyphen/>
              <w:t>6/17: gestión del conocimiento y aplicación de la estrategia digital</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_Toc223088522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28</w:t>
            </w:r>
            <w:r w:rsidRPr="00F567E1">
              <w:rPr>
                <w:noProof/>
                <w:webHidden/>
                <w:lang w:val="es-ES_tradnl"/>
              </w:rPr>
              <w:fldChar w:fldCharType="end"/>
            </w:r>
          </w:hyperlink>
        </w:p>
        <w:p w14:paraId="538D0F0A" w14:textId="3DF89909" w:rsidR="00DA02C2" w:rsidRPr="00F567E1" w:rsidRDefault="00DA02C2" w:rsidP="00931420">
          <w:pPr>
            <w:pStyle w:val="TOC1"/>
            <w:ind w:left="2835" w:hanging="1588"/>
            <w:rPr>
              <w:rFonts w:asciiTheme="minorHAnsi" w:eastAsiaTheme="minorEastAsia" w:hAnsiTheme="minorHAnsi" w:cstheme="minorBidi"/>
              <w:noProof/>
              <w:kern w:val="2"/>
              <w:sz w:val="24"/>
              <w:szCs w:val="24"/>
              <w:lang w:val="es-ES_tradnl" w:eastAsia="es-ES"/>
              <w14:ligatures w14:val="standardContextual"/>
            </w:rPr>
          </w:pPr>
          <w:hyperlink w:anchor="_Toc223088523" w:history="1">
            <w:r w:rsidRPr="00F567E1">
              <w:rPr>
                <w:rStyle w:val="Hyperlink"/>
                <w:noProof/>
                <w:lang w:val="es-ES_tradnl"/>
              </w:rPr>
              <w:t>Decisión MC</w:t>
            </w:r>
            <w:r w:rsidRPr="00F567E1">
              <w:rPr>
                <w:rStyle w:val="Hyperlink"/>
                <w:noProof/>
                <w:lang w:val="es-ES_tradnl"/>
              </w:rPr>
              <w:noBreakHyphen/>
              <w:t>6/18: hoja de ruta para aumentar los beneficios secundarios derivados de la aplicación</w:t>
            </w:r>
            <w:r w:rsidR="00931420" w:rsidRPr="00F567E1">
              <w:rPr>
                <w:rStyle w:val="Hyperlink"/>
                <w:noProof/>
                <w:lang w:val="es-ES_tradnl"/>
              </w:rPr>
              <w:t> </w:t>
            </w:r>
            <w:r w:rsidRPr="00F567E1">
              <w:rPr>
                <w:rStyle w:val="Hyperlink"/>
                <w:noProof/>
                <w:lang w:val="es-ES_tradnl"/>
              </w:rPr>
              <w:t>del Convenio de Minamata sobre el Mercurio y el Marco Mundial</w:t>
            </w:r>
            <w:r w:rsidR="00931420" w:rsidRPr="00F567E1">
              <w:rPr>
                <w:rStyle w:val="Hyperlink"/>
                <w:noProof/>
                <w:lang w:val="es-ES_tradnl"/>
              </w:rPr>
              <w:t> </w:t>
            </w:r>
            <w:r w:rsidRPr="00F567E1">
              <w:rPr>
                <w:rStyle w:val="Hyperlink"/>
                <w:noProof/>
                <w:lang w:val="es-ES_tradnl"/>
              </w:rPr>
              <w:t>de</w:t>
            </w:r>
            <w:r w:rsidR="00931420" w:rsidRPr="00F567E1">
              <w:rPr>
                <w:rStyle w:val="Hyperlink"/>
                <w:noProof/>
                <w:lang w:val="es-ES_tradnl"/>
              </w:rPr>
              <w:t> </w:t>
            </w:r>
            <w:r w:rsidRPr="00F567E1">
              <w:rPr>
                <w:rStyle w:val="Hyperlink"/>
                <w:noProof/>
                <w:lang w:val="es-ES_tradnl"/>
              </w:rPr>
              <w:t>Biodiversidad de Kunming</w:t>
            </w:r>
            <w:r w:rsidRPr="00F567E1">
              <w:rPr>
                <w:rStyle w:val="Hyperlink"/>
                <w:noProof/>
                <w:lang w:val="es-ES_tradnl"/>
              </w:rPr>
              <w:noBreakHyphen/>
              <w:t>Montreal</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_Toc223088523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29</w:t>
            </w:r>
            <w:r w:rsidRPr="00F567E1">
              <w:rPr>
                <w:noProof/>
                <w:webHidden/>
                <w:lang w:val="es-ES_tradnl"/>
              </w:rPr>
              <w:fldChar w:fldCharType="end"/>
            </w:r>
          </w:hyperlink>
        </w:p>
        <w:p w14:paraId="6586C8B9" w14:textId="6515B324" w:rsidR="00DA02C2" w:rsidRPr="00F567E1" w:rsidRDefault="00DA02C2" w:rsidP="00931420">
          <w:pPr>
            <w:pStyle w:val="TOC1"/>
            <w:ind w:left="2835" w:hanging="1588"/>
            <w:rPr>
              <w:rFonts w:asciiTheme="minorHAnsi" w:eastAsiaTheme="minorEastAsia" w:hAnsiTheme="minorHAnsi" w:cstheme="minorBidi"/>
              <w:noProof/>
              <w:kern w:val="2"/>
              <w:sz w:val="24"/>
              <w:szCs w:val="24"/>
              <w:lang w:val="es-ES_tradnl" w:eastAsia="es-ES"/>
              <w14:ligatures w14:val="standardContextual"/>
            </w:rPr>
          </w:pPr>
          <w:hyperlink w:anchor="_Toc223088524" w:history="1">
            <w:r w:rsidRPr="00F567E1">
              <w:rPr>
                <w:rStyle w:val="Hyperlink"/>
                <w:noProof/>
                <w:lang w:val="es-ES_tradnl"/>
              </w:rPr>
              <w:t>Decisión MC</w:t>
            </w:r>
            <w:r w:rsidRPr="00F567E1">
              <w:rPr>
                <w:rStyle w:val="Hyperlink"/>
                <w:noProof/>
                <w:lang w:val="es-ES_tradnl"/>
              </w:rPr>
              <w:noBreakHyphen/>
              <w:t>6/19: cooperación y coordinación internacionales</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_Toc223088524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30</w:t>
            </w:r>
            <w:r w:rsidRPr="00F567E1">
              <w:rPr>
                <w:noProof/>
                <w:webHidden/>
                <w:lang w:val="es-ES_tradnl"/>
              </w:rPr>
              <w:fldChar w:fldCharType="end"/>
            </w:r>
          </w:hyperlink>
        </w:p>
        <w:p w14:paraId="7ECF5617" w14:textId="18E9DAE1" w:rsidR="00DA02C2" w:rsidRPr="00F567E1" w:rsidRDefault="00DA02C2" w:rsidP="00931420">
          <w:pPr>
            <w:pStyle w:val="TOC1"/>
            <w:ind w:left="2835" w:hanging="1588"/>
            <w:rPr>
              <w:rFonts w:asciiTheme="minorHAnsi" w:eastAsiaTheme="minorEastAsia" w:hAnsiTheme="minorHAnsi" w:cstheme="minorBidi"/>
              <w:noProof/>
              <w:kern w:val="2"/>
              <w:sz w:val="24"/>
              <w:szCs w:val="24"/>
              <w:lang w:val="es-ES_tradnl" w:eastAsia="es-ES"/>
              <w14:ligatures w14:val="standardContextual"/>
            </w:rPr>
          </w:pPr>
          <w:hyperlink w:anchor="_Toc223088525" w:history="1">
            <w:r w:rsidRPr="00F567E1">
              <w:rPr>
                <w:rStyle w:val="Hyperlink"/>
                <w:noProof/>
                <w:lang w:val="es-ES_tradnl"/>
              </w:rPr>
              <w:t>Decisión MC</w:t>
            </w:r>
            <w:r w:rsidRPr="00F567E1">
              <w:rPr>
                <w:rStyle w:val="Hyperlink"/>
                <w:noProof/>
                <w:lang w:val="es-ES_tradnl"/>
              </w:rPr>
              <w:noBreakHyphen/>
              <w:t>6/20: cooperación y coordinación entre la Secretaría del Convenio de Minamata sobre</w:t>
            </w:r>
            <w:r w:rsidR="00931420" w:rsidRPr="00F567E1">
              <w:rPr>
                <w:rStyle w:val="Hyperlink"/>
                <w:noProof/>
                <w:lang w:val="es-ES_tradnl"/>
              </w:rPr>
              <w:t> </w:t>
            </w:r>
            <w:r w:rsidRPr="00F567E1">
              <w:rPr>
                <w:rStyle w:val="Hyperlink"/>
                <w:noProof/>
                <w:lang w:val="es-ES_tradnl"/>
              </w:rPr>
              <w:t>el</w:t>
            </w:r>
            <w:r w:rsidR="00931420" w:rsidRPr="00F567E1">
              <w:rPr>
                <w:rStyle w:val="Hyperlink"/>
                <w:noProof/>
                <w:lang w:val="es-ES_tradnl"/>
              </w:rPr>
              <w:t> </w:t>
            </w:r>
            <w:r w:rsidRPr="00F567E1">
              <w:rPr>
                <w:rStyle w:val="Hyperlink"/>
                <w:noProof/>
                <w:lang w:val="es-ES_tradnl"/>
              </w:rPr>
              <w:t>Mercurio y la Secretaría de los Convenios de Basilea, Estocolmo y</w:t>
            </w:r>
            <w:r w:rsidR="00931420" w:rsidRPr="00F567E1">
              <w:rPr>
                <w:rStyle w:val="Hyperlink"/>
                <w:noProof/>
                <w:lang w:val="es-ES_tradnl"/>
              </w:rPr>
              <w:t> </w:t>
            </w:r>
            <w:r w:rsidRPr="00F567E1">
              <w:rPr>
                <w:rStyle w:val="Hyperlink"/>
                <w:noProof/>
                <w:lang w:val="es-ES_tradnl"/>
              </w:rPr>
              <w:t>Rotterdam</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_Toc223088525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31</w:t>
            </w:r>
            <w:r w:rsidRPr="00F567E1">
              <w:rPr>
                <w:noProof/>
                <w:webHidden/>
                <w:lang w:val="es-ES_tradnl"/>
              </w:rPr>
              <w:fldChar w:fldCharType="end"/>
            </w:r>
          </w:hyperlink>
        </w:p>
        <w:p w14:paraId="7326BE57" w14:textId="3AF4B20F" w:rsidR="00DA02C2" w:rsidRPr="00F567E1" w:rsidRDefault="00DA02C2" w:rsidP="00931420">
          <w:pPr>
            <w:pStyle w:val="TOC1"/>
            <w:ind w:left="2835" w:hanging="1588"/>
            <w:rPr>
              <w:rFonts w:asciiTheme="minorHAnsi" w:eastAsiaTheme="minorEastAsia" w:hAnsiTheme="minorHAnsi" w:cstheme="minorBidi"/>
              <w:noProof/>
              <w:kern w:val="2"/>
              <w:sz w:val="24"/>
              <w:szCs w:val="24"/>
              <w:lang w:val="es-ES_tradnl" w:eastAsia="es-ES"/>
              <w14:ligatures w14:val="standardContextual"/>
            </w:rPr>
          </w:pPr>
          <w:hyperlink w:anchor="_Toc223088526" w:history="1">
            <w:r w:rsidRPr="00F567E1">
              <w:rPr>
                <w:rStyle w:val="Hyperlink"/>
                <w:noProof/>
                <w:lang w:val="es-ES_tradnl"/>
              </w:rPr>
              <w:t>Decisión MC-6/21: programa de trabajo y presupuesto para el bienio 2026-2027</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_Toc223088526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32</w:t>
            </w:r>
            <w:r w:rsidRPr="00F567E1">
              <w:rPr>
                <w:noProof/>
                <w:webHidden/>
                <w:lang w:val="es-ES_tradnl"/>
              </w:rPr>
              <w:fldChar w:fldCharType="end"/>
            </w:r>
          </w:hyperlink>
        </w:p>
        <w:p w14:paraId="306117E7" w14:textId="6A024003" w:rsidR="00DA02C2" w:rsidRPr="00F567E1" w:rsidRDefault="00DA02C2" w:rsidP="00931420">
          <w:pPr>
            <w:pStyle w:val="TOC1"/>
            <w:ind w:left="2835" w:hanging="1588"/>
            <w:rPr>
              <w:rFonts w:asciiTheme="minorHAnsi" w:eastAsiaTheme="minorEastAsia" w:hAnsiTheme="minorHAnsi" w:cstheme="minorBidi"/>
              <w:noProof/>
              <w:kern w:val="2"/>
              <w:sz w:val="24"/>
              <w:szCs w:val="24"/>
              <w:lang w:val="es-ES_tradnl" w:eastAsia="es-ES"/>
              <w14:ligatures w14:val="standardContextual"/>
            </w:rPr>
          </w:pPr>
          <w:hyperlink w:anchor="_Toc223088527" w:history="1">
            <w:r w:rsidRPr="00F567E1">
              <w:rPr>
                <w:rStyle w:val="Hyperlink"/>
                <w:noProof/>
                <w:lang w:val="es-ES_tradnl"/>
              </w:rPr>
              <w:t>Decisión MC</w:t>
            </w:r>
            <w:r w:rsidRPr="00F567E1">
              <w:rPr>
                <w:rStyle w:val="Hyperlink"/>
                <w:noProof/>
                <w:lang w:val="es-ES_tradnl"/>
              </w:rPr>
              <w:noBreakHyphen/>
              <w:t>6/22: lugar y fecha de celebración de la séptima reunión de la Conferencia de las Partes</w:t>
            </w:r>
            <w:r w:rsidR="00931420" w:rsidRPr="00F567E1">
              <w:rPr>
                <w:rStyle w:val="Hyperlink"/>
                <w:noProof/>
                <w:lang w:val="es-ES_tradnl"/>
              </w:rPr>
              <w:t> </w:t>
            </w:r>
            <w:r w:rsidRPr="00F567E1">
              <w:rPr>
                <w:rStyle w:val="Hyperlink"/>
                <w:noProof/>
                <w:lang w:val="es-ES_tradnl"/>
              </w:rPr>
              <w:t>en el Convenio de Minamata sobre el Mercurio</w:t>
            </w:r>
            <w:r w:rsidRPr="00F567E1">
              <w:rPr>
                <w:noProof/>
                <w:webHidden/>
                <w:lang w:val="es-ES_tradnl"/>
              </w:rPr>
              <w:tab/>
            </w:r>
            <w:r w:rsidRPr="00F567E1">
              <w:rPr>
                <w:noProof/>
                <w:webHidden/>
                <w:lang w:val="es-ES_tradnl"/>
              </w:rPr>
              <w:fldChar w:fldCharType="begin"/>
            </w:r>
            <w:r w:rsidRPr="00F567E1">
              <w:rPr>
                <w:noProof/>
                <w:webHidden/>
                <w:lang w:val="es-ES_tradnl"/>
              </w:rPr>
              <w:instrText xml:space="preserve"> PAGEREF _Toc223088527 \h </w:instrText>
            </w:r>
            <w:r w:rsidRPr="00F567E1">
              <w:rPr>
                <w:noProof/>
                <w:webHidden/>
                <w:lang w:val="es-ES_tradnl"/>
              </w:rPr>
            </w:r>
            <w:r w:rsidRPr="00F567E1">
              <w:rPr>
                <w:noProof/>
                <w:webHidden/>
                <w:lang w:val="es-ES_tradnl"/>
              </w:rPr>
              <w:fldChar w:fldCharType="separate"/>
            </w:r>
            <w:r w:rsidR="0060672F" w:rsidRPr="00F567E1">
              <w:rPr>
                <w:noProof/>
                <w:webHidden/>
                <w:lang w:val="es-ES_tradnl"/>
              </w:rPr>
              <w:t>44</w:t>
            </w:r>
            <w:r w:rsidRPr="00F567E1">
              <w:rPr>
                <w:noProof/>
                <w:webHidden/>
                <w:lang w:val="es-ES_tradnl"/>
              </w:rPr>
              <w:fldChar w:fldCharType="end"/>
            </w:r>
          </w:hyperlink>
        </w:p>
        <w:p w14:paraId="2BD5177E" w14:textId="17DEBBFB" w:rsidR="002819FE" w:rsidRPr="00F567E1" w:rsidRDefault="002819FE">
          <w:pPr>
            <w:rPr>
              <w:lang w:val="es-ES_tradnl"/>
            </w:rPr>
          </w:pPr>
          <w:r w:rsidRPr="00F567E1">
            <w:rPr>
              <w:b/>
              <w:bCs/>
              <w:noProof/>
              <w:lang w:val="es-ES_tradnl"/>
            </w:rPr>
            <w:fldChar w:fldCharType="end"/>
          </w:r>
        </w:p>
      </w:sdtContent>
    </w:sdt>
    <w:p w14:paraId="77E0837B" w14:textId="5E7EB793" w:rsidR="00312042" w:rsidRPr="00F567E1" w:rsidRDefault="00312042" w:rsidP="00FC727F">
      <w:pPr>
        <w:pStyle w:val="Normal-pool"/>
        <w:rPr>
          <w:rFonts w:asciiTheme="majorBidi" w:hAnsiTheme="majorBidi" w:cstheme="majorBidi"/>
          <w:lang w:val="es-ES_tradnl"/>
        </w:rPr>
      </w:pPr>
      <w:r w:rsidRPr="00F567E1">
        <w:rPr>
          <w:rFonts w:asciiTheme="majorBidi" w:hAnsiTheme="majorBidi" w:cstheme="majorBidi"/>
          <w:lang w:val="es-ES_tradnl"/>
        </w:rPr>
        <w:br w:type="page"/>
      </w:r>
    </w:p>
    <w:p w14:paraId="7B210F79" w14:textId="77777777" w:rsidR="00312042" w:rsidRPr="00F567E1" w:rsidRDefault="00312042" w:rsidP="004A0CEB">
      <w:pPr>
        <w:pStyle w:val="CH2"/>
        <w:outlineLvl w:val="0"/>
        <w:rPr>
          <w:lang w:val="es-ES_tradnl"/>
        </w:rPr>
      </w:pPr>
      <w:r w:rsidRPr="00F567E1">
        <w:rPr>
          <w:lang w:val="es-ES_tradnl"/>
        </w:rPr>
        <w:lastRenderedPageBreak/>
        <w:tab/>
      </w:r>
      <w:r w:rsidRPr="00F567E1">
        <w:rPr>
          <w:lang w:val="es-ES_tradnl"/>
        </w:rPr>
        <w:tab/>
      </w:r>
      <w:bookmarkStart w:id="0" w:name="_Toc222389366"/>
      <w:bookmarkStart w:id="1" w:name="_Toc222389496"/>
      <w:bookmarkStart w:id="2" w:name="_Toc223088506"/>
      <w:r w:rsidRPr="00F567E1">
        <w:rPr>
          <w:lang w:val="es-ES_tradnl"/>
        </w:rPr>
        <w:t>Decisión MC</w:t>
      </w:r>
      <w:r w:rsidRPr="00F567E1">
        <w:rPr>
          <w:lang w:val="es-ES_tradnl"/>
        </w:rPr>
        <w:noBreakHyphen/>
        <w:t>6/1: fuentes de suministro y comercio</w:t>
      </w:r>
      <w:bookmarkStart w:id="3" w:name="_Toc219712798"/>
      <w:bookmarkEnd w:id="0"/>
      <w:bookmarkEnd w:id="1"/>
      <w:bookmarkEnd w:id="2"/>
      <w:bookmarkEnd w:id="3"/>
    </w:p>
    <w:p w14:paraId="3E5B96A9" w14:textId="77777777" w:rsidR="00312042" w:rsidRPr="00F567E1"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lang w:val="es-ES_tradnl"/>
        </w:rPr>
      </w:pPr>
      <w:r w:rsidRPr="00F567E1">
        <w:rPr>
          <w:i/>
          <w:iCs/>
          <w:lang w:val="es-ES_tradnl"/>
        </w:rPr>
        <w:t>La Conferencia de las Partes,</w:t>
      </w:r>
    </w:p>
    <w:p w14:paraId="5AAF950E" w14:textId="2B9EDF8B" w:rsidR="00312042" w:rsidRPr="00F567E1"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Expresando su agradecimiento</w:t>
      </w:r>
      <w:r w:rsidRPr="00F567E1">
        <w:rPr>
          <w:lang w:val="es-ES_tradnl"/>
        </w:rPr>
        <w:t xml:space="preserve"> a las Partes por dar a conocer información sobre las experiencias y los problemas que se plantean en la aplicación del artículo 3 del Convenio de Minamata</w:t>
      </w:r>
      <w:r w:rsidR="001D677A" w:rsidRPr="00F567E1">
        <w:rPr>
          <w:lang w:val="es-ES_tradnl"/>
        </w:rPr>
        <w:t> </w:t>
      </w:r>
      <w:r w:rsidRPr="00F567E1">
        <w:rPr>
          <w:lang w:val="es-ES_tradnl"/>
        </w:rPr>
        <w:t>sobre el Mercurio, así como información sobre las actividades realizadas en relación con la</w:t>
      </w:r>
      <w:r w:rsidR="00931420" w:rsidRPr="00F567E1">
        <w:rPr>
          <w:lang w:val="es-ES_tradnl"/>
        </w:rPr>
        <w:t> </w:t>
      </w:r>
      <w:r w:rsidRPr="00F567E1">
        <w:rPr>
          <w:lang w:val="es-ES_tradnl"/>
        </w:rPr>
        <w:t>declaración de Bali sobre la lucha contra el comercio ilícito de mercurio en respuesta al párrafo 4 de</w:t>
      </w:r>
      <w:r w:rsidR="00931420" w:rsidRPr="00F567E1">
        <w:rPr>
          <w:lang w:val="es-ES_tradnl"/>
        </w:rPr>
        <w:t> </w:t>
      </w:r>
      <w:r w:rsidRPr="00F567E1">
        <w:rPr>
          <w:lang w:val="es-ES_tradnl"/>
        </w:rPr>
        <w:t>la decisión MC</w:t>
      </w:r>
      <w:r w:rsidRPr="00F567E1">
        <w:rPr>
          <w:lang w:val="es-ES_tradnl"/>
        </w:rPr>
        <w:noBreakHyphen/>
        <w:t>5/2,</w:t>
      </w:r>
      <w:bookmarkStart w:id="4" w:name="_Hlk216866538"/>
      <w:bookmarkEnd w:id="4"/>
    </w:p>
    <w:p w14:paraId="1CF614C0" w14:textId="60187436" w:rsidR="00312042" w:rsidRPr="00F567E1" w:rsidRDefault="00312042" w:rsidP="00312042">
      <w:pPr>
        <w:pStyle w:val="Normal-pool"/>
        <w:tabs>
          <w:tab w:val="clear" w:pos="1247"/>
          <w:tab w:val="clear" w:pos="1871"/>
          <w:tab w:val="clear" w:pos="2495"/>
          <w:tab w:val="clear" w:pos="3119"/>
          <w:tab w:val="clear" w:pos="3742"/>
          <w:tab w:val="clear" w:pos="4366"/>
          <w:tab w:val="clear" w:pos="4990"/>
        </w:tabs>
        <w:spacing w:after="120" w:line="259" w:lineRule="auto"/>
        <w:ind w:left="1247" w:firstLine="624"/>
        <w:rPr>
          <w:rFonts w:asciiTheme="majorBidi" w:hAnsiTheme="majorBidi" w:cstheme="majorBidi"/>
          <w:lang w:val="es-ES_tradnl"/>
        </w:rPr>
      </w:pPr>
      <w:r w:rsidRPr="00F567E1">
        <w:rPr>
          <w:i/>
          <w:iCs/>
          <w:lang w:val="es-ES_tradnl"/>
        </w:rPr>
        <w:t>Haciendo notar</w:t>
      </w:r>
      <w:r w:rsidRPr="00F567E1">
        <w:rPr>
          <w:lang w:val="es-ES_tradnl"/>
        </w:rPr>
        <w:t xml:space="preserve"> que las Partes plantearon la cuestión de la presencia de extracción primaria informal o ilícita en sus territorios y los casos de comercio de mercurio no conforme con el Convenio, así como el tráfico ilícito, el comercio ilícito o el contrabando de mercurio, en particular para su uso en la extracción de oro artesanal y en pequeña escala, en sus informes nacionales presentados en virtud del artículo 21 y en la información presentada en respuesta al párrafo 4 de la decisión MC</w:t>
      </w:r>
      <w:r w:rsidRPr="00F567E1">
        <w:rPr>
          <w:lang w:val="es-ES_tradnl"/>
        </w:rPr>
        <w:noBreakHyphen/>
        <w:t>5/2,</w:t>
      </w:r>
    </w:p>
    <w:p w14:paraId="2786DB59" w14:textId="7DAE05C1" w:rsidR="00312042" w:rsidRPr="00F567E1" w:rsidRDefault="00312042" w:rsidP="00312042">
      <w:pPr>
        <w:pStyle w:val="Normal-pool"/>
        <w:tabs>
          <w:tab w:val="clear" w:pos="1247"/>
          <w:tab w:val="clear" w:pos="1871"/>
          <w:tab w:val="clear" w:pos="2495"/>
          <w:tab w:val="clear" w:pos="3119"/>
          <w:tab w:val="clear" w:pos="3742"/>
          <w:tab w:val="clear" w:pos="4366"/>
          <w:tab w:val="clear" w:pos="4990"/>
        </w:tabs>
        <w:spacing w:after="120" w:line="259" w:lineRule="auto"/>
        <w:ind w:left="1247" w:firstLine="624"/>
        <w:rPr>
          <w:rFonts w:asciiTheme="majorBidi" w:hAnsiTheme="majorBidi" w:cstheme="majorBidi"/>
          <w:lang w:val="es-ES_tradnl"/>
        </w:rPr>
      </w:pPr>
      <w:r w:rsidRPr="00F567E1">
        <w:rPr>
          <w:i/>
          <w:iCs/>
          <w:lang w:val="es-ES_tradnl"/>
        </w:rPr>
        <w:t>Reconociendo</w:t>
      </w:r>
      <w:r w:rsidRPr="00F567E1">
        <w:rPr>
          <w:lang w:val="es-ES_tradnl"/>
        </w:rPr>
        <w:t xml:space="preserve"> que esa extracción primaria y comercio representan un problema para la aplicación del artículo 3,</w:t>
      </w:r>
    </w:p>
    <w:p w14:paraId="7B99B7C0" w14:textId="7524DE39" w:rsidR="00312042" w:rsidRPr="00F567E1"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Considerando</w:t>
      </w:r>
      <w:r w:rsidRPr="00F567E1">
        <w:rPr>
          <w:lang w:val="es-ES_tradnl"/>
        </w:rPr>
        <w:t xml:space="preserve"> la recomendación del Comité de Aplicación y Cumplimiento del Convenio a</w:t>
      </w:r>
      <w:r w:rsidR="00DA02C2" w:rsidRPr="00F567E1">
        <w:rPr>
          <w:lang w:val="es-ES_tradnl"/>
        </w:rPr>
        <w:t> </w:t>
      </w:r>
      <w:r w:rsidRPr="00F567E1">
        <w:rPr>
          <w:lang w:val="es-ES_tradnl"/>
        </w:rPr>
        <w:t>la</w:t>
      </w:r>
      <w:r w:rsidR="00DA02C2" w:rsidRPr="00F567E1">
        <w:rPr>
          <w:lang w:val="es-ES_tradnl"/>
        </w:rPr>
        <w:t> </w:t>
      </w:r>
      <w:r w:rsidRPr="00F567E1">
        <w:rPr>
          <w:lang w:val="es-ES_tradnl"/>
        </w:rPr>
        <w:t>Conferencia de las Partes en su sexta reunión</w:t>
      </w:r>
      <w:r w:rsidRPr="00F567E1">
        <w:rPr>
          <w:rStyle w:val="FootnoteReference"/>
          <w:rFonts w:asciiTheme="majorBidi" w:hAnsiTheme="majorBidi" w:cstheme="majorBidi"/>
          <w:lang w:val="es-ES_tradnl"/>
        </w:rPr>
        <w:footnoteReference w:id="2"/>
      </w:r>
      <w:r w:rsidRPr="00F567E1">
        <w:rPr>
          <w:lang w:val="es-ES_tradnl"/>
        </w:rPr>
        <w:t>,</w:t>
      </w:r>
    </w:p>
    <w:p w14:paraId="532B3975" w14:textId="181FBB85" w:rsidR="00312042" w:rsidRPr="00F567E1"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Haciendo notar</w:t>
      </w:r>
      <w:r w:rsidRPr="00F567E1">
        <w:rPr>
          <w:lang w:val="es-ES_tradnl"/>
        </w:rPr>
        <w:t xml:space="preserve"> que, a pesar de los progresos realizados hasta la fecha, las Partes han expresado la necesidad de mejorar la colaboración y recibir más apoyo y asistencia para reforzar la aplicación del artículo 3, y reconociendo el papel del Fondo para el Medio Ambiente Mundial en la prestación de ese apoyo</w:t>
      </w:r>
      <w:r w:rsidRPr="00F567E1">
        <w:rPr>
          <w:rStyle w:val="FootnoteReference"/>
          <w:rFonts w:asciiTheme="majorBidi" w:hAnsiTheme="majorBidi" w:cstheme="majorBidi"/>
          <w:lang w:val="es-ES_tradnl"/>
        </w:rPr>
        <w:footnoteReference w:id="3"/>
      </w:r>
      <w:r w:rsidRPr="00F567E1">
        <w:rPr>
          <w:lang w:val="es-ES_tradnl"/>
        </w:rPr>
        <w:t>,</w:t>
      </w:r>
    </w:p>
    <w:p w14:paraId="3C482F52" w14:textId="5E9603ED"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bookmarkStart w:id="5" w:name="_Hlk216877385"/>
      <w:r w:rsidRPr="00F567E1">
        <w:rPr>
          <w:i/>
          <w:iCs/>
          <w:lang w:val="es-ES_tradnl"/>
        </w:rPr>
        <w:t>Aprueba</w:t>
      </w:r>
      <w:r w:rsidRPr="00F567E1">
        <w:rPr>
          <w:lang w:val="es-ES_tradnl"/>
        </w:rPr>
        <w:t xml:space="preserve"> las actualizaciones</w:t>
      </w:r>
      <w:r w:rsidR="006A51FD" w:rsidRPr="00F567E1">
        <w:rPr>
          <w:rStyle w:val="FootnoteReference"/>
          <w:rFonts w:asciiTheme="majorBidi" w:hAnsiTheme="majorBidi" w:cstheme="majorBidi"/>
          <w:lang w:val="es-ES_tradnl"/>
        </w:rPr>
        <w:footnoteReference w:id="4"/>
      </w:r>
      <w:r w:rsidRPr="00F567E1">
        <w:rPr>
          <w:lang w:val="es-ES_tradnl"/>
        </w:rPr>
        <w:t xml:space="preserve"> de la orientación</w:t>
      </w:r>
      <w:r w:rsidR="00D86B1A" w:rsidRPr="00F567E1">
        <w:rPr>
          <w:rStyle w:val="FootnoteReference"/>
          <w:rFonts w:asciiTheme="majorBidi" w:hAnsiTheme="majorBidi" w:cstheme="majorBidi"/>
          <w:lang w:val="es-ES_tradnl"/>
        </w:rPr>
        <w:footnoteReference w:id="5"/>
      </w:r>
      <w:r w:rsidRPr="00F567E1">
        <w:rPr>
          <w:lang w:val="es-ES_tradnl"/>
        </w:rPr>
        <w:t xml:space="preserve"> sobre la identificación de cada una de</w:t>
      </w:r>
      <w:r w:rsidR="00931420" w:rsidRPr="00F567E1">
        <w:rPr>
          <w:lang w:val="es-ES_tradnl"/>
        </w:rPr>
        <w:t> </w:t>
      </w:r>
      <w:r w:rsidRPr="00F567E1">
        <w:rPr>
          <w:lang w:val="es-ES_tradnl"/>
        </w:rPr>
        <w:t>las existencias de mercurio o compuestos de mercurio que superen las 50 toneladas y fuentes de suministro de mercurio que den lugar a existencias que superen las 10 toneladas al año;</w:t>
      </w:r>
      <w:bookmarkStart w:id="6" w:name="_Hlk219451192"/>
      <w:bookmarkStart w:id="7" w:name="_Hlk216876899"/>
      <w:bookmarkEnd w:id="5"/>
      <w:bookmarkEnd w:id="6"/>
      <w:bookmarkEnd w:id="7"/>
    </w:p>
    <w:p w14:paraId="384C3342" w14:textId="2B334F54"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Aprueba también</w:t>
      </w:r>
      <w:r w:rsidRPr="00F567E1">
        <w:rPr>
          <w:lang w:val="es-ES_tradnl"/>
        </w:rPr>
        <w:t xml:space="preserve"> las actualizaciones</w:t>
      </w:r>
      <w:r w:rsidR="00924456" w:rsidRPr="00F567E1">
        <w:rPr>
          <w:rStyle w:val="FootnoteReference"/>
          <w:rFonts w:asciiTheme="majorBidi" w:hAnsiTheme="majorBidi" w:cstheme="majorBidi"/>
          <w:lang w:val="es-ES_tradnl"/>
        </w:rPr>
        <w:footnoteReference w:id="6"/>
      </w:r>
      <w:r w:rsidRPr="00F567E1">
        <w:rPr>
          <w:lang w:val="es-ES_tradnl"/>
        </w:rPr>
        <w:t xml:space="preserve"> de la orientación</w:t>
      </w:r>
      <w:r w:rsidR="00D86B1A" w:rsidRPr="00F567E1">
        <w:rPr>
          <w:rStyle w:val="FootnoteReference"/>
          <w:rFonts w:asciiTheme="majorBidi" w:hAnsiTheme="majorBidi" w:cstheme="majorBidi"/>
          <w:lang w:val="es-ES_tradnl"/>
        </w:rPr>
        <w:footnoteReference w:id="7"/>
      </w:r>
      <w:r w:rsidRPr="00F567E1">
        <w:rPr>
          <w:lang w:val="es-ES_tradnl"/>
        </w:rPr>
        <w:t xml:space="preserve"> sobre el uso de formularios de</w:t>
      </w:r>
      <w:r w:rsidR="004B562A" w:rsidRPr="00F567E1">
        <w:rPr>
          <w:lang w:val="es-ES_tradnl"/>
        </w:rPr>
        <w:t> </w:t>
      </w:r>
      <w:r w:rsidRPr="00F567E1">
        <w:rPr>
          <w:lang w:val="es-ES_tradnl"/>
        </w:rPr>
        <w:t>importación y exportación de mercurio para ayudar a las Partes a identificar, gestionar y reducir el comercio de mercurio a partir de la extracción primaria de mercurio;</w:t>
      </w:r>
    </w:p>
    <w:p w14:paraId="5E5735FA" w14:textId="11918B57"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que informaron sobre las experiencias y los problemas encontrados en la aplicación del párrafo 3 del artículo 3 sobre la extracción primaria de mercurio en sus informes nacionales en virtud del artículo 21 a que faciliten más información a la Secretaría con miras a darla a conocer al Comité de Aplicación y Cumplimiento para su ulterior examen;</w:t>
      </w:r>
    </w:p>
    <w:p w14:paraId="52BEB134" w14:textId="179B3E42"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las Partes, incluidas las que se benefician de los proyectos en curso del Fondo para el Medio Ambiente Mundial, a que sigan dando a conocer a la Secretaría información sobre sus experiencias en la prevención y la lucha contra el comercio ilícito de mercurio, en particular en lo referente al uso de formularios relacionados con el artículo 3 sobre el comercio de mercurio;</w:t>
      </w:r>
    </w:p>
    <w:p w14:paraId="78A0FB9E" w14:textId="42272C96"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que, en colaboración con las Partes y organizaciones con experiencia en el comercio ilícito, y en función de la disponibilidad de recursos, elabore un informe en el que se presenten estrategias para hacer frente al suministro y el comercio de mercurio de las Partes en situación de incumplimiento de lo dispuesto en el artículo 3, y que, al preparar el informe, la Secretaría:</w:t>
      </w:r>
    </w:p>
    <w:p w14:paraId="52E1D389" w14:textId="4AFA368D" w:rsidR="00312042" w:rsidRPr="00F567E1" w:rsidRDefault="00312042" w:rsidP="00312042">
      <w:pPr>
        <w:pStyle w:val="ANorma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lang w:val="es-ES_tradnl"/>
        </w:rPr>
        <w:t>Utilice la información recopilada de las Partes y otras fuentes pertinentes;</w:t>
      </w:r>
    </w:p>
    <w:p w14:paraId="3C7D016A" w14:textId="73E65D84" w:rsidR="00312042" w:rsidRPr="00F567E1" w:rsidRDefault="00312042" w:rsidP="00312042">
      <w:pPr>
        <w:pStyle w:val="ANorma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lang w:val="es-ES_tradnl"/>
        </w:rPr>
        <w:t>Tenga en cuenta la información sobre las estrategias para prevenir el desvío de mercurio de fuentes extranjeras y nacionales para su uso en la extracción y el tratamiento de oro artesanales y en pequeña escala, conforme a lo indicado en los planes de acción nacionales sobre la extracción de oro artesanal y en pequeña escala presentados por las Partes de conformidad con el párrafo 3 b) del artículo 7;</w:t>
      </w:r>
    </w:p>
    <w:p w14:paraId="22AC26C3" w14:textId="25F0C62A" w:rsidR="00312042" w:rsidRPr="00F567E1" w:rsidRDefault="00312042" w:rsidP="00312042">
      <w:pPr>
        <w:pStyle w:val="ANorma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lang w:val="es-ES_tradnl"/>
        </w:rPr>
        <w:lastRenderedPageBreak/>
        <w:t>Invite a las Partes, al Comité de Aplicación y Cumplimiento y a otros interesados a que</w:t>
      </w:r>
      <w:r w:rsidR="00931420" w:rsidRPr="00F567E1">
        <w:rPr>
          <w:lang w:val="es-ES_tradnl"/>
        </w:rPr>
        <w:t> </w:t>
      </w:r>
      <w:r w:rsidRPr="00F567E1">
        <w:rPr>
          <w:lang w:val="es-ES_tradnl"/>
        </w:rPr>
        <w:t>hagan aportaciones;</w:t>
      </w:r>
    </w:p>
    <w:p w14:paraId="4157C5DB" w14:textId="45AE4713" w:rsidR="00312042" w:rsidRPr="00F567E1" w:rsidRDefault="00312042" w:rsidP="00F234CD">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 Secretaría a que elabore, en función de la disponibilidad de recursos, directrices para el uso coherente de los códigos del Sistema Armonizado de Designación y Codificación de Mercancías relacionados con los productos que contienen mercurio, concretamente el</w:t>
      </w:r>
      <w:r w:rsidR="004B562A" w:rsidRPr="00F567E1">
        <w:rPr>
          <w:lang w:val="es-ES_tradnl"/>
        </w:rPr>
        <w:t> </w:t>
      </w:r>
      <w:r w:rsidRPr="00F567E1">
        <w:rPr>
          <w:lang w:val="es-ES_tradnl"/>
        </w:rPr>
        <w:t>mercurio, los compuestos de mercurio y los desechos de mercurio;</w:t>
      </w:r>
    </w:p>
    <w:p w14:paraId="5F4E332E" w14:textId="5AC45A88" w:rsidR="00312042" w:rsidRPr="00F567E1" w:rsidDel="001D6D3D" w:rsidRDefault="00DF3411"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que presente el informe solicitado en el párrafo 5 para su examen por la Conferencia de las Partes en su séptima reunión;</w:t>
      </w:r>
    </w:p>
    <w:p w14:paraId="560E56A2" w14:textId="77777777"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al Comité de Aplicación y Cumplimiento que:</w:t>
      </w:r>
    </w:p>
    <w:p w14:paraId="7F1E6668" w14:textId="5CB3BA05" w:rsidR="00312042" w:rsidRPr="00F567E1" w:rsidRDefault="00DF3411" w:rsidP="00312042">
      <w:pPr>
        <w:pStyle w:val="Normal-poo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lang w:val="es-ES_tradnl"/>
        </w:rPr>
        <w:t>Evalúe los motivos que las Partes han alegado como indicios de que afrontan desafíos en la aplicación de las disposiciones relacionadas con el comercio en virtud del artículo 3 y examine si las recomendaciones que sobrepasan las medidas ya adoptadas por la Conferencia de las Partes en sus reuniones 5ª y 6ª podrían ser beneficiosas para optimizar la aplicación;</w:t>
      </w:r>
    </w:p>
    <w:p w14:paraId="4C4B90A7" w14:textId="1BF18610" w:rsidR="00312042" w:rsidRPr="00F567E1" w:rsidRDefault="00312042" w:rsidP="00312042">
      <w:pPr>
        <w:pStyle w:val="Normal-pool"/>
        <w:numPr>
          <w:ilvl w:val="1"/>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lang w:val="es-ES_tradnl"/>
        </w:rPr>
        <w:t>Coopere, en lo que sea necesario, con los órganos de cumplimiento de otros acuerdos ambientales multilaterales sobre sus actividades, con el fin de apoyar a las Partes en la prevención y la</w:t>
      </w:r>
      <w:r w:rsidR="004B562A" w:rsidRPr="00F567E1">
        <w:rPr>
          <w:lang w:val="es-ES_tradnl"/>
        </w:rPr>
        <w:t> </w:t>
      </w:r>
      <w:r w:rsidRPr="00F567E1">
        <w:rPr>
          <w:lang w:val="es-ES_tradnl"/>
        </w:rPr>
        <w:t xml:space="preserve">lucha contra el comercio ilícito; </w:t>
      </w:r>
    </w:p>
    <w:p w14:paraId="09F92DAA" w14:textId="57498593"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 Oficina de las Naciones Unidas contra la Droga y el Delito, la Organización Mundial de Aduanas, la Organización Internacional de Policía Criminal (INTERPOL), las organizaciones miembros del Programa Interinstitucional para la Gestión Racional de los Productos Químicos, la Secretaría del Convenio de Basilea sobre el Control de los Movimientos Transfronterizos de los Desechos Peligrosos y su Eliminación, el Convenio de Estocolmo sobre Contaminantes Orgánicos Persistentes y el Convenio de Rotterdam sobre el Procedimiento de Consentimiento Fundamentado Previo Aplicable a Ciertos Plaguicidas y Productos Químicos Peligrosos Objeto de Comercio Internacional, así como a las redes mundiales y regionales pertinentes encargadas de hacer cumplir la ley, a que ayuden a las Partes a prevenir y luchar contra el comercio ilícito de mercurio;</w:t>
      </w:r>
    </w:p>
    <w:p w14:paraId="375981D0" w14:textId="142269CB"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del Convenio de Minamata que, en función de la disponibilidad de recursos, siga prestando asesoramiento y realizando actividades de sensibilización y asistencia técnica para fortalecer la capacidad de las Partes de cumplir las obligaciones relacionadas con el comercio que les impone el artículo 3;</w:t>
      </w:r>
    </w:p>
    <w:p w14:paraId="7FD5E518" w14:textId="07413A2F" w:rsidR="00312042" w:rsidRPr="00F567E1" w:rsidRDefault="00312042" w:rsidP="00312042">
      <w:pPr>
        <w:pStyle w:val="Normal-pool"/>
        <w:numPr>
          <w:ilvl w:val="0"/>
          <w:numId w:val="30"/>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sectPr w:rsidR="00312042" w:rsidRPr="00F567E1" w:rsidSect="00E84D8D">
          <w:headerReference w:type="even" r:id="rId13"/>
          <w:headerReference w:type="default" r:id="rId14"/>
          <w:footerReference w:type="even" r:id="rId15"/>
          <w:footerReference w:type="default" r:id="rId16"/>
          <w:footerReference w:type="first" r:id="rId17"/>
          <w:pgSz w:w="11906" w:h="16838" w:code="9"/>
          <w:pgMar w:top="907" w:right="992" w:bottom="1418" w:left="1418" w:header="539" w:footer="975" w:gutter="0"/>
          <w:cols w:space="539"/>
          <w:titlePg/>
          <w:docGrid w:linePitch="360"/>
        </w:sectPr>
      </w:pPr>
      <w:r w:rsidRPr="00F567E1">
        <w:rPr>
          <w:i/>
          <w:iCs/>
          <w:lang w:val="es-ES_tradnl"/>
        </w:rPr>
        <w:t>Solicita también</w:t>
      </w:r>
      <w:r w:rsidRPr="00F567E1">
        <w:rPr>
          <w:lang w:val="es-ES_tradnl"/>
        </w:rPr>
        <w:t xml:space="preserve"> a la Secretaría que rinda informe a la Conferencia de las Partes en su próxima reunión sobre la aplicación de la presente decisión.</w:t>
      </w:r>
    </w:p>
    <w:p w14:paraId="4BC2D66F" w14:textId="77777777" w:rsidR="00312042" w:rsidRPr="00F567E1" w:rsidRDefault="00312042" w:rsidP="00312042">
      <w:pPr>
        <w:spacing w:after="160" w:line="278" w:lineRule="auto"/>
        <w:rPr>
          <w:rFonts w:asciiTheme="majorBidi" w:hAnsiTheme="majorBidi" w:cstheme="majorBidi"/>
          <w:lang w:val="es-ES_tradnl"/>
        </w:rPr>
      </w:pPr>
      <w:r w:rsidRPr="00F567E1">
        <w:rPr>
          <w:rFonts w:asciiTheme="majorBidi" w:hAnsiTheme="majorBidi" w:cstheme="majorBidi"/>
          <w:lang w:val="es-ES_tradnl"/>
        </w:rPr>
        <w:br w:type="page"/>
      </w:r>
    </w:p>
    <w:p w14:paraId="0CA93EF6" w14:textId="6C61E1B5" w:rsidR="00312042" w:rsidRPr="00F567E1" w:rsidRDefault="00312042" w:rsidP="002819FE">
      <w:pPr>
        <w:pStyle w:val="CH2"/>
        <w:outlineLvl w:val="0"/>
        <w:rPr>
          <w:lang w:val="es-ES_tradnl"/>
        </w:rPr>
      </w:pPr>
      <w:bookmarkStart w:id="9" w:name="_Toc213853059"/>
      <w:r w:rsidRPr="00F567E1">
        <w:rPr>
          <w:lang w:val="es-ES_tradnl"/>
        </w:rPr>
        <w:lastRenderedPageBreak/>
        <w:tab/>
      </w:r>
      <w:r w:rsidRPr="00F567E1">
        <w:rPr>
          <w:lang w:val="es-ES_tradnl"/>
        </w:rPr>
        <w:tab/>
      </w:r>
      <w:bookmarkStart w:id="10" w:name="_Toc223088507"/>
      <w:r w:rsidRPr="00F567E1">
        <w:rPr>
          <w:lang w:val="es-ES_tradnl"/>
        </w:rPr>
        <w:t>Decisión MC</w:t>
      </w:r>
      <w:r w:rsidRPr="00F567E1">
        <w:rPr>
          <w:lang w:val="es-ES_tradnl"/>
        </w:rPr>
        <w:noBreakHyphen/>
        <w:t>6/2: promoción de la labor relacionada con las posibles restricciones al comercio de compuestos de mercurio</w:t>
      </w:r>
      <w:bookmarkStart w:id="11" w:name="_Toc219712799"/>
      <w:bookmarkEnd w:id="9"/>
      <w:bookmarkEnd w:id="10"/>
      <w:bookmarkEnd w:id="11"/>
    </w:p>
    <w:p w14:paraId="53E126A7" w14:textId="77777777" w:rsidR="00312042" w:rsidRPr="00F567E1" w:rsidRDefault="00312042" w:rsidP="00312042">
      <w:pPr>
        <w:pStyle w:val="NormalNonumber"/>
        <w:tabs>
          <w:tab w:val="clear" w:pos="1247"/>
        </w:tabs>
        <w:ind w:firstLine="624"/>
        <w:rPr>
          <w:rFonts w:asciiTheme="majorBidi" w:hAnsiTheme="majorBidi" w:cstheme="majorBidi"/>
          <w:i/>
          <w:iCs/>
          <w:lang w:val="es-ES_tradnl"/>
        </w:rPr>
      </w:pPr>
      <w:r w:rsidRPr="00F567E1">
        <w:rPr>
          <w:i/>
          <w:iCs/>
          <w:lang w:val="es-ES_tradnl"/>
        </w:rPr>
        <w:t>La Conferencia de las Partes,</w:t>
      </w:r>
    </w:p>
    <w:p w14:paraId="7F94B2D9" w14:textId="24C91D9F"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Haciendo notar</w:t>
      </w:r>
      <w:r w:rsidRPr="00F567E1">
        <w:rPr>
          <w:lang w:val="es-ES_tradnl"/>
        </w:rPr>
        <w:t xml:space="preserve"> que en el párrafo 13 del artículo 3 del Convenio de Minamata sobre el Mercurio se establece que la Conferencia de las Partes evaluará si el comercio de compuestos de mercurio específicos compromete el objetivo del Convenio de proteger la salud humana y el medio ambiente,</w:t>
      </w:r>
    </w:p>
    <w:p w14:paraId="069E3B67" w14:textId="3A964426" w:rsidR="00312042" w:rsidRPr="00F567E1" w:rsidRDefault="00312042" w:rsidP="00312042">
      <w:pPr>
        <w:pStyle w:val="NormalNonumber"/>
        <w:tabs>
          <w:tab w:val="clear" w:pos="1247"/>
        </w:tabs>
        <w:ind w:firstLine="624"/>
        <w:rPr>
          <w:rFonts w:asciiTheme="majorBidi" w:hAnsiTheme="majorBidi" w:cstheme="majorBidi"/>
          <w:spacing w:val="-2"/>
          <w:lang w:val="es-ES_tradnl"/>
        </w:rPr>
      </w:pPr>
      <w:r w:rsidRPr="00F567E1">
        <w:rPr>
          <w:i/>
          <w:iCs/>
          <w:spacing w:val="-2"/>
          <w:lang w:val="es-ES_tradnl"/>
        </w:rPr>
        <w:t>Recordando</w:t>
      </w:r>
      <w:r w:rsidRPr="00F567E1">
        <w:rPr>
          <w:spacing w:val="-2"/>
          <w:lang w:val="es-ES_tradnl"/>
        </w:rPr>
        <w:t xml:space="preserve"> que en el párrafo 13 del artículo 3 se estipula también que la Conferencia de las Partes deberá considerar si los compuestos de mercurio específicos deben someterse a los párrafos 6 y 8 del artículo 3 mediante su inclusión en un anexo adicional aprobado de conformidad con el artículo 27,</w:t>
      </w:r>
    </w:p>
    <w:p w14:paraId="7F598899" w14:textId="4EB5AD30"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Reconociendo</w:t>
      </w:r>
      <w:r w:rsidRPr="00F567E1">
        <w:rPr>
          <w:lang w:val="es-ES_tradnl"/>
        </w:rPr>
        <w:t xml:space="preserve"> la labor desarrollada durante el período entre reuniones más reciente con arreglo a la decisión MC</w:t>
      </w:r>
      <w:r w:rsidRPr="00F567E1">
        <w:rPr>
          <w:lang w:val="es-ES_tradnl"/>
        </w:rPr>
        <w:noBreakHyphen/>
        <w:t xml:space="preserve">5/3, </w:t>
      </w:r>
    </w:p>
    <w:p w14:paraId="28DA5FE7" w14:textId="2AC1EC85"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Teniendo como objetivo</w:t>
      </w:r>
      <w:r w:rsidRPr="00F567E1">
        <w:rPr>
          <w:lang w:val="es-ES_tradnl"/>
        </w:rPr>
        <w:t xml:space="preserve"> comprender mejor el suministro, el comercio y el uso actuales de compuestos de mercurio específicos a escala mundial para adoptar decisiones bien fundamentadas en relación con el Convenio,</w:t>
      </w:r>
    </w:p>
    <w:p w14:paraId="5C9DE061" w14:textId="31C1474A" w:rsidR="00312042" w:rsidRPr="00F567E1"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Reconoce</w:t>
      </w:r>
      <w:r w:rsidRPr="00F567E1">
        <w:rPr>
          <w:lang w:val="es-ES_tradnl"/>
        </w:rPr>
        <w:t xml:space="preserve"> el informe sobre el suministro, la producción, el comercio y el uso de compuestos de mercurio a escala mundial</w:t>
      </w:r>
      <w:r w:rsidR="00E10A40" w:rsidRPr="00F567E1">
        <w:rPr>
          <w:rStyle w:val="FootnoteReference"/>
          <w:rFonts w:cstheme="majorBidi"/>
          <w:lang w:val="es-ES_tradnl"/>
        </w:rPr>
        <w:footnoteReference w:id="8"/>
      </w:r>
      <w:r w:rsidRPr="00F567E1">
        <w:rPr>
          <w:lang w:val="es-ES_tradnl"/>
        </w:rPr>
        <w:t>;</w:t>
      </w:r>
    </w:p>
    <w:p w14:paraId="2FB5E3AC" w14:textId="07881EF2" w:rsidR="00312042" w:rsidRPr="00F567E1"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las Partes y a los interesados a reflexionar sobre la información contenida en</w:t>
      </w:r>
      <w:r w:rsidR="004B562A" w:rsidRPr="00F567E1">
        <w:rPr>
          <w:lang w:val="es-ES_tradnl"/>
        </w:rPr>
        <w:t> </w:t>
      </w:r>
      <w:r w:rsidRPr="00F567E1">
        <w:rPr>
          <w:lang w:val="es-ES_tradnl"/>
        </w:rPr>
        <w:t>el informe y a considerar la necesidad de un anexo adicional en virtud del cual los compuestos de mercurio queden sujetos a las disposiciones relativas al comercio que se estipulan en los párrafos 6 y 8 del artículo 3;</w:t>
      </w:r>
    </w:p>
    <w:p w14:paraId="6FEC0FAE" w14:textId="37B58746" w:rsidR="00312042" w:rsidRPr="00F567E1"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y a los interesados a presentar a la Secretaría, antes del 31 de marzo de 2026 y con carácter voluntario, la información disponible sobre el suministro, el uso y el comercio de compuestos de mercurio, y a dar a conocer sus opiniones y aportaciones sobre compuestos de mercurio</w:t>
      </w:r>
      <w:r w:rsidRPr="00F567E1">
        <w:rPr>
          <w:rStyle w:val="FootnoteReference"/>
          <w:rFonts w:cstheme="majorBidi"/>
          <w:lang w:val="es-ES_tradnl"/>
        </w:rPr>
        <w:footnoteReference w:id="9"/>
      </w:r>
      <w:r w:rsidRPr="00F567E1">
        <w:rPr>
          <w:lang w:val="es-ES_tradnl"/>
        </w:rPr>
        <w:t xml:space="preserve"> que tal vez podrían incluirse en un anexo propuesto;</w:t>
      </w:r>
    </w:p>
    <w:p w14:paraId="4E226A04" w14:textId="4B935B44" w:rsidR="00312042" w:rsidRPr="00F567E1"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Decide</w:t>
      </w:r>
      <w:r w:rsidRPr="00F567E1">
        <w:rPr>
          <w:lang w:val="es-ES_tradnl"/>
        </w:rPr>
        <w:t xml:space="preserve"> establecer un grupo de expertos de composición abierta que tendrá por mandato el examen de la información que figura en el informe mencionado y la información presentada de conformidad con el párrafo 3 anterior, el desarrollo su labor en inglés y por medios en línea y la presentación de sus recomendaciones a la Secretaría a más tardar ocho meses antes de que se celebre la séptima reunión de la Conferencia de las Partes;</w:t>
      </w:r>
    </w:p>
    <w:p w14:paraId="1949F332" w14:textId="77777777" w:rsidR="00312042" w:rsidRPr="00F567E1"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e interesados a participar en los trabajos del grupo de expertos;</w:t>
      </w:r>
    </w:p>
    <w:p w14:paraId="4503938A" w14:textId="77777777" w:rsidR="00312042" w:rsidRPr="00F567E1" w:rsidRDefault="00312042" w:rsidP="00312042">
      <w:pPr>
        <w:pStyle w:val="NormalNonumber"/>
        <w:numPr>
          <w:ilvl w:val="0"/>
          <w:numId w:val="3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sectPr w:rsidR="00312042" w:rsidRPr="00F567E1" w:rsidSect="00E84D8D">
          <w:footnotePr>
            <w:numRestart w:val="eachSect"/>
          </w:footnotePr>
          <w:type w:val="continuous"/>
          <w:pgSz w:w="11906" w:h="16838" w:code="9"/>
          <w:pgMar w:top="907" w:right="992" w:bottom="1418" w:left="1418" w:header="539" w:footer="975" w:gutter="0"/>
          <w:cols w:space="539"/>
          <w:docGrid w:linePitch="360"/>
        </w:sectPr>
      </w:pPr>
      <w:r w:rsidRPr="00F567E1">
        <w:rPr>
          <w:i/>
          <w:iCs/>
          <w:lang w:val="es-ES_tradnl"/>
        </w:rPr>
        <w:t>Solicita</w:t>
      </w:r>
      <w:r w:rsidRPr="00F567E1">
        <w:rPr>
          <w:lang w:val="es-ES_tradnl"/>
        </w:rPr>
        <w:t xml:space="preserve"> a la Secretaría que preste apoyo a los trabajos del grupo de expertos y que presente un informe sobre la labor del grupo y sus conclusiones para que la Conferencia de las Partes lo examine en su séptima reunión.</w:t>
      </w:r>
    </w:p>
    <w:p w14:paraId="353FEED3" w14:textId="77777777" w:rsidR="00312042" w:rsidRPr="00F567E1" w:rsidRDefault="00312042" w:rsidP="00312042">
      <w:pPr>
        <w:pStyle w:val="Normal-pool"/>
        <w:rPr>
          <w:lang w:val="es-ES_tradnl"/>
        </w:rPr>
      </w:pPr>
      <w:r w:rsidRPr="00F567E1">
        <w:rPr>
          <w:lang w:val="es-ES_tradnl"/>
        </w:rPr>
        <w:br w:type="page"/>
      </w:r>
    </w:p>
    <w:p w14:paraId="666D9367" w14:textId="2691B2D6" w:rsidR="00DB2767" w:rsidRPr="00F567E1" w:rsidRDefault="00DB2767" w:rsidP="002819FE">
      <w:pPr>
        <w:pStyle w:val="CH2"/>
        <w:outlineLvl w:val="0"/>
        <w:rPr>
          <w:lang w:val="es-ES_tradnl"/>
        </w:rPr>
      </w:pPr>
      <w:r w:rsidRPr="00F567E1">
        <w:rPr>
          <w:lang w:val="es-ES_tradnl"/>
        </w:rPr>
        <w:lastRenderedPageBreak/>
        <w:tab/>
      </w:r>
      <w:r w:rsidRPr="00F567E1">
        <w:rPr>
          <w:lang w:val="es-ES_tradnl"/>
        </w:rPr>
        <w:tab/>
      </w:r>
      <w:bookmarkStart w:id="12" w:name="_Toc223088508"/>
      <w:r w:rsidRPr="00F567E1">
        <w:rPr>
          <w:lang w:val="es-ES_tradnl"/>
        </w:rPr>
        <w:t>Decisión MC</w:t>
      </w:r>
      <w:r w:rsidRPr="00F567E1">
        <w:rPr>
          <w:lang w:val="es-ES_tradnl"/>
        </w:rPr>
        <w:noBreakHyphen/>
        <w:t>6/3: modificaciones del anexo A</w:t>
      </w:r>
      <w:bookmarkStart w:id="13" w:name="_Toc219712800"/>
      <w:bookmarkEnd w:id="12"/>
      <w:bookmarkEnd w:id="13"/>
    </w:p>
    <w:p w14:paraId="14BCBA13" w14:textId="77777777" w:rsidR="00DB2767" w:rsidRPr="00F567E1" w:rsidRDefault="00DB2767" w:rsidP="00DB2767">
      <w:pPr>
        <w:pStyle w:val="NormalNonumber"/>
        <w:ind w:firstLine="624"/>
        <w:rPr>
          <w:i/>
          <w:iCs/>
          <w:lang w:val="es-ES_tradnl"/>
        </w:rPr>
      </w:pPr>
      <w:r w:rsidRPr="00F567E1">
        <w:rPr>
          <w:i/>
          <w:iCs/>
          <w:lang w:val="es-ES_tradnl"/>
        </w:rPr>
        <w:t>La Conferencia de las Partes,</w:t>
      </w:r>
    </w:p>
    <w:p w14:paraId="273B34B5" w14:textId="77777777" w:rsidR="00DB2767" w:rsidRPr="00F567E1" w:rsidRDefault="00DB2767" w:rsidP="00DB2767">
      <w:pPr>
        <w:pStyle w:val="NormalNonumber"/>
        <w:ind w:firstLine="624"/>
        <w:rPr>
          <w:rFonts w:asciiTheme="majorBidi" w:hAnsiTheme="majorBidi" w:cstheme="majorBidi"/>
          <w:lang w:val="es-ES_tradnl"/>
        </w:rPr>
      </w:pPr>
      <w:r w:rsidRPr="00F567E1">
        <w:rPr>
          <w:i/>
          <w:iCs/>
          <w:lang w:val="es-ES_tradnl"/>
        </w:rPr>
        <w:t>Habiendo examinado</w:t>
      </w:r>
      <w:r w:rsidRPr="00F567E1">
        <w:rPr>
          <w:lang w:val="es-ES_tradnl"/>
        </w:rPr>
        <w:t xml:space="preserve"> la propuesta de modificaciones del anexo A del Convenio de Minamata sobre el Mercurio recogida en el documento UNEP/MC/COP.6/6,</w:t>
      </w:r>
    </w:p>
    <w:p w14:paraId="2561DA5F" w14:textId="2A33ACFA" w:rsidR="00DB2767" w:rsidRPr="00F567E1" w:rsidRDefault="00DB2767" w:rsidP="00DB2767">
      <w:pPr>
        <w:pStyle w:val="NormalNonumber"/>
        <w:numPr>
          <w:ilvl w:val="0"/>
          <w:numId w:val="78"/>
        </w:numPr>
        <w:ind w:left="1247" w:firstLine="624"/>
        <w:rPr>
          <w:lang w:val="es-ES_tradnl"/>
        </w:rPr>
      </w:pPr>
      <w:r w:rsidRPr="00F567E1">
        <w:rPr>
          <w:i/>
          <w:iCs/>
          <w:lang w:val="es-ES_tradnl"/>
        </w:rPr>
        <w:t>Decide</w:t>
      </w:r>
      <w:r w:rsidRPr="00F567E1">
        <w:rPr>
          <w:lang w:val="es-ES_tradnl"/>
        </w:rPr>
        <w:t xml:space="preserve"> modificar la parte I del anexo A del Convenio tal como se indica en el cuadro siguiente</w:t>
      </w:r>
      <w:r w:rsidR="00847BEF" w:rsidRPr="00F567E1">
        <w:rPr>
          <w:rStyle w:val="FootnoteReference"/>
          <w:lang w:val="es-ES_tradnl"/>
        </w:rPr>
        <w:footnoteReference w:id="10"/>
      </w:r>
      <w:r w:rsidRPr="00F567E1">
        <w:rPr>
          <w:lang w:val="es-ES_tradnl"/>
        </w:rPr>
        <w:t>:</w:t>
      </w:r>
    </w:p>
    <w:tbl>
      <w:tblPr>
        <w:tblStyle w:val="TableGrid10"/>
        <w:tblW w:w="83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1"/>
        <w:gridCol w:w="2599"/>
      </w:tblGrid>
      <w:tr w:rsidR="00F234CD" w:rsidRPr="00F567E1" w14:paraId="3CABD6DA" w14:textId="77777777" w:rsidTr="00D15603">
        <w:trPr>
          <w:trHeight w:val="57"/>
          <w:tblHeader/>
          <w:jc w:val="right"/>
        </w:trPr>
        <w:tc>
          <w:tcPr>
            <w:tcW w:w="5709" w:type="dxa"/>
            <w:tcBorders>
              <w:top w:val="single" w:sz="4" w:space="0" w:color="auto"/>
              <w:left w:val="single" w:sz="4" w:space="0" w:color="auto"/>
              <w:bottom w:val="single" w:sz="12" w:space="0" w:color="auto"/>
              <w:right w:val="single" w:sz="4" w:space="0" w:color="auto"/>
            </w:tcBorders>
            <w:vAlign w:val="bottom"/>
            <w:hideMark/>
          </w:tcPr>
          <w:p w14:paraId="36034774" w14:textId="77777777" w:rsidR="00DB2767" w:rsidRPr="00F567E1" w:rsidRDefault="00DB2767">
            <w:pPr>
              <w:spacing w:before="40" w:after="40"/>
              <w:rPr>
                <w:i/>
                <w:iCs/>
                <w:sz w:val="18"/>
                <w:szCs w:val="18"/>
                <w:lang w:val="es-ES_tradnl"/>
              </w:rPr>
            </w:pPr>
            <w:r w:rsidRPr="00F567E1">
              <w:rPr>
                <w:i/>
                <w:iCs/>
                <w:color w:val="000000"/>
                <w:sz w:val="18"/>
                <w:szCs w:val="18"/>
                <w:lang w:val="es-ES_tradnl"/>
              </w:rPr>
              <w:t>Productos con mercurio añadido</w:t>
            </w:r>
          </w:p>
        </w:tc>
        <w:tc>
          <w:tcPr>
            <w:tcW w:w="2598" w:type="dxa"/>
            <w:tcBorders>
              <w:top w:val="single" w:sz="4" w:space="0" w:color="auto"/>
              <w:left w:val="single" w:sz="4" w:space="0" w:color="auto"/>
              <w:bottom w:val="single" w:sz="12" w:space="0" w:color="auto"/>
              <w:right w:val="single" w:sz="4" w:space="0" w:color="auto"/>
            </w:tcBorders>
            <w:vAlign w:val="bottom"/>
            <w:hideMark/>
          </w:tcPr>
          <w:p w14:paraId="36D8F7EC" w14:textId="77777777" w:rsidR="00DB2767" w:rsidRPr="00F567E1" w:rsidRDefault="00DB2767">
            <w:pPr>
              <w:spacing w:before="40" w:after="40"/>
              <w:rPr>
                <w:i/>
                <w:iCs/>
                <w:sz w:val="18"/>
                <w:szCs w:val="18"/>
                <w:lang w:val="es-ES_tradnl"/>
              </w:rPr>
            </w:pPr>
            <w:r w:rsidRPr="00F567E1">
              <w:rPr>
                <w:i/>
                <w:iCs/>
                <w:color w:val="000000"/>
                <w:sz w:val="18"/>
                <w:szCs w:val="18"/>
                <w:lang w:val="es-ES_tradnl"/>
              </w:rPr>
              <w:t>Fecha después de la cual no estará permitida la producción, importación ni exportación del producto (fecha de eliminación)</w:t>
            </w:r>
          </w:p>
        </w:tc>
      </w:tr>
      <w:tr w:rsidR="00F234CD" w:rsidRPr="00F567E1" w14:paraId="69E8E572" w14:textId="77777777" w:rsidTr="00D15603">
        <w:trPr>
          <w:trHeight w:val="57"/>
          <w:jc w:val="right"/>
        </w:trPr>
        <w:tc>
          <w:tcPr>
            <w:tcW w:w="5709" w:type="dxa"/>
            <w:tcBorders>
              <w:top w:val="single" w:sz="12" w:space="0" w:color="auto"/>
              <w:left w:val="single" w:sz="4" w:space="0" w:color="auto"/>
              <w:bottom w:val="single" w:sz="4" w:space="0" w:color="auto"/>
              <w:right w:val="single" w:sz="4" w:space="0" w:color="auto"/>
            </w:tcBorders>
            <w:hideMark/>
          </w:tcPr>
          <w:p w14:paraId="275E32ED" w14:textId="77777777" w:rsidR="00DB2767" w:rsidRPr="00F567E1" w:rsidRDefault="00DB2767">
            <w:pPr>
              <w:spacing w:before="40" w:after="40"/>
              <w:rPr>
                <w:spacing w:val="-2"/>
                <w:sz w:val="18"/>
                <w:szCs w:val="18"/>
                <w:lang w:val="es-ES_tradnl"/>
              </w:rPr>
            </w:pPr>
            <w:r w:rsidRPr="00F567E1">
              <w:rPr>
                <w:color w:val="000000"/>
                <w:spacing w:val="-2"/>
                <w:sz w:val="18"/>
                <w:szCs w:val="18"/>
                <w:lang w:val="es-ES_tradnl"/>
              </w:rPr>
              <w:t>Baterías, salvo pilas de botón de óxido de plata con un contenido de mercurio &lt; 2 % y pilas de botón zinc-aire con un contenido de mercurio &lt; 2 %</w:t>
            </w:r>
          </w:p>
        </w:tc>
        <w:tc>
          <w:tcPr>
            <w:tcW w:w="2598" w:type="dxa"/>
            <w:tcBorders>
              <w:top w:val="single" w:sz="12" w:space="0" w:color="auto"/>
              <w:left w:val="single" w:sz="4" w:space="0" w:color="auto"/>
              <w:bottom w:val="single" w:sz="4" w:space="0" w:color="auto"/>
              <w:right w:val="single" w:sz="4" w:space="0" w:color="auto"/>
            </w:tcBorders>
            <w:hideMark/>
          </w:tcPr>
          <w:p w14:paraId="63D47DBF" w14:textId="77777777" w:rsidR="00DB2767" w:rsidRPr="00F567E1" w:rsidRDefault="00DB2767">
            <w:pPr>
              <w:spacing w:before="40" w:after="40"/>
              <w:rPr>
                <w:sz w:val="18"/>
                <w:szCs w:val="18"/>
                <w:lang w:val="es-ES_tradnl"/>
              </w:rPr>
            </w:pPr>
            <w:r w:rsidRPr="00F567E1">
              <w:rPr>
                <w:color w:val="000000"/>
                <w:sz w:val="18"/>
                <w:szCs w:val="18"/>
                <w:lang w:val="es-ES_tradnl"/>
              </w:rPr>
              <w:t>2020</w:t>
            </w:r>
          </w:p>
        </w:tc>
      </w:tr>
      <w:tr w:rsidR="00F234CD" w:rsidRPr="00F567E1" w14:paraId="14166F74"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26B7372F" w14:textId="77777777" w:rsidR="00DB2767" w:rsidRPr="00F567E1" w:rsidRDefault="00DB2767">
            <w:pPr>
              <w:spacing w:before="40" w:after="40"/>
              <w:rPr>
                <w:sz w:val="18"/>
                <w:szCs w:val="18"/>
                <w:lang w:val="es-ES_tradnl"/>
              </w:rPr>
            </w:pPr>
            <w:r w:rsidRPr="00F567E1">
              <w:rPr>
                <w:color w:val="000000"/>
                <w:sz w:val="18"/>
                <w:szCs w:val="18"/>
                <w:lang w:val="es-ES_tradnl"/>
              </w:rPr>
              <w:t>Pilas de botón de óxido de plata con un contenido de mercurio &lt; 2 % y pilas de botón zinc-aire con un contenido de mercurio &lt; 2 %</w:t>
            </w:r>
          </w:p>
        </w:tc>
        <w:tc>
          <w:tcPr>
            <w:tcW w:w="2598" w:type="dxa"/>
            <w:tcBorders>
              <w:top w:val="single" w:sz="4" w:space="0" w:color="auto"/>
              <w:left w:val="single" w:sz="4" w:space="0" w:color="auto"/>
              <w:bottom w:val="single" w:sz="4" w:space="0" w:color="auto"/>
              <w:right w:val="single" w:sz="4" w:space="0" w:color="auto"/>
            </w:tcBorders>
            <w:hideMark/>
          </w:tcPr>
          <w:p w14:paraId="5DCCC7B6" w14:textId="77777777" w:rsidR="00DB2767" w:rsidRPr="00F567E1" w:rsidRDefault="00DB2767">
            <w:pPr>
              <w:spacing w:before="40" w:after="40"/>
              <w:rPr>
                <w:sz w:val="18"/>
                <w:szCs w:val="18"/>
                <w:lang w:val="es-ES_tradnl"/>
              </w:rPr>
            </w:pPr>
            <w:r w:rsidRPr="00F567E1">
              <w:rPr>
                <w:color w:val="000000"/>
                <w:sz w:val="18"/>
                <w:szCs w:val="18"/>
                <w:lang w:val="es-ES_tradnl"/>
              </w:rPr>
              <w:t>2025</w:t>
            </w:r>
          </w:p>
        </w:tc>
      </w:tr>
      <w:tr w:rsidR="00F234CD" w:rsidRPr="00F567E1" w14:paraId="27FE868E"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3BBE82EB" w14:textId="77777777" w:rsidR="00DB2767" w:rsidRPr="00F567E1" w:rsidRDefault="00DB2767">
            <w:pPr>
              <w:spacing w:before="40" w:after="40"/>
              <w:rPr>
                <w:sz w:val="18"/>
                <w:szCs w:val="18"/>
                <w:lang w:val="es-ES_tradnl"/>
              </w:rPr>
            </w:pPr>
            <w:r w:rsidRPr="00F567E1">
              <w:rPr>
                <w:color w:val="000000"/>
                <w:sz w:val="18"/>
                <w:szCs w:val="18"/>
                <w:lang w:val="es-ES_tradnl"/>
              </w:rPr>
              <w:t>Interruptores y relés, excepto puentes medidores de capacitancia y pérdida de alta precisión e interruptores y relés de radiofrecuencia de alta frecuencia utilizados en instrumentos de monitorización y control con un contenido máximo de mercurio de 20 mg por puente, interruptor o relé</w:t>
            </w:r>
          </w:p>
        </w:tc>
        <w:tc>
          <w:tcPr>
            <w:tcW w:w="2598" w:type="dxa"/>
            <w:tcBorders>
              <w:top w:val="single" w:sz="4" w:space="0" w:color="auto"/>
              <w:left w:val="single" w:sz="4" w:space="0" w:color="auto"/>
              <w:bottom w:val="single" w:sz="4" w:space="0" w:color="auto"/>
              <w:right w:val="single" w:sz="4" w:space="0" w:color="auto"/>
            </w:tcBorders>
            <w:hideMark/>
          </w:tcPr>
          <w:p w14:paraId="16B139AE" w14:textId="77777777" w:rsidR="00DB2767" w:rsidRPr="00F567E1" w:rsidRDefault="00DB2767">
            <w:pPr>
              <w:spacing w:before="40" w:after="40"/>
              <w:rPr>
                <w:sz w:val="18"/>
                <w:szCs w:val="18"/>
                <w:lang w:val="es-ES_tradnl"/>
              </w:rPr>
            </w:pPr>
            <w:r w:rsidRPr="00F567E1">
              <w:rPr>
                <w:color w:val="000000"/>
                <w:sz w:val="18"/>
                <w:szCs w:val="18"/>
                <w:lang w:val="es-ES_tradnl"/>
              </w:rPr>
              <w:t>2020</w:t>
            </w:r>
          </w:p>
        </w:tc>
      </w:tr>
      <w:tr w:rsidR="00F234CD" w:rsidRPr="00F567E1" w14:paraId="7F10936F"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6A7CADDB" w14:textId="77777777" w:rsidR="00DB2767" w:rsidRPr="00F567E1" w:rsidRDefault="00DB2767">
            <w:pPr>
              <w:spacing w:before="40" w:after="40"/>
              <w:rPr>
                <w:sz w:val="18"/>
                <w:szCs w:val="18"/>
                <w:lang w:val="es-ES_tradnl"/>
              </w:rPr>
            </w:pPr>
            <w:r w:rsidRPr="00F567E1">
              <w:rPr>
                <w:color w:val="000000"/>
                <w:sz w:val="18"/>
                <w:szCs w:val="18"/>
                <w:lang w:val="es-ES_tradnl"/>
              </w:rPr>
              <w:t>Puentes medidores de capacitancia y pérdida de alta precisión e interruptores y relés de radiofrecuencia de alta frecuencia utilizados en instrumentos de monitorización y control con un contenido máximo de mercurio de 20 mg por puente, interruptor o relé, salvo aquellos utilizados con fines de investigación y desarrollo</w:t>
            </w:r>
          </w:p>
        </w:tc>
        <w:tc>
          <w:tcPr>
            <w:tcW w:w="2598" w:type="dxa"/>
            <w:tcBorders>
              <w:top w:val="single" w:sz="4" w:space="0" w:color="auto"/>
              <w:left w:val="single" w:sz="4" w:space="0" w:color="auto"/>
              <w:bottom w:val="single" w:sz="4" w:space="0" w:color="auto"/>
              <w:right w:val="single" w:sz="4" w:space="0" w:color="auto"/>
            </w:tcBorders>
            <w:hideMark/>
          </w:tcPr>
          <w:p w14:paraId="4C269435" w14:textId="77777777" w:rsidR="00DB2767" w:rsidRPr="00F567E1" w:rsidRDefault="00DB2767">
            <w:pPr>
              <w:spacing w:before="40" w:after="40"/>
              <w:rPr>
                <w:sz w:val="18"/>
                <w:szCs w:val="18"/>
                <w:lang w:val="es-ES_tradnl"/>
              </w:rPr>
            </w:pPr>
            <w:r w:rsidRPr="00F567E1">
              <w:rPr>
                <w:color w:val="000000"/>
                <w:sz w:val="18"/>
                <w:szCs w:val="18"/>
                <w:lang w:val="es-ES_tradnl"/>
              </w:rPr>
              <w:t>2025</w:t>
            </w:r>
          </w:p>
        </w:tc>
      </w:tr>
      <w:tr w:rsidR="00F234CD" w:rsidRPr="00F567E1" w14:paraId="115CF2D5"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39F515E4" w14:textId="133AC31D" w:rsidR="00DB2767" w:rsidRPr="00F567E1" w:rsidRDefault="00DB2767">
            <w:pPr>
              <w:spacing w:before="40" w:after="40"/>
              <w:rPr>
                <w:sz w:val="18"/>
                <w:szCs w:val="18"/>
                <w:lang w:val="es-ES_tradnl"/>
              </w:rPr>
            </w:pPr>
            <w:r w:rsidRPr="00F567E1">
              <w:rPr>
                <w:color w:val="000000"/>
                <w:sz w:val="18"/>
                <w:szCs w:val="18"/>
                <w:lang w:val="es-ES_tradnl"/>
              </w:rPr>
              <w:t>Lámparas fluorescentes compactas (CFL) para usos generales de iluminación de ≤ 30 vatios con un contenido de mercurio superior a</w:t>
            </w:r>
            <w:r w:rsidR="00715245" w:rsidRPr="00F567E1">
              <w:rPr>
                <w:color w:val="000000"/>
                <w:sz w:val="18"/>
                <w:szCs w:val="18"/>
                <w:lang w:val="es-ES_tradnl"/>
              </w:rPr>
              <w:t> </w:t>
            </w:r>
            <w:r w:rsidRPr="00F567E1">
              <w:rPr>
                <w:color w:val="000000"/>
                <w:sz w:val="18"/>
                <w:szCs w:val="18"/>
                <w:lang w:val="es-ES_tradnl"/>
              </w:rPr>
              <w:t>5 mg por quemador de lámpara</w:t>
            </w:r>
          </w:p>
        </w:tc>
        <w:tc>
          <w:tcPr>
            <w:tcW w:w="2598" w:type="dxa"/>
            <w:tcBorders>
              <w:top w:val="single" w:sz="4" w:space="0" w:color="auto"/>
              <w:left w:val="single" w:sz="4" w:space="0" w:color="auto"/>
              <w:bottom w:val="single" w:sz="4" w:space="0" w:color="auto"/>
              <w:right w:val="single" w:sz="4" w:space="0" w:color="auto"/>
            </w:tcBorders>
            <w:hideMark/>
          </w:tcPr>
          <w:p w14:paraId="0A559C61" w14:textId="77777777" w:rsidR="00DB2767" w:rsidRPr="00F567E1" w:rsidRDefault="00DB2767">
            <w:pPr>
              <w:spacing w:before="40" w:after="40"/>
              <w:rPr>
                <w:sz w:val="18"/>
                <w:szCs w:val="18"/>
                <w:lang w:val="es-ES_tradnl"/>
              </w:rPr>
            </w:pPr>
            <w:r w:rsidRPr="00F567E1">
              <w:rPr>
                <w:color w:val="000000"/>
                <w:sz w:val="18"/>
                <w:szCs w:val="18"/>
                <w:lang w:val="es-ES_tradnl"/>
              </w:rPr>
              <w:t>2020</w:t>
            </w:r>
          </w:p>
        </w:tc>
      </w:tr>
      <w:tr w:rsidR="00F234CD" w:rsidRPr="00F567E1" w14:paraId="62E00A8C"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35DC94B2" w14:textId="77777777" w:rsidR="00DB2767" w:rsidRPr="00F567E1" w:rsidRDefault="00DB2767">
            <w:pPr>
              <w:spacing w:before="40" w:after="40"/>
              <w:rPr>
                <w:sz w:val="18"/>
                <w:szCs w:val="18"/>
                <w:lang w:val="es-ES_tradnl"/>
              </w:rPr>
            </w:pPr>
            <w:r w:rsidRPr="00F567E1">
              <w:rPr>
                <w:color w:val="000000"/>
                <w:sz w:val="18"/>
                <w:szCs w:val="18"/>
                <w:lang w:val="es-ES_tradnl"/>
              </w:rPr>
              <w:t>Lámparas fluorescentes compactas (CFL) para usos generales de iluminación de &gt; 30 vatios</w:t>
            </w:r>
          </w:p>
        </w:tc>
        <w:tc>
          <w:tcPr>
            <w:tcW w:w="2598" w:type="dxa"/>
            <w:tcBorders>
              <w:top w:val="single" w:sz="4" w:space="0" w:color="auto"/>
              <w:left w:val="single" w:sz="4" w:space="0" w:color="auto"/>
              <w:bottom w:val="single" w:sz="4" w:space="0" w:color="auto"/>
              <w:right w:val="single" w:sz="4" w:space="0" w:color="auto"/>
            </w:tcBorders>
            <w:hideMark/>
          </w:tcPr>
          <w:p w14:paraId="6A4136CB" w14:textId="77777777" w:rsidR="00DB2767" w:rsidRPr="00F567E1" w:rsidRDefault="00DB2767">
            <w:pPr>
              <w:spacing w:before="40" w:after="40"/>
              <w:rPr>
                <w:sz w:val="18"/>
                <w:szCs w:val="18"/>
                <w:lang w:val="es-ES_tradnl"/>
              </w:rPr>
            </w:pPr>
            <w:r w:rsidRPr="00F567E1">
              <w:rPr>
                <w:color w:val="000000"/>
                <w:sz w:val="18"/>
                <w:szCs w:val="18"/>
                <w:lang w:val="es-ES_tradnl"/>
              </w:rPr>
              <w:t>2026</w:t>
            </w:r>
          </w:p>
        </w:tc>
      </w:tr>
      <w:tr w:rsidR="00F234CD" w:rsidRPr="00F567E1" w14:paraId="7DFEC6F7"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48017FEA" w14:textId="77777777" w:rsidR="00DB2767" w:rsidRPr="00F567E1" w:rsidRDefault="00DB2767">
            <w:pPr>
              <w:spacing w:before="40" w:after="40"/>
              <w:rPr>
                <w:sz w:val="18"/>
                <w:szCs w:val="18"/>
                <w:lang w:val="es-ES_tradnl"/>
              </w:rPr>
            </w:pPr>
            <w:r w:rsidRPr="00F567E1">
              <w:rPr>
                <w:color w:val="000000"/>
                <w:sz w:val="18"/>
                <w:szCs w:val="18"/>
                <w:lang w:val="es-ES_tradnl"/>
              </w:rPr>
              <w:t>Lámparas fluorescentes compactas con balasto integrado (</w:t>
            </w:r>
            <w:proofErr w:type="spellStart"/>
            <w:r w:rsidRPr="00F567E1">
              <w:rPr>
                <w:color w:val="000000"/>
                <w:sz w:val="18"/>
                <w:szCs w:val="18"/>
                <w:lang w:val="es-ES_tradnl"/>
              </w:rPr>
              <w:t>CFL.i</w:t>
            </w:r>
            <w:proofErr w:type="spellEnd"/>
            <w:r w:rsidRPr="00F567E1">
              <w:rPr>
                <w:color w:val="000000"/>
                <w:sz w:val="18"/>
                <w:szCs w:val="18"/>
                <w:lang w:val="es-ES_tradnl"/>
              </w:rPr>
              <w:t>) para usos generales de iluminación de ≤ 30 vatios con un contenido de mercurio no superior a 5 mg por quemador de lámpara</w:t>
            </w:r>
          </w:p>
        </w:tc>
        <w:tc>
          <w:tcPr>
            <w:tcW w:w="2598" w:type="dxa"/>
            <w:tcBorders>
              <w:top w:val="single" w:sz="4" w:space="0" w:color="auto"/>
              <w:left w:val="single" w:sz="4" w:space="0" w:color="auto"/>
              <w:bottom w:val="single" w:sz="4" w:space="0" w:color="auto"/>
              <w:right w:val="single" w:sz="4" w:space="0" w:color="auto"/>
            </w:tcBorders>
            <w:hideMark/>
          </w:tcPr>
          <w:p w14:paraId="7C9512CA" w14:textId="77777777" w:rsidR="00DB2767" w:rsidRPr="00F567E1" w:rsidRDefault="00DB2767">
            <w:pPr>
              <w:spacing w:before="40" w:after="40"/>
              <w:rPr>
                <w:sz w:val="18"/>
                <w:szCs w:val="18"/>
                <w:lang w:val="es-ES_tradnl"/>
              </w:rPr>
            </w:pPr>
            <w:r w:rsidRPr="00F567E1">
              <w:rPr>
                <w:color w:val="000000"/>
                <w:sz w:val="18"/>
                <w:szCs w:val="18"/>
                <w:lang w:val="es-ES_tradnl"/>
              </w:rPr>
              <w:t>2025</w:t>
            </w:r>
          </w:p>
        </w:tc>
      </w:tr>
      <w:tr w:rsidR="00F234CD" w:rsidRPr="00F567E1" w14:paraId="03B15216"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3223EE0A" w14:textId="77777777" w:rsidR="00DB2767" w:rsidRPr="00F567E1" w:rsidRDefault="00DB2767">
            <w:pPr>
              <w:spacing w:before="40" w:after="40"/>
              <w:rPr>
                <w:sz w:val="18"/>
                <w:szCs w:val="18"/>
                <w:lang w:val="es-ES_tradnl"/>
              </w:rPr>
            </w:pPr>
            <w:r w:rsidRPr="00F567E1">
              <w:rPr>
                <w:color w:val="000000"/>
                <w:sz w:val="18"/>
                <w:szCs w:val="18"/>
                <w:lang w:val="es-ES_tradnl"/>
              </w:rPr>
              <w:t>Lámparas fluorescentes compactas con balasto no integrado (CFL.ni) para usos generales de iluminación de ≤ 30 vatios con un contenido de mercurio no superior a 5 mg por quemador de lámpara</w:t>
            </w:r>
          </w:p>
        </w:tc>
        <w:tc>
          <w:tcPr>
            <w:tcW w:w="2598" w:type="dxa"/>
            <w:tcBorders>
              <w:top w:val="single" w:sz="4" w:space="0" w:color="auto"/>
              <w:left w:val="single" w:sz="4" w:space="0" w:color="auto"/>
              <w:bottom w:val="single" w:sz="4" w:space="0" w:color="auto"/>
              <w:right w:val="single" w:sz="4" w:space="0" w:color="auto"/>
            </w:tcBorders>
            <w:hideMark/>
          </w:tcPr>
          <w:p w14:paraId="276FB64C" w14:textId="77777777" w:rsidR="00DB2767" w:rsidRPr="00F567E1" w:rsidRDefault="00DB2767">
            <w:pPr>
              <w:spacing w:before="40" w:after="40"/>
              <w:rPr>
                <w:sz w:val="18"/>
                <w:szCs w:val="18"/>
                <w:lang w:val="es-ES_tradnl"/>
              </w:rPr>
            </w:pPr>
            <w:r w:rsidRPr="00F567E1">
              <w:rPr>
                <w:color w:val="000000"/>
                <w:sz w:val="18"/>
                <w:szCs w:val="18"/>
                <w:lang w:val="es-ES_tradnl"/>
              </w:rPr>
              <w:t>2026</w:t>
            </w:r>
          </w:p>
        </w:tc>
      </w:tr>
      <w:tr w:rsidR="00F234CD" w:rsidRPr="00F567E1" w14:paraId="08F1672B"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44A6CC9D" w14:textId="77777777" w:rsidR="00DB2767" w:rsidRPr="00F567E1" w:rsidRDefault="00DB2767">
            <w:pPr>
              <w:spacing w:before="40" w:after="40"/>
              <w:rPr>
                <w:sz w:val="18"/>
                <w:szCs w:val="18"/>
                <w:lang w:val="es-ES_tradnl"/>
              </w:rPr>
            </w:pPr>
            <w:r w:rsidRPr="00F567E1">
              <w:rPr>
                <w:color w:val="000000"/>
                <w:sz w:val="18"/>
                <w:szCs w:val="18"/>
                <w:lang w:val="es-ES_tradnl"/>
              </w:rPr>
              <w:t>Lámparas fluorescentes lineales (LFL) para usos generales de iluminación:</w:t>
            </w:r>
          </w:p>
          <w:p w14:paraId="4E048CD5" w14:textId="77777777" w:rsidR="00DB2767" w:rsidRPr="00F567E1" w:rsidRDefault="00DB2767" w:rsidP="00DB2767">
            <w:pPr>
              <w:keepNext/>
              <w:keepLines/>
              <w:numPr>
                <w:ilvl w:val="0"/>
                <w:numId w:val="79"/>
              </w:numPr>
              <w:tabs>
                <w:tab w:val="left" w:pos="720"/>
              </w:tabs>
              <w:spacing w:before="40" w:after="40"/>
              <w:rPr>
                <w:sz w:val="18"/>
                <w:szCs w:val="18"/>
                <w:lang w:val="es-ES_tradnl"/>
              </w:rPr>
            </w:pPr>
            <w:r w:rsidRPr="00F567E1">
              <w:rPr>
                <w:color w:val="000000"/>
                <w:sz w:val="18"/>
                <w:szCs w:val="18"/>
                <w:lang w:val="es-ES_tradnl"/>
              </w:rPr>
              <w:t>Fósforo tribanda de &lt; 60 vatios con un contenido de mercurio superior a 5 mg por lámpara;</w:t>
            </w:r>
          </w:p>
          <w:p w14:paraId="1F9BB381" w14:textId="77777777" w:rsidR="00DB2767" w:rsidRPr="00F567E1" w:rsidRDefault="00DB2767" w:rsidP="00DB2767">
            <w:pPr>
              <w:keepNext/>
              <w:keepLines/>
              <w:numPr>
                <w:ilvl w:val="0"/>
                <w:numId w:val="79"/>
              </w:numPr>
              <w:tabs>
                <w:tab w:val="left" w:pos="720"/>
              </w:tabs>
              <w:spacing w:before="40" w:after="40"/>
              <w:rPr>
                <w:sz w:val="18"/>
                <w:szCs w:val="18"/>
                <w:lang w:val="es-ES_tradnl"/>
              </w:rPr>
            </w:pPr>
            <w:r w:rsidRPr="00F567E1">
              <w:rPr>
                <w:color w:val="000000"/>
                <w:sz w:val="18"/>
                <w:szCs w:val="18"/>
                <w:lang w:val="es-ES_tradnl"/>
              </w:rPr>
              <w:t xml:space="preserve">Fósforo en </w:t>
            </w:r>
            <w:proofErr w:type="spellStart"/>
            <w:r w:rsidRPr="00F567E1">
              <w:rPr>
                <w:color w:val="000000"/>
                <w:sz w:val="18"/>
                <w:szCs w:val="18"/>
                <w:lang w:val="es-ES_tradnl"/>
              </w:rPr>
              <w:t>halofosfato</w:t>
            </w:r>
            <w:proofErr w:type="spellEnd"/>
            <w:r w:rsidRPr="00F567E1">
              <w:rPr>
                <w:color w:val="000000"/>
                <w:sz w:val="18"/>
                <w:szCs w:val="18"/>
                <w:lang w:val="es-ES_tradnl"/>
              </w:rPr>
              <w:t xml:space="preserve"> de ≤ 40 vatios con un contenido de mercurio superior a 10 mg por lámpara </w:t>
            </w:r>
          </w:p>
        </w:tc>
        <w:tc>
          <w:tcPr>
            <w:tcW w:w="2598" w:type="dxa"/>
            <w:tcBorders>
              <w:top w:val="single" w:sz="4" w:space="0" w:color="auto"/>
              <w:left w:val="single" w:sz="4" w:space="0" w:color="auto"/>
              <w:bottom w:val="single" w:sz="4" w:space="0" w:color="auto"/>
              <w:right w:val="single" w:sz="4" w:space="0" w:color="auto"/>
            </w:tcBorders>
            <w:hideMark/>
          </w:tcPr>
          <w:p w14:paraId="33421376" w14:textId="77777777" w:rsidR="00DB2767" w:rsidRPr="00F567E1" w:rsidRDefault="00DB2767">
            <w:pPr>
              <w:keepNext/>
              <w:keepLines/>
              <w:spacing w:before="40" w:after="40"/>
              <w:rPr>
                <w:sz w:val="18"/>
                <w:szCs w:val="18"/>
                <w:lang w:val="es-ES_tradnl"/>
              </w:rPr>
            </w:pPr>
            <w:r w:rsidRPr="00F567E1">
              <w:rPr>
                <w:color w:val="000000"/>
                <w:sz w:val="18"/>
                <w:szCs w:val="18"/>
                <w:lang w:val="es-ES_tradnl"/>
              </w:rPr>
              <w:t>2020</w:t>
            </w:r>
          </w:p>
        </w:tc>
      </w:tr>
      <w:tr w:rsidR="00F234CD" w:rsidRPr="00F567E1" w14:paraId="1765803D"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300F932C" w14:textId="77777777" w:rsidR="00DB2767" w:rsidRPr="00F567E1" w:rsidRDefault="00DB2767">
            <w:pPr>
              <w:spacing w:before="40" w:after="40"/>
              <w:rPr>
                <w:sz w:val="18"/>
                <w:szCs w:val="18"/>
                <w:lang w:val="es-ES_tradnl"/>
              </w:rPr>
            </w:pPr>
            <w:r w:rsidRPr="00F567E1">
              <w:rPr>
                <w:color w:val="000000"/>
                <w:sz w:val="18"/>
                <w:szCs w:val="18"/>
                <w:lang w:val="es-ES_tradnl"/>
              </w:rPr>
              <w:t>Lámparas fluorescentes lineales (LFL) para usos generales de iluminación:</w:t>
            </w:r>
          </w:p>
          <w:p w14:paraId="608DBB73" w14:textId="77777777" w:rsidR="00DB2767" w:rsidRPr="00F567E1" w:rsidRDefault="00DB2767" w:rsidP="00DB2767">
            <w:pPr>
              <w:numPr>
                <w:ilvl w:val="0"/>
                <w:numId w:val="80"/>
              </w:numPr>
              <w:spacing w:before="40" w:after="40"/>
              <w:rPr>
                <w:sz w:val="18"/>
                <w:szCs w:val="18"/>
                <w:lang w:val="es-ES_tradnl"/>
              </w:rPr>
            </w:pPr>
            <w:r w:rsidRPr="00F567E1">
              <w:rPr>
                <w:color w:val="000000"/>
                <w:sz w:val="18"/>
                <w:szCs w:val="18"/>
                <w:lang w:val="es-ES_tradnl"/>
              </w:rPr>
              <w:t xml:space="preserve">Fósforo en </w:t>
            </w:r>
            <w:proofErr w:type="spellStart"/>
            <w:r w:rsidRPr="00F567E1">
              <w:rPr>
                <w:color w:val="000000"/>
                <w:sz w:val="18"/>
                <w:szCs w:val="18"/>
                <w:lang w:val="es-ES_tradnl"/>
              </w:rPr>
              <w:t>halofosfato</w:t>
            </w:r>
            <w:proofErr w:type="spellEnd"/>
            <w:r w:rsidRPr="00F567E1">
              <w:rPr>
                <w:color w:val="000000"/>
                <w:sz w:val="18"/>
                <w:szCs w:val="18"/>
                <w:lang w:val="es-ES_tradnl"/>
              </w:rPr>
              <w:t xml:space="preserve"> de ≤ 40 vatios con un contenido de mercurio no superior a 10 mg por lámpara </w:t>
            </w:r>
          </w:p>
          <w:p w14:paraId="385D1B05" w14:textId="77777777" w:rsidR="00DB2767" w:rsidRPr="00F567E1" w:rsidRDefault="00DB2767" w:rsidP="00DB2767">
            <w:pPr>
              <w:numPr>
                <w:ilvl w:val="0"/>
                <w:numId w:val="80"/>
              </w:numPr>
              <w:spacing w:before="40" w:after="40"/>
              <w:rPr>
                <w:sz w:val="18"/>
                <w:szCs w:val="18"/>
                <w:lang w:val="es-ES_tradnl"/>
              </w:rPr>
            </w:pPr>
            <w:r w:rsidRPr="00F567E1">
              <w:rPr>
                <w:color w:val="000000"/>
                <w:sz w:val="18"/>
                <w:szCs w:val="18"/>
                <w:lang w:val="es-ES_tradnl"/>
              </w:rPr>
              <w:t xml:space="preserve">Fósforo en </w:t>
            </w:r>
            <w:proofErr w:type="spellStart"/>
            <w:r w:rsidRPr="00F567E1">
              <w:rPr>
                <w:color w:val="000000"/>
                <w:sz w:val="18"/>
                <w:szCs w:val="18"/>
                <w:lang w:val="es-ES_tradnl"/>
              </w:rPr>
              <w:t>halofosfato</w:t>
            </w:r>
            <w:proofErr w:type="spellEnd"/>
            <w:r w:rsidRPr="00F567E1">
              <w:rPr>
                <w:color w:val="000000"/>
                <w:sz w:val="18"/>
                <w:szCs w:val="18"/>
                <w:lang w:val="es-ES_tradnl"/>
              </w:rPr>
              <w:t xml:space="preserve"> de &gt; 40 vatios</w:t>
            </w:r>
          </w:p>
        </w:tc>
        <w:tc>
          <w:tcPr>
            <w:tcW w:w="2598" w:type="dxa"/>
            <w:tcBorders>
              <w:top w:val="single" w:sz="4" w:space="0" w:color="auto"/>
              <w:left w:val="single" w:sz="4" w:space="0" w:color="auto"/>
              <w:bottom w:val="single" w:sz="4" w:space="0" w:color="auto"/>
              <w:right w:val="single" w:sz="4" w:space="0" w:color="auto"/>
            </w:tcBorders>
            <w:hideMark/>
          </w:tcPr>
          <w:p w14:paraId="66E26C66" w14:textId="77777777" w:rsidR="00DB2767" w:rsidRPr="00F567E1" w:rsidRDefault="00DB2767">
            <w:pPr>
              <w:spacing w:before="40" w:after="40"/>
              <w:rPr>
                <w:sz w:val="18"/>
                <w:szCs w:val="18"/>
                <w:lang w:val="es-ES_tradnl"/>
              </w:rPr>
            </w:pPr>
            <w:r w:rsidRPr="00F567E1">
              <w:rPr>
                <w:color w:val="000000"/>
                <w:sz w:val="18"/>
                <w:szCs w:val="18"/>
                <w:lang w:val="es-ES_tradnl"/>
              </w:rPr>
              <w:t>2026</w:t>
            </w:r>
          </w:p>
        </w:tc>
      </w:tr>
      <w:tr w:rsidR="00F234CD" w:rsidRPr="00F567E1" w14:paraId="1150D9A4"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2BF56F51" w14:textId="77777777" w:rsidR="00DB2767" w:rsidRPr="00F567E1" w:rsidRDefault="00DB2767">
            <w:pPr>
              <w:spacing w:before="40" w:after="40"/>
              <w:rPr>
                <w:sz w:val="18"/>
                <w:szCs w:val="18"/>
                <w:lang w:val="es-ES_tradnl"/>
              </w:rPr>
            </w:pPr>
            <w:r w:rsidRPr="00F567E1">
              <w:rPr>
                <w:color w:val="000000"/>
                <w:sz w:val="18"/>
                <w:szCs w:val="18"/>
                <w:lang w:val="es-ES_tradnl"/>
              </w:rPr>
              <w:t>Lámparas fluorescentes lineales (LFL) para usos generales de iluminación:</w:t>
            </w:r>
          </w:p>
          <w:p w14:paraId="01BC3106" w14:textId="77777777" w:rsidR="00DB2767" w:rsidRPr="00F567E1" w:rsidRDefault="00DB2767" w:rsidP="00DB2767">
            <w:pPr>
              <w:numPr>
                <w:ilvl w:val="0"/>
                <w:numId w:val="81"/>
              </w:numPr>
              <w:spacing w:before="40" w:after="40"/>
              <w:rPr>
                <w:sz w:val="18"/>
                <w:szCs w:val="18"/>
                <w:lang w:val="es-ES_tradnl"/>
              </w:rPr>
            </w:pPr>
            <w:r w:rsidRPr="00F567E1">
              <w:rPr>
                <w:color w:val="000000"/>
                <w:sz w:val="18"/>
                <w:szCs w:val="18"/>
                <w:lang w:val="es-ES_tradnl"/>
              </w:rPr>
              <w:t>Fósforo tribanda de &lt; 60 vatios con un contenido de mercurio no superior a 5 mg/lámpara</w:t>
            </w:r>
          </w:p>
          <w:p w14:paraId="2BB1684E" w14:textId="77777777" w:rsidR="00DB2767" w:rsidRPr="00F567E1" w:rsidRDefault="00DB2767" w:rsidP="00DB2767">
            <w:pPr>
              <w:numPr>
                <w:ilvl w:val="0"/>
                <w:numId w:val="81"/>
              </w:numPr>
              <w:spacing w:before="40" w:after="40"/>
              <w:rPr>
                <w:sz w:val="18"/>
                <w:szCs w:val="18"/>
                <w:lang w:val="es-ES_tradnl"/>
              </w:rPr>
            </w:pPr>
            <w:r w:rsidRPr="00F567E1">
              <w:rPr>
                <w:color w:val="000000"/>
                <w:sz w:val="18"/>
                <w:szCs w:val="18"/>
                <w:lang w:val="es-ES_tradnl"/>
              </w:rPr>
              <w:t>Fósforo tribanda de ≥ 60 vatios con un contenido de mercurio no superior a 5 mg por lámpara</w:t>
            </w:r>
          </w:p>
          <w:p w14:paraId="4FFB49DC" w14:textId="77777777" w:rsidR="00DB2767" w:rsidRPr="00F567E1" w:rsidRDefault="00DB2767" w:rsidP="00DB2767">
            <w:pPr>
              <w:numPr>
                <w:ilvl w:val="0"/>
                <w:numId w:val="81"/>
              </w:numPr>
              <w:spacing w:before="40" w:after="40"/>
              <w:rPr>
                <w:sz w:val="18"/>
                <w:szCs w:val="18"/>
                <w:lang w:val="es-ES_tradnl"/>
              </w:rPr>
            </w:pPr>
            <w:r w:rsidRPr="00F567E1">
              <w:rPr>
                <w:color w:val="000000"/>
                <w:sz w:val="18"/>
                <w:szCs w:val="18"/>
                <w:lang w:val="es-ES_tradnl"/>
              </w:rPr>
              <w:t>Fósforo tribanda de ≥ 60 vatios con un contenido de mercurio superior a 5 mg por lámpara</w:t>
            </w:r>
          </w:p>
        </w:tc>
        <w:tc>
          <w:tcPr>
            <w:tcW w:w="2598" w:type="dxa"/>
            <w:tcBorders>
              <w:top w:val="single" w:sz="4" w:space="0" w:color="auto"/>
              <w:left w:val="single" w:sz="4" w:space="0" w:color="auto"/>
              <w:bottom w:val="single" w:sz="4" w:space="0" w:color="auto"/>
              <w:right w:val="single" w:sz="4" w:space="0" w:color="auto"/>
            </w:tcBorders>
            <w:hideMark/>
          </w:tcPr>
          <w:p w14:paraId="764D5F60" w14:textId="77777777" w:rsidR="00DB2767" w:rsidRPr="00F567E1" w:rsidRDefault="00DB2767">
            <w:pPr>
              <w:spacing w:before="40" w:after="40"/>
              <w:rPr>
                <w:sz w:val="18"/>
                <w:szCs w:val="18"/>
                <w:lang w:val="es-ES_tradnl"/>
              </w:rPr>
            </w:pPr>
            <w:r w:rsidRPr="00F567E1">
              <w:rPr>
                <w:color w:val="000000"/>
                <w:sz w:val="18"/>
                <w:szCs w:val="18"/>
                <w:lang w:val="es-ES_tradnl"/>
              </w:rPr>
              <w:t>2027</w:t>
            </w:r>
          </w:p>
        </w:tc>
      </w:tr>
      <w:tr w:rsidR="00F234CD" w:rsidRPr="00F567E1" w14:paraId="3372D9FA"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65BA347A" w14:textId="77777777" w:rsidR="00DB2767" w:rsidRPr="00F567E1" w:rsidRDefault="00DB2767">
            <w:pPr>
              <w:spacing w:before="40" w:after="40"/>
              <w:rPr>
                <w:sz w:val="18"/>
                <w:szCs w:val="18"/>
                <w:lang w:val="es-ES_tradnl"/>
              </w:rPr>
            </w:pPr>
            <w:r w:rsidRPr="00F567E1">
              <w:rPr>
                <w:color w:val="000000"/>
                <w:sz w:val="18"/>
                <w:szCs w:val="18"/>
                <w:lang w:val="es-ES_tradnl"/>
              </w:rPr>
              <w:t>Lámparas fluorescentes no lineales (NFL) (p. ej., en forma de U y circulares) para usos generales de iluminación:</w:t>
            </w:r>
          </w:p>
          <w:p w14:paraId="337C2C99" w14:textId="77777777" w:rsidR="00DB2767" w:rsidRPr="00F567E1" w:rsidRDefault="00DB2767" w:rsidP="00DB2767">
            <w:pPr>
              <w:numPr>
                <w:ilvl w:val="0"/>
                <w:numId w:val="82"/>
              </w:numPr>
              <w:spacing w:before="40" w:after="40"/>
              <w:ind w:left="318" w:hanging="318"/>
              <w:rPr>
                <w:sz w:val="18"/>
                <w:szCs w:val="18"/>
                <w:lang w:val="es-ES_tradnl"/>
              </w:rPr>
            </w:pPr>
            <w:r w:rsidRPr="00F567E1">
              <w:rPr>
                <w:color w:val="000000"/>
                <w:sz w:val="18"/>
                <w:szCs w:val="18"/>
                <w:lang w:val="es-ES_tradnl"/>
              </w:rPr>
              <w:t>Fósforo tribanda, todas las potencias</w:t>
            </w:r>
          </w:p>
        </w:tc>
        <w:tc>
          <w:tcPr>
            <w:tcW w:w="2598" w:type="dxa"/>
            <w:tcBorders>
              <w:top w:val="single" w:sz="4" w:space="0" w:color="auto"/>
              <w:left w:val="single" w:sz="4" w:space="0" w:color="auto"/>
              <w:bottom w:val="single" w:sz="4" w:space="0" w:color="auto"/>
              <w:right w:val="single" w:sz="4" w:space="0" w:color="auto"/>
            </w:tcBorders>
            <w:hideMark/>
          </w:tcPr>
          <w:p w14:paraId="3DC7C239" w14:textId="77777777" w:rsidR="00DB2767" w:rsidRPr="00F567E1" w:rsidRDefault="00DB2767">
            <w:pPr>
              <w:spacing w:before="40" w:after="40"/>
              <w:rPr>
                <w:sz w:val="18"/>
                <w:szCs w:val="18"/>
                <w:lang w:val="es-ES_tradnl"/>
              </w:rPr>
            </w:pPr>
            <w:r w:rsidRPr="00F567E1">
              <w:rPr>
                <w:color w:val="000000"/>
                <w:sz w:val="18"/>
                <w:szCs w:val="18"/>
                <w:lang w:val="es-ES_tradnl"/>
              </w:rPr>
              <w:t>2027</w:t>
            </w:r>
          </w:p>
        </w:tc>
      </w:tr>
      <w:tr w:rsidR="00F234CD" w:rsidRPr="00F567E1" w14:paraId="497DD7F7"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58211A6B" w14:textId="77777777" w:rsidR="00DB2767" w:rsidRPr="00F567E1" w:rsidRDefault="00DB2767" w:rsidP="00DB2767">
            <w:pPr>
              <w:numPr>
                <w:ilvl w:val="0"/>
                <w:numId w:val="82"/>
              </w:numPr>
              <w:spacing w:before="40" w:after="40"/>
              <w:ind w:left="318" w:hanging="318"/>
              <w:rPr>
                <w:sz w:val="18"/>
                <w:szCs w:val="18"/>
                <w:lang w:val="es-ES_tradnl"/>
              </w:rPr>
            </w:pPr>
            <w:r w:rsidRPr="00F567E1">
              <w:rPr>
                <w:color w:val="000000"/>
                <w:sz w:val="18"/>
                <w:szCs w:val="18"/>
                <w:lang w:val="es-ES_tradnl"/>
              </w:rPr>
              <w:t xml:space="preserve">Fósforo en </w:t>
            </w:r>
            <w:proofErr w:type="spellStart"/>
            <w:r w:rsidRPr="00F567E1">
              <w:rPr>
                <w:color w:val="000000"/>
                <w:sz w:val="18"/>
                <w:szCs w:val="18"/>
                <w:lang w:val="es-ES_tradnl"/>
              </w:rPr>
              <w:t>halofosfato</w:t>
            </w:r>
            <w:proofErr w:type="spellEnd"/>
            <w:r w:rsidRPr="00F567E1">
              <w:rPr>
                <w:color w:val="000000"/>
                <w:sz w:val="18"/>
                <w:szCs w:val="18"/>
                <w:lang w:val="es-ES_tradnl"/>
              </w:rPr>
              <w:t>, todas las potencias</w:t>
            </w:r>
          </w:p>
        </w:tc>
        <w:tc>
          <w:tcPr>
            <w:tcW w:w="2598" w:type="dxa"/>
            <w:tcBorders>
              <w:top w:val="single" w:sz="4" w:space="0" w:color="auto"/>
              <w:left w:val="single" w:sz="4" w:space="0" w:color="auto"/>
              <w:bottom w:val="single" w:sz="4" w:space="0" w:color="auto"/>
              <w:right w:val="single" w:sz="4" w:space="0" w:color="auto"/>
            </w:tcBorders>
            <w:hideMark/>
          </w:tcPr>
          <w:p w14:paraId="08FF6978" w14:textId="77777777" w:rsidR="00DB2767" w:rsidRPr="00F567E1" w:rsidRDefault="00DB2767">
            <w:pPr>
              <w:spacing w:before="40" w:after="40"/>
              <w:rPr>
                <w:sz w:val="18"/>
                <w:szCs w:val="18"/>
                <w:lang w:val="es-ES_tradnl"/>
              </w:rPr>
            </w:pPr>
            <w:r w:rsidRPr="00F567E1">
              <w:rPr>
                <w:color w:val="000000"/>
                <w:sz w:val="18"/>
                <w:szCs w:val="18"/>
                <w:lang w:val="es-ES_tradnl"/>
              </w:rPr>
              <w:t>2026</w:t>
            </w:r>
          </w:p>
        </w:tc>
      </w:tr>
      <w:tr w:rsidR="00F234CD" w:rsidRPr="00F567E1" w14:paraId="61A6BA92"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7BD3017C" w14:textId="77777777" w:rsidR="00DB2767" w:rsidRPr="00F567E1" w:rsidRDefault="00DB2767">
            <w:pPr>
              <w:spacing w:before="40" w:after="40"/>
              <w:rPr>
                <w:sz w:val="18"/>
                <w:szCs w:val="18"/>
                <w:lang w:val="es-ES_tradnl"/>
              </w:rPr>
            </w:pPr>
            <w:r w:rsidRPr="00F567E1">
              <w:rPr>
                <w:color w:val="000000"/>
                <w:sz w:val="18"/>
                <w:szCs w:val="18"/>
                <w:lang w:val="es-ES_tradnl"/>
              </w:rPr>
              <w:t xml:space="preserve">Lámparas de vapor de mercurio a alta presión (HPMV) para usos generales de iluminación </w:t>
            </w:r>
          </w:p>
        </w:tc>
        <w:tc>
          <w:tcPr>
            <w:tcW w:w="2598" w:type="dxa"/>
            <w:tcBorders>
              <w:top w:val="single" w:sz="4" w:space="0" w:color="auto"/>
              <w:left w:val="single" w:sz="4" w:space="0" w:color="auto"/>
              <w:bottom w:val="single" w:sz="4" w:space="0" w:color="auto"/>
              <w:right w:val="single" w:sz="4" w:space="0" w:color="auto"/>
            </w:tcBorders>
            <w:hideMark/>
          </w:tcPr>
          <w:p w14:paraId="68ECDB52" w14:textId="77777777" w:rsidR="00DB2767" w:rsidRPr="00F567E1" w:rsidRDefault="00DB2767">
            <w:pPr>
              <w:spacing w:before="40" w:after="40"/>
              <w:rPr>
                <w:sz w:val="18"/>
                <w:szCs w:val="18"/>
                <w:lang w:val="es-ES_tradnl"/>
              </w:rPr>
            </w:pPr>
            <w:r w:rsidRPr="00F567E1">
              <w:rPr>
                <w:color w:val="000000"/>
                <w:sz w:val="18"/>
                <w:szCs w:val="18"/>
                <w:lang w:val="es-ES_tradnl"/>
              </w:rPr>
              <w:t>2020</w:t>
            </w:r>
          </w:p>
        </w:tc>
      </w:tr>
      <w:tr w:rsidR="00F234CD" w:rsidRPr="00F567E1" w14:paraId="3679DA57"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54504E73" w14:textId="77777777" w:rsidR="00DB2767" w:rsidRPr="00F567E1" w:rsidRDefault="00DB2767">
            <w:pPr>
              <w:spacing w:before="40" w:after="40"/>
              <w:rPr>
                <w:sz w:val="18"/>
                <w:szCs w:val="18"/>
                <w:lang w:val="es-ES_tradnl"/>
              </w:rPr>
            </w:pPr>
            <w:r w:rsidRPr="00F567E1">
              <w:rPr>
                <w:color w:val="000000"/>
                <w:sz w:val="18"/>
                <w:szCs w:val="18"/>
                <w:lang w:val="es-ES_tradnl"/>
              </w:rPr>
              <w:lastRenderedPageBreak/>
              <w:t xml:space="preserve">Mercurio en lámparas fluorescentes de cátodo frío y lámparas fluorescentes de electrodo externo (CCFL y EEFL) para pantallas electrónicas: </w:t>
            </w:r>
          </w:p>
          <w:p w14:paraId="27DE82B2" w14:textId="77777777" w:rsidR="00DB2767" w:rsidRPr="00F567E1" w:rsidRDefault="00DB2767" w:rsidP="00DB2767">
            <w:pPr>
              <w:numPr>
                <w:ilvl w:val="0"/>
                <w:numId w:val="83"/>
              </w:numPr>
              <w:tabs>
                <w:tab w:val="left" w:pos="720"/>
              </w:tabs>
              <w:spacing w:before="40" w:after="40"/>
              <w:rPr>
                <w:sz w:val="18"/>
                <w:szCs w:val="18"/>
                <w:lang w:val="es-ES_tradnl"/>
              </w:rPr>
            </w:pPr>
            <w:r w:rsidRPr="00F567E1">
              <w:rPr>
                <w:color w:val="000000"/>
                <w:sz w:val="18"/>
                <w:szCs w:val="18"/>
                <w:lang w:val="es-ES_tradnl"/>
              </w:rPr>
              <w:t>De longitud corta (≤ 500 mm) con un contenido de mercurio superior a 3,5 mg por lámpara</w:t>
            </w:r>
          </w:p>
          <w:p w14:paraId="1E48B63E" w14:textId="77777777" w:rsidR="00DB2767" w:rsidRPr="00F567E1" w:rsidRDefault="00DB2767" w:rsidP="00DB2767">
            <w:pPr>
              <w:numPr>
                <w:ilvl w:val="0"/>
                <w:numId w:val="83"/>
              </w:numPr>
              <w:tabs>
                <w:tab w:val="left" w:pos="720"/>
              </w:tabs>
              <w:spacing w:before="40" w:after="40"/>
              <w:rPr>
                <w:sz w:val="18"/>
                <w:szCs w:val="18"/>
                <w:lang w:val="es-ES_tradnl"/>
              </w:rPr>
            </w:pPr>
            <w:r w:rsidRPr="00F567E1">
              <w:rPr>
                <w:color w:val="000000"/>
                <w:sz w:val="18"/>
                <w:szCs w:val="18"/>
                <w:lang w:val="es-ES_tradnl"/>
              </w:rPr>
              <w:t>De longitud media (&gt; 500 mm y ≤ 1.500 mm) con un contenido de mercurio superior a 5 mg por lámpara</w:t>
            </w:r>
          </w:p>
          <w:p w14:paraId="66841840" w14:textId="77777777" w:rsidR="00DB2767" w:rsidRPr="00F567E1" w:rsidRDefault="00DB2767" w:rsidP="00DB2767">
            <w:pPr>
              <w:numPr>
                <w:ilvl w:val="0"/>
                <w:numId w:val="83"/>
              </w:numPr>
              <w:tabs>
                <w:tab w:val="left" w:pos="720"/>
              </w:tabs>
              <w:spacing w:before="40" w:after="40"/>
              <w:rPr>
                <w:sz w:val="18"/>
                <w:szCs w:val="18"/>
                <w:lang w:val="es-ES_tradnl"/>
              </w:rPr>
            </w:pPr>
            <w:r w:rsidRPr="00F567E1">
              <w:rPr>
                <w:color w:val="000000"/>
                <w:sz w:val="18"/>
                <w:szCs w:val="18"/>
                <w:lang w:val="es-ES_tradnl"/>
              </w:rPr>
              <w:t>De longitud larga (&gt; 1.500 mm) con un contenido de mercurio superior a 13 mg por lámpara</w:t>
            </w:r>
          </w:p>
        </w:tc>
        <w:tc>
          <w:tcPr>
            <w:tcW w:w="2598" w:type="dxa"/>
            <w:tcBorders>
              <w:top w:val="single" w:sz="4" w:space="0" w:color="auto"/>
              <w:left w:val="single" w:sz="4" w:space="0" w:color="auto"/>
              <w:bottom w:val="single" w:sz="4" w:space="0" w:color="auto"/>
              <w:right w:val="single" w:sz="4" w:space="0" w:color="auto"/>
            </w:tcBorders>
            <w:hideMark/>
          </w:tcPr>
          <w:p w14:paraId="74A34423" w14:textId="77777777" w:rsidR="00DB2767" w:rsidRPr="00F567E1" w:rsidRDefault="00DB2767">
            <w:pPr>
              <w:spacing w:before="40" w:after="40"/>
              <w:rPr>
                <w:sz w:val="18"/>
                <w:szCs w:val="18"/>
                <w:lang w:val="es-ES_tradnl"/>
              </w:rPr>
            </w:pPr>
            <w:r w:rsidRPr="00F567E1">
              <w:rPr>
                <w:color w:val="000000"/>
                <w:sz w:val="18"/>
                <w:szCs w:val="18"/>
                <w:lang w:val="es-ES_tradnl"/>
              </w:rPr>
              <w:t>2020</w:t>
            </w:r>
          </w:p>
        </w:tc>
      </w:tr>
      <w:tr w:rsidR="00F234CD" w:rsidRPr="00F567E1" w14:paraId="1C8739BA"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7BBA1D89" w14:textId="77777777" w:rsidR="00DB2767" w:rsidRPr="00F567E1" w:rsidRDefault="00DB2767">
            <w:pPr>
              <w:spacing w:before="40" w:after="40"/>
              <w:rPr>
                <w:sz w:val="18"/>
                <w:szCs w:val="18"/>
                <w:lang w:val="es-ES_tradnl"/>
              </w:rPr>
            </w:pPr>
            <w:r w:rsidRPr="00F567E1">
              <w:rPr>
                <w:color w:val="000000"/>
                <w:sz w:val="18"/>
                <w:szCs w:val="18"/>
                <w:lang w:val="es-ES_tradnl"/>
              </w:rPr>
              <w:t>Lámparas fluorescentes de cátodo frío (CCFL) y lámparas fluorescentes de electrodo externo (EEFL) de todas las longitudes para pantallas electrónicas, no incluidas en la lista detallada más arriba</w:t>
            </w:r>
          </w:p>
        </w:tc>
        <w:tc>
          <w:tcPr>
            <w:tcW w:w="2598" w:type="dxa"/>
            <w:tcBorders>
              <w:top w:val="single" w:sz="4" w:space="0" w:color="auto"/>
              <w:left w:val="single" w:sz="4" w:space="0" w:color="auto"/>
              <w:bottom w:val="single" w:sz="4" w:space="0" w:color="auto"/>
              <w:right w:val="single" w:sz="4" w:space="0" w:color="auto"/>
            </w:tcBorders>
            <w:hideMark/>
          </w:tcPr>
          <w:p w14:paraId="2E0BFA1F" w14:textId="77777777" w:rsidR="00DB2767" w:rsidRPr="00F567E1" w:rsidRDefault="00DB2767">
            <w:pPr>
              <w:spacing w:before="40" w:after="40"/>
              <w:rPr>
                <w:sz w:val="18"/>
                <w:szCs w:val="18"/>
                <w:lang w:val="es-ES_tradnl"/>
              </w:rPr>
            </w:pPr>
            <w:r w:rsidRPr="00F567E1">
              <w:rPr>
                <w:color w:val="000000"/>
                <w:sz w:val="18"/>
                <w:szCs w:val="18"/>
                <w:lang w:val="es-ES_tradnl"/>
              </w:rPr>
              <w:t>2025</w:t>
            </w:r>
          </w:p>
        </w:tc>
      </w:tr>
      <w:tr w:rsidR="00F234CD" w:rsidRPr="00F567E1" w14:paraId="279A61D9"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0ABE4C78" w14:textId="77777777" w:rsidR="00DB2767" w:rsidRPr="00F567E1" w:rsidRDefault="00DB2767">
            <w:pPr>
              <w:spacing w:before="40" w:after="40"/>
              <w:rPr>
                <w:sz w:val="18"/>
                <w:szCs w:val="18"/>
                <w:lang w:val="es-ES_tradnl"/>
              </w:rPr>
            </w:pPr>
            <w:r w:rsidRPr="00F567E1">
              <w:rPr>
                <w:color w:val="000000"/>
                <w:sz w:val="18"/>
                <w:szCs w:val="18"/>
                <w:lang w:val="es-ES_tradnl"/>
              </w:rPr>
              <w:t>Cosméticos (con un contenido de mercurio superior a 1 ppm), incluidos los jabones y las cremas para aclarar la piel, pero sin incluir los cosméticos para la zona de alrededor de los ojos que utilicen mercurio como conservante y para los que no existan conservantes alternativos eficaces y seguros</w:t>
            </w:r>
            <w:r w:rsidRPr="00F567E1">
              <w:rPr>
                <w:color w:val="000000"/>
                <w:sz w:val="18"/>
                <w:szCs w:val="18"/>
                <w:vertAlign w:val="superscript"/>
                <w:lang w:val="es-ES_tradnl"/>
              </w:rPr>
              <w:t>1</w:t>
            </w:r>
            <w:r w:rsidRPr="00F567E1">
              <w:rPr>
                <w:color w:val="000000"/>
                <w:sz w:val="18"/>
                <w:szCs w:val="18"/>
                <w:lang w:val="es-ES_tradnl"/>
              </w:rPr>
              <w:t>/</w:t>
            </w:r>
          </w:p>
        </w:tc>
        <w:tc>
          <w:tcPr>
            <w:tcW w:w="2598" w:type="dxa"/>
            <w:tcBorders>
              <w:top w:val="single" w:sz="4" w:space="0" w:color="auto"/>
              <w:left w:val="single" w:sz="4" w:space="0" w:color="auto"/>
              <w:bottom w:val="single" w:sz="4" w:space="0" w:color="auto"/>
              <w:right w:val="single" w:sz="4" w:space="0" w:color="auto"/>
            </w:tcBorders>
            <w:hideMark/>
          </w:tcPr>
          <w:p w14:paraId="41885E67" w14:textId="77777777" w:rsidR="00DB2767" w:rsidRPr="00F567E1" w:rsidRDefault="00DB2767">
            <w:pPr>
              <w:keepNext/>
              <w:keepLines/>
              <w:spacing w:before="40" w:after="40"/>
              <w:rPr>
                <w:sz w:val="18"/>
                <w:szCs w:val="18"/>
                <w:lang w:val="es-ES_tradnl"/>
              </w:rPr>
            </w:pPr>
            <w:r w:rsidRPr="00F567E1">
              <w:rPr>
                <w:color w:val="000000"/>
                <w:sz w:val="18"/>
                <w:szCs w:val="18"/>
                <w:lang w:val="es-ES_tradnl"/>
              </w:rPr>
              <w:t>2020</w:t>
            </w:r>
          </w:p>
        </w:tc>
      </w:tr>
      <w:tr w:rsidR="00F234CD" w:rsidRPr="00F567E1" w14:paraId="4026E398"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68A87FCC" w14:textId="77777777" w:rsidR="00DB2767" w:rsidRPr="00F567E1" w:rsidRDefault="00DB2767">
            <w:pPr>
              <w:spacing w:before="40" w:after="40"/>
              <w:rPr>
                <w:sz w:val="18"/>
                <w:szCs w:val="18"/>
                <w:lang w:val="es-ES_tradnl"/>
              </w:rPr>
            </w:pPr>
            <w:r w:rsidRPr="00F567E1">
              <w:rPr>
                <w:color w:val="000000"/>
                <w:sz w:val="18"/>
                <w:szCs w:val="18"/>
                <w:lang w:val="es-ES_tradnl"/>
              </w:rPr>
              <w:t>Cosméticos, incluidos los jabones y las cremas para aclarar la piel, pero sin incluir los cosméticos para la zona de alrededor de los ojos que utilicen mercurio como conservante y para los que no existan conservantes alternativos eficaces y seguros</w:t>
            </w:r>
            <w:r w:rsidRPr="00F567E1">
              <w:rPr>
                <w:color w:val="000000"/>
                <w:sz w:val="18"/>
                <w:szCs w:val="18"/>
                <w:vertAlign w:val="superscript"/>
                <w:lang w:val="es-ES_tradnl"/>
              </w:rPr>
              <w:t>1</w:t>
            </w:r>
            <w:r w:rsidRPr="00F567E1">
              <w:rPr>
                <w:color w:val="000000"/>
                <w:sz w:val="18"/>
                <w:szCs w:val="18"/>
                <w:lang w:val="es-ES_tradnl"/>
              </w:rPr>
              <w:t>/</w:t>
            </w:r>
          </w:p>
        </w:tc>
        <w:tc>
          <w:tcPr>
            <w:tcW w:w="2598" w:type="dxa"/>
            <w:tcBorders>
              <w:top w:val="single" w:sz="4" w:space="0" w:color="auto"/>
              <w:left w:val="single" w:sz="4" w:space="0" w:color="auto"/>
              <w:bottom w:val="single" w:sz="4" w:space="0" w:color="auto"/>
              <w:right w:val="single" w:sz="4" w:space="0" w:color="auto"/>
            </w:tcBorders>
            <w:hideMark/>
          </w:tcPr>
          <w:p w14:paraId="233B9744" w14:textId="77777777" w:rsidR="00DB2767" w:rsidRPr="00F567E1" w:rsidRDefault="00DB2767">
            <w:pPr>
              <w:spacing w:before="40" w:after="40"/>
              <w:rPr>
                <w:sz w:val="18"/>
                <w:szCs w:val="18"/>
                <w:lang w:val="es-ES_tradnl"/>
              </w:rPr>
            </w:pPr>
            <w:r w:rsidRPr="00F567E1">
              <w:rPr>
                <w:color w:val="000000"/>
                <w:sz w:val="18"/>
                <w:szCs w:val="18"/>
                <w:lang w:val="es-ES_tradnl"/>
              </w:rPr>
              <w:t>2025</w:t>
            </w:r>
          </w:p>
        </w:tc>
      </w:tr>
      <w:tr w:rsidR="00F234CD" w:rsidRPr="00F567E1" w14:paraId="5A152A0B"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2EF61A88" w14:textId="02B19A03" w:rsidR="00DB2767" w:rsidRPr="00F567E1" w:rsidRDefault="00DB2767">
            <w:pPr>
              <w:spacing w:before="40" w:after="40"/>
              <w:rPr>
                <w:sz w:val="18"/>
                <w:szCs w:val="18"/>
                <w:lang w:val="es-ES_tradnl"/>
              </w:rPr>
            </w:pPr>
            <w:r w:rsidRPr="00F567E1">
              <w:rPr>
                <w:color w:val="000000"/>
                <w:sz w:val="18"/>
                <w:szCs w:val="18"/>
                <w:lang w:val="es-ES_tradnl"/>
              </w:rPr>
              <w:t>Plaguicidas, biocidas y antisépticos de uso tópico</w:t>
            </w:r>
          </w:p>
        </w:tc>
        <w:tc>
          <w:tcPr>
            <w:tcW w:w="2598" w:type="dxa"/>
            <w:tcBorders>
              <w:top w:val="single" w:sz="4" w:space="0" w:color="auto"/>
              <w:left w:val="single" w:sz="4" w:space="0" w:color="auto"/>
              <w:bottom w:val="single" w:sz="4" w:space="0" w:color="auto"/>
              <w:right w:val="single" w:sz="4" w:space="0" w:color="auto"/>
            </w:tcBorders>
            <w:hideMark/>
          </w:tcPr>
          <w:p w14:paraId="3264A4DB" w14:textId="77777777" w:rsidR="00DB2767" w:rsidRPr="00F567E1" w:rsidRDefault="00DB2767">
            <w:pPr>
              <w:spacing w:before="40" w:after="40"/>
              <w:rPr>
                <w:sz w:val="18"/>
                <w:szCs w:val="18"/>
                <w:lang w:val="es-ES_tradnl"/>
              </w:rPr>
            </w:pPr>
            <w:r w:rsidRPr="00F567E1">
              <w:rPr>
                <w:color w:val="000000"/>
                <w:sz w:val="18"/>
                <w:szCs w:val="18"/>
                <w:lang w:val="es-ES_tradnl"/>
              </w:rPr>
              <w:t>2020</w:t>
            </w:r>
          </w:p>
        </w:tc>
      </w:tr>
      <w:tr w:rsidR="00F234CD" w:rsidRPr="00F567E1" w14:paraId="47EFDF44"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78FAC295" w14:textId="77777777" w:rsidR="00DB2767" w:rsidRPr="00F567E1" w:rsidRDefault="00DB2767">
            <w:pPr>
              <w:spacing w:before="40" w:after="40"/>
              <w:rPr>
                <w:sz w:val="18"/>
                <w:szCs w:val="18"/>
                <w:lang w:val="es-ES_tradnl"/>
              </w:rPr>
            </w:pPr>
            <w:r w:rsidRPr="00F567E1">
              <w:rPr>
                <w:color w:val="000000"/>
                <w:sz w:val="18"/>
                <w:szCs w:val="18"/>
                <w:lang w:val="es-ES_tradnl"/>
              </w:rPr>
              <w:t>Los siguientes aparatos de medición no electrónicos, a excepción de los aparatos de medición no electrónicos instalados en equipos de gran escala o los utilizados para mediciones de alta precisión, cuando no haya disponible ninguna alternativa adecuada sin mercurio:</w:t>
            </w:r>
          </w:p>
          <w:p w14:paraId="4707BF1F" w14:textId="77777777" w:rsidR="00DB2767" w:rsidRPr="00F567E1" w:rsidRDefault="00DB2767" w:rsidP="00DB2767">
            <w:pPr>
              <w:numPr>
                <w:ilvl w:val="0"/>
                <w:numId w:val="84"/>
              </w:numPr>
              <w:tabs>
                <w:tab w:val="left" w:pos="720"/>
              </w:tabs>
              <w:spacing w:before="40" w:after="40"/>
              <w:rPr>
                <w:sz w:val="18"/>
                <w:szCs w:val="18"/>
                <w:lang w:val="es-ES_tradnl"/>
              </w:rPr>
            </w:pPr>
            <w:r w:rsidRPr="00F567E1">
              <w:rPr>
                <w:color w:val="000000"/>
                <w:sz w:val="18"/>
                <w:szCs w:val="18"/>
                <w:lang w:val="es-ES_tradnl"/>
              </w:rPr>
              <w:t>Barómetros;</w:t>
            </w:r>
          </w:p>
          <w:p w14:paraId="0F3BDECF" w14:textId="77777777" w:rsidR="00DB2767" w:rsidRPr="00F567E1" w:rsidRDefault="00DB2767" w:rsidP="00DB2767">
            <w:pPr>
              <w:numPr>
                <w:ilvl w:val="0"/>
                <w:numId w:val="84"/>
              </w:numPr>
              <w:tabs>
                <w:tab w:val="left" w:pos="720"/>
              </w:tabs>
              <w:spacing w:before="40" w:after="40"/>
              <w:rPr>
                <w:sz w:val="18"/>
                <w:szCs w:val="18"/>
                <w:lang w:val="es-ES_tradnl"/>
              </w:rPr>
            </w:pPr>
            <w:r w:rsidRPr="00F567E1">
              <w:rPr>
                <w:color w:val="000000"/>
                <w:sz w:val="18"/>
                <w:szCs w:val="18"/>
                <w:lang w:val="es-ES_tradnl"/>
              </w:rPr>
              <w:t>Higrómetros;</w:t>
            </w:r>
          </w:p>
          <w:p w14:paraId="06DF56D0" w14:textId="77777777" w:rsidR="00DB2767" w:rsidRPr="00F567E1" w:rsidRDefault="00DB2767" w:rsidP="00DB2767">
            <w:pPr>
              <w:numPr>
                <w:ilvl w:val="0"/>
                <w:numId w:val="84"/>
              </w:numPr>
              <w:tabs>
                <w:tab w:val="left" w:pos="720"/>
              </w:tabs>
              <w:spacing w:before="40" w:after="40"/>
              <w:rPr>
                <w:sz w:val="18"/>
                <w:szCs w:val="18"/>
                <w:lang w:val="es-ES_tradnl"/>
              </w:rPr>
            </w:pPr>
            <w:r w:rsidRPr="00F567E1">
              <w:rPr>
                <w:color w:val="000000"/>
                <w:sz w:val="18"/>
                <w:szCs w:val="18"/>
                <w:lang w:val="es-ES_tradnl"/>
              </w:rPr>
              <w:t>Manómetros;</w:t>
            </w:r>
          </w:p>
          <w:p w14:paraId="41121219" w14:textId="77777777" w:rsidR="00DB2767" w:rsidRPr="00F567E1" w:rsidRDefault="00DB2767" w:rsidP="00DB2767">
            <w:pPr>
              <w:numPr>
                <w:ilvl w:val="0"/>
                <w:numId w:val="84"/>
              </w:numPr>
              <w:tabs>
                <w:tab w:val="left" w:pos="720"/>
              </w:tabs>
              <w:spacing w:before="40" w:after="40"/>
              <w:rPr>
                <w:sz w:val="18"/>
                <w:szCs w:val="18"/>
                <w:lang w:val="es-ES_tradnl"/>
              </w:rPr>
            </w:pPr>
            <w:r w:rsidRPr="00F567E1">
              <w:rPr>
                <w:color w:val="000000"/>
                <w:sz w:val="18"/>
                <w:szCs w:val="18"/>
                <w:lang w:val="es-ES_tradnl"/>
              </w:rPr>
              <w:t>Termómetros;</w:t>
            </w:r>
          </w:p>
          <w:p w14:paraId="6D4D2D2F" w14:textId="77777777" w:rsidR="00DB2767" w:rsidRPr="00F567E1" w:rsidRDefault="00DB2767" w:rsidP="00DB2767">
            <w:pPr>
              <w:numPr>
                <w:ilvl w:val="0"/>
                <w:numId w:val="84"/>
              </w:numPr>
              <w:tabs>
                <w:tab w:val="left" w:pos="720"/>
              </w:tabs>
              <w:spacing w:before="40" w:after="40"/>
              <w:rPr>
                <w:sz w:val="18"/>
                <w:szCs w:val="18"/>
                <w:lang w:val="es-ES_tradnl"/>
              </w:rPr>
            </w:pPr>
            <w:r w:rsidRPr="00F567E1">
              <w:rPr>
                <w:color w:val="000000"/>
                <w:sz w:val="18"/>
                <w:szCs w:val="18"/>
                <w:lang w:val="es-ES_tradnl"/>
              </w:rPr>
              <w:t>Esfigmomanómetros.</w:t>
            </w:r>
          </w:p>
        </w:tc>
        <w:tc>
          <w:tcPr>
            <w:tcW w:w="2598" w:type="dxa"/>
            <w:tcBorders>
              <w:top w:val="single" w:sz="4" w:space="0" w:color="auto"/>
              <w:left w:val="single" w:sz="4" w:space="0" w:color="auto"/>
              <w:bottom w:val="single" w:sz="4" w:space="0" w:color="auto"/>
              <w:right w:val="single" w:sz="4" w:space="0" w:color="auto"/>
            </w:tcBorders>
            <w:hideMark/>
          </w:tcPr>
          <w:p w14:paraId="44CB57B0" w14:textId="77777777" w:rsidR="00DB2767" w:rsidRPr="00F567E1" w:rsidRDefault="00DB2767">
            <w:pPr>
              <w:spacing w:before="40" w:after="40"/>
              <w:rPr>
                <w:sz w:val="18"/>
                <w:szCs w:val="18"/>
                <w:lang w:val="es-ES_tradnl"/>
              </w:rPr>
            </w:pPr>
            <w:r w:rsidRPr="00F567E1">
              <w:rPr>
                <w:color w:val="000000"/>
                <w:sz w:val="18"/>
                <w:szCs w:val="18"/>
                <w:lang w:val="es-ES_tradnl"/>
              </w:rPr>
              <w:t>2020</w:t>
            </w:r>
          </w:p>
        </w:tc>
      </w:tr>
      <w:tr w:rsidR="00F234CD" w:rsidRPr="00F567E1" w14:paraId="1DD8B7E0"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585515DC" w14:textId="77777777" w:rsidR="00DB2767" w:rsidRPr="00F567E1" w:rsidRDefault="00DB2767">
            <w:pPr>
              <w:spacing w:before="40" w:after="40"/>
              <w:rPr>
                <w:sz w:val="18"/>
                <w:szCs w:val="18"/>
                <w:lang w:val="es-ES_tradnl"/>
              </w:rPr>
            </w:pPr>
            <w:r w:rsidRPr="00F567E1">
              <w:rPr>
                <w:color w:val="000000"/>
                <w:sz w:val="18"/>
                <w:szCs w:val="18"/>
                <w:lang w:val="es-ES_tradnl"/>
              </w:rPr>
              <w:t xml:space="preserve">Galgas extensométricas para su uso en pletismógrafos; </w:t>
            </w:r>
          </w:p>
        </w:tc>
        <w:tc>
          <w:tcPr>
            <w:tcW w:w="2598" w:type="dxa"/>
            <w:tcBorders>
              <w:top w:val="single" w:sz="4" w:space="0" w:color="auto"/>
              <w:left w:val="single" w:sz="4" w:space="0" w:color="auto"/>
              <w:bottom w:val="single" w:sz="4" w:space="0" w:color="auto"/>
              <w:right w:val="single" w:sz="4" w:space="0" w:color="auto"/>
            </w:tcBorders>
            <w:hideMark/>
          </w:tcPr>
          <w:p w14:paraId="533470D0" w14:textId="77777777" w:rsidR="00DB2767" w:rsidRPr="00F567E1" w:rsidRDefault="00DB2767">
            <w:pPr>
              <w:spacing w:before="40" w:after="40"/>
              <w:rPr>
                <w:sz w:val="18"/>
                <w:szCs w:val="18"/>
                <w:lang w:val="es-ES_tradnl"/>
              </w:rPr>
            </w:pPr>
            <w:r w:rsidRPr="00F567E1">
              <w:rPr>
                <w:color w:val="000000"/>
                <w:sz w:val="18"/>
                <w:szCs w:val="18"/>
                <w:lang w:val="es-ES_tradnl"/>
              </w:rPr>
              <w:t>2025</w:t>
            </w:r>
          </w:p>
        </w:tc>
      </w:tr>
      <w:tr w:rsidR="00F234CD" w:rsidRPr="00F567E1" w14:paraId="12589BF8"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1E12DDD3" w14:textId="77777777" w:rsidR="00DB2767" w:rsidRPr="00F567E1" w:rsidRDefault="00DB2767">
            <w:pPr>
              <w:spacing w:before="40" w:after="40"/>
              <w:rPr>
                <w:sz w:val="18"/>
                <w:szCs w:val="18"/>
                <w:lang w:val="es-ES_tradnl"/>
              </w:rPr>
            </w:pPr>
            <w:r w:rsidRPr="00F567E1">
              <w:rPr>
                <w:color w:val="000000"/>
                <w:sz w:val="18"/>
                <w:szCs w:val="18"/>
                <w:lang w:val="es-ES_tradnl"/>
              </w:rPr>
              <w:t>Los siguientes aparatos de medición eléctricos y electrónicos, a excepción de los instalados en equipos de gran escala o los utilizados para mediciones de alta precisión, cuando no haya disponible ninguna alternativa adecuada sin mercurio:</w:t>
            </w:r>
          </w:p>
          <w:p w14:paraId="54D4AC23" w14:textId="77777777" w:rsidR="00DB2767" w:rsidRPr="00F567E1" w:rsidRDefault="00DB2767" w:rsidP="00DB2767">
            <w:pPr>
              <w:keepNext/>
              <w:keepLines/>
              <w:numPr>
                <w:ilvl w:val="0"/>
                <w:numId w:val="85"/>
              </w:numPr>
              <w:tabs>
                <w:tab w:val="left" w:pos="720"/>
              </w:tabs>
              <w:spacing w:before="60" w:after="40"/>
              <w:ind w:left="357" w:hanging="357"/>
              <w:rPr>
                <w:sz w:val="18"/>
                <w:szCs w:val="18"/>
                <w:lang w:val="es-ES_tradnl"/>
              </w:rPr>
            </w:pPr>
            <w:r w:rsidRPr="00F567E1">
              <w:rPr>
                <w:color w:val="000000"/>
                <w:sz w:val="18"/>
                <w:szCs w:val="18"/>
                <w:lang w:val="es-ES_tradnl"/>
              </w:rPr>
              <w:t>Transductores, transmisores y sensores de presión de fusión</w:t>
            </w:r>
          </w:p>
        </w:tc>
        <w:tc>
          <w:tcPr>
            <w:tcW w:w="2598" w:type="dxa"/>
            <w:tcBorders>
              <w:top w:val="single" w:sz="4" w:space="0" w:color="auto"/>
              <w:left w:val="single" w:sz="4" w:space="0" w:color="auto"/>
              <w:bottom w:val="single" w:sz="4" w:space="0" w:color="auto"/>
              <w:right w:val="single" w:sz="4" w:space="0" w:color="auto"/>
            </w:tcBorders>
            <w:hideMark/>
          </w:tcPr>
          <w:p w14:paraId="7DDC954D" w14:textId="77777777" w:rsidR="00DB2767" w:rsidRPr="00F567E1" w:rsidRDefault="00DB2767">
            <w:pPr>
              <w:spacing w:before="40" w:after="40"/>
              <w:rPr>
                <w:sz w:val="18"/>
                <w:szCs w:val="18"/>
                <w:lang w:val="es-ES_tradnl"/>
              </w:rPr>
            </w:pPr>
            <w:r w:rsidRPr="00F567E1">
              <w:rPr>
                <w:color w:val="000000"/>
                <w:sz w:val="18"/>
                <w:szCs w:val="18"/>
                <w:lang w:val="es-ES_tradnl"/>
              </w:rPr>
              <w:t>2025</w:t>
            </w:r>
          </w:p>
        </w:tc>
      </w:tr>
      <w:tr w:rsidR="00F234CD" w:rsidRPr="00F567E1" w14:paraId="0C372279"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6C642945" w14:textId="77777777" w:rsidR="00DB2767" w:rsidRPr="00F567E1" w:rsidRDefault="00DB2767">
            <w:pPr>
              <w:spacing w:before="40" w:after="40"/>
              <w:rPr>
                <w:sz w:val="18"/>
                <w:szCs w:val="18"/>
                <w:lang w:val="es-ES_tradnl"/>
              </w:rPr>
            </w:pPr>
            <w:r w:rsidRPr="00F567E1">
              <w:rPr>
                <w:color w:val="000000"/>
                <w:sz w:val="18"/>
                <w:szCs w:val="18"/>
                <w:lang w:val="es-ES_tradnl"/>
              </w:rPr>
              <w:t>Bombas de vacío de mercurio</w:t>
            </w:r>
          </w:p>
        </w:tc>
        <w:tc>
          <w:tcPr>
            <w:tcW w:w="2598" w:type="dxa"/>
            <w:tcBorders>
              <w:top w:val="single" w:sz="4" w:space="0" w:color="auto"/>
              <w:left w:val="single" w:sz="4" w:space="0" w:color="auto"/>
              <w:bottom w:val="single" w:sz="4" w:space="0" w:color="auto"/>
              <w:right w:val="single" w:sz="4" w:space="0" w:color="auto"/>
            </w:tcBorders>
            <w:hideMark/>
          </w:tcPr>
          <w:p w14:paraId="59903466" w14:textId="77777777" w:rsidR="00DB2767" w:rsidRPr="00F567E1" w:rsidRDefault="00DB2767">
            <w:pPr>
              <w:spacing w:before="40" w:after="40"/>
              <w:rPr>
                <w:sz w:val="18"/>
                <w:szCs w:val="18"/>
                <w:lang w:val="es-ES_tradnl"/>
              </w:rPr>
            </w:pPr>
            <w:r w:rsidRPr="00F567E1">
              <w:rPr>
                <w:color w:val="000000"/>
                <w:sz w:val="18"/>
                <w:szCs w:val="18"/>
                <w:lang w:val="es-ES_tradnl"/>
              </w:rPr>
              <w:t>2025</w:t>
            </w:r>
          </w:p>
        </w:tc>
      </w:tr>
      <w:tr w:rsidR="00F234CD" w:rsidRPr="00F567E1" w14:paraId="391590B1"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3A322146" w14:textId="77777777" w:rsidR="00DB2767" w:rsidRPr="00F567E1" w:rsidRDefault="00DB2767">
            <w:pPr>
              <w:spacing w:before="40" w:after="40"/>
              <w:rPr>
                <w:sz w:val="18"/>
                <w:szCs w:val="18"/>
                <w:lang w:val="es-ES_tradnl"/>
              </w:rPr>
            </w:pPr>
            <w:r w:rsidRPr="00F567E1">
              <w:rPr>
                <w:color w:val="000000"/>
                <w:sz w:val="18"/>
                <w:szCs w:val="18"/>
                <w:lang w:val="es-ES_tradnl"/>
              </w:rPr>
              <w:t>Equilibradoras de neumáticos y contrapesas de ruedas</w:t>
            </w:r>
          </w:p>
        </w:tc>
        <w:tc>
          <w:tcPr>
            <w:tcW w:w="2598" w:type="dxa"/>
            <w:tcBorders>
              <w:top w:val="single" w:sz="4" w:space="0" w:color="auto"/>
              <w:left w:val="single" w:sz="4" w:space="0" w:color="auto"/>
              <w:bottom w:val="single" w:sz="4" w:space="0" w:color="auto"/>
              <w:right w:val="single" w:sz="4" w:space="0" w:color="auto"/>
            </w:tcBorders>
            <w:hideMark/>
          </w:tcPr>
          <w:p w14:paraId="30333F71" w14:textId="77777777" w:rsidR="00DB2767" w:rsidRPr="00F567E1" w:rsidRDefault="00DB2767">
            <w:pPr>
              <w:spacing w:before="40" w:after="40"/>
              <w:rPr>
                <w:sz w:val="18"/>
                <w:szCs w:val="18"/>
                <w:lang w:val="es-ES_tradnl"/>
              </w:rPr>
            </w:pPr>
            <w:r w:rsidRPr="00F567E1">
              <w:rPr>
                <w:color w:val="000000"/>
                <w:sz w:val="18"/>
                <w:szCs w:val="18"/>
                <w:lang w:val="es-ES_tradnl"/>
              </w:rPr>
              <w:t>2025</w:t>
            </w:r>
          </w:p>
        </w:tc>
      </w:tr>
      <w:tr w:rsidR="00F234CD" w:rsidRPr="00F567E1" w14:paraId="1199FD74" w14:textId="77777777">
        <w:trPr>
          <w:trHeight w:val="57"/>
          <w:jc w:val="right"/>
        </w:trPr>
        <w:tc>
          <w:tcPr>
            <w:tcW w:w="5709" w:type="dxa"/>
            <w:tcBorders>
              <w:top w:val="single" w:sz="4" w:space="0" w:color="auto"/>
              <w:left w:val="single" w:sz="4" w:space="0" w:color="auto"/>
              <w:bottom w:val="single" w:sz="4" w:space="0" w:color="auto"/>
              <w:right w:val="single" w:sz="4" w:space="0" w:color="auto"/>
            </w:tcBorders>
            <w:hideMark/>
          </w:tcPr>
          <w:p w14:paraId="0B5CAA73" w14:textId="77777777" w:rsidR="00DB2767" w:rsidRPr="00F567E1" w:rsidRDefault="00DB2767">
            <w:pPr>
              <w:spacing w:before="40" w:after="40"/>
              <w:rPr>
                <w:sz w:val="18"/>
                <w:szCs w:val="18"/>
                <w:lang w:val="es-ES_tradnl"/>
              </w:rPr>
            </w:pPr>
            <w:r w:rsidRPr="00F567E1">
              <w:rPr>
                <w:color w:val="000000"/>
                <w:sz w:val="18"/>
                <w:szCs w:val="18"/>
                <w:lang w:val="es-ES_tradnl"/>
              </w:rPr>
              <w:t>Película y papel fotográficos</w:t>
            </w:r>
          </w:p>
        </w:tc>
        <w:tc>
          <w:tcPr>
            <w:tcW w:w="2598" w:type="dxa"/>
            <w:tcBorders>
              <w:top w:val="single" w:sz="4" w:space="0" w:color="auto"/>
              <w:left w:val="single" w:sz="4" w:space="0" w:color="auto"/>
              <w:bottom w:val="single" w:sz="4" w:space="0" w:color="auto"/>
              <w:right w:val="single" w:sz="4" w:space="0" w:color="auto"/>
            </w:tcBorders>
            <w:hideMark/>
          </w:tcPr>
          <w:p w14:paraId="7D03B093" w14:textId="77777777" w:rsidR="00DB2767" w:rsidRPr="00F567E1" w:rsidRDefault="00DB2767">
            <w:pPr>
              <w:spacing w:before="40" w:after="40"/>
              <w:rPr>
                <w:sz w:val="18"/>
                <w:szCs w:val="18"/>
                <w:lang w:val="es-ES_tradnl"/>
              </w:rPr>
            </w:pPr>
            <w:r w:rsidRPr="00F567E1">
              <w:rPr>
                <w:color w:val="000000"/>
                <w:sz w:val="18"/>
                <w:szCs w:val="18"/>
                <w:lang w:val="es-ES_tradnl"/>
              </w:rPr>
              <w:t>2025</w:t>
            </w:r>
          </w:p>
        </w:tc>
      </w:tr>
      <w:tr w:rsidR="00F234CD" w:rsidRPr="00F567E1" w14:paraId="3FE80356" w14:textId="77777777" w:rsidTr="00D15603">
        <w:trPr>
          <w:trHeight w:val="336"/>
          <w:jc w:val="right"/>
        </w:trPr>
        <w:tc>
          <w:tcPr>
            <w:tcW w:w="5709" w:type="dxa"/>
            <w:tcBorders>
              <w:top w:val="single" w:sz="4" w:space="0" w:color="auto"/>
              <w:left w:val="single" w:sz="4" w:space="0" w:color="auto"/>
              <w:bottom w:val="single" w:sz="4" w:space="0" w:color="auto"/>
              <w:right w:val="single" w:sz="4" w:space="0" w:color="auto"/>
            </w:tcBorders>
            <w:hideMark/>
          </w:tcPr>
          <w:p w14:paraId="5B9CFCF7" w14:textId="77777777" w:rsidR="00DB2767" w:rsidRPr="00F567E1" w:rsidRDefault="00DB2767">
            <w:pPr>
              <w:spacing w:before="40" w:after="40"/>
              <w:rPr>
                <w:sz w:val="18"/>
                <w:szCs w:val="18"/>
                <w:lang w:val="es-ES_tradnl"/>
              </w:rPr>
            </w:pPr>
            <w:r w:rsidRPr="00F567E1">
              <w:rPr>
                <w:color w:val="000000"/>
                <w:sz w:val="18"/>
                <w:szCs w:val="18"/>
                <w:lang w:val="es-ES_tradnl"/>
              </w:rPr>
              <w:t>Propergol para satélites y naves espaciales</w:t>
            </w:r>
          </w:p>
        </w:tc>
        <w:tc>
          <w:tcPr>
            <w:tcW w:w="2598" w:type="dxa"/>
            <w:tcBorders>
              <w:top w:val="single" w:sz="4" w:space="0" w:color="auto"/>
              <w:left w:val="single" w:sz="4" w:space="0" w:color="auto"/>
              <w:bottom w:val="single" w:sz="4" w:space="0" w:color="auto"/>
              <w:right w:val="single" w:sz="4" w:space="0" w:color="auto"/>
            </w:tcBorders>
            <w:hideMark/>
          </w:tcPr>
          <w:p w14:paraId="30A187EB" w14:textId="77777777" w:rsidR="00DB2767" w:rsidRPr="00F567E1" w:rsidRDefault="00DB2767">
            <w:pPr>
              <w:spacing w:before="40" w:after="40"/>
              <w:rPr>
                <w:sz w:val="18"/>
                <w:szCs w:val="18"/>
                <w:lang w:val="es-ES_tradnl"/>
              </w:rPr>
            </w:pPr>
            <w:r w:rsidRPr="00F567E1">
              <w:rPr>
                <w:color w:val="000000"/>
                <w:sz w:val="18"/>
                <w:szCs w:val="18"/>
                <w:lang w:val="es-ES_tradnl"/>
              </w:rPr>
              <w:t>2025</w:t>
            </w:r>
          </w:p>
        </w:tc>
      </w:tr>
      <w:tr w:rsidR="00F234CD" w:rsidRPr="00F567E1" w14:paraId="6D49F555" w14:textId="77777777" w:rsidTr="00D15603">
        <w:trPr>
          <w:trHeight w:val="604"/>
          <w:jc w:val="right"/>
        </w:trPr>
        <w:tc>
          <w:tcPr>
            <w:tcW w:w="5709" w:type="dxa"/>
            <w:tcBorders>
              <w:top w:val="single" w:sz="4" w:space="0" w:color="auto"/>
              <w:left w:val="single" w:sz="4" w:space="0" w:color="auto"/>
              <w:bottom w:val="single" w:sz="12" w:space="0" w:color="auto"/>
              <w:right w:val="single" w:sz="4" w:space="0" w:color="auto"/>
            </w:tcBorders>
            <w:shd w:val="clear" w:color="auto" w:fill="D9D9D9"/>
            <w:hideMark/>
          </w:tcPr>
          <w:p w14:paraId="42D4C03A" w14:textId="77777777" w:rsidR="00DB2767" w:rsidRPr="00F567E1" w:rsidRDefault="00DB2767">
            <w:pPr>
              <w:spacing w:before="40" w:after="40"/>
              <w:rPr>
                <w:sz w:val="18"/>
                <w:szCs w:val="18"/>
                <w:lang w:val="es-ES_tradnl"/>
              </w:rPr>
            </w:pPr>
            <w:r w:rsidRPr="00F567E1">
              <w:rPr>
                <w:color w:val="000000"/>
                <w:sz w:val="18"/>
                <w:szCs w:val="18"/>
                <w:lang w:val="es-ES_tradnl"/>
              </w:rPr>
              <w:t>Amalgama dental, salvo cuando el odontólogo considere necesario ese uso en función de las necesidades del paciente</w:t>
            </w:r>
          </w:p>
        </w:tc>
        <w:tc>
          <w:tcPr>
            <w:tcW w:w="2598" w:type="dxa"/>
            <w:tcBorders>
              <w:top w:val="single" w:sz="4" w:space="0" w:color="auto"/>
              <w:left w:val="single" w:sz="4" w:space="0" w:color="auto"/>
              <w:bottom w:val="single" w:sz="12" w:space="0" w:color="auto"/>
              <w:right w:val="single" w:sz="4" w:space="0" w:color="auto"/>
            </w:tcBorders>
            <w:shd w:val="clear" w:color="auto" w:fill="D9D9D9"/>
            <w:hideMark/>
          </w:tcPr>
          <w:p w14:paraId="76DF3D92" w14:textId="77777777" w:rsidR="00DB2767" w:rsidRPr="00F567E1" w:rsidRDefault="00DB2767">
            <w:pPr>
              <w:spacing w:before="40" w:after="40"/>
              <w:rPr>
                <w:sz w:val="18"/>
                <w:szCs w:val="18"/>
                <w:lang w:val="es-ES_tradnl"/>
              </w:rPr>
            </w:pPr>
            <w:r w:rsidRPr="00F567E1">
              <w:rPr>
                <w:color w:val="000000"/>
                <w:sz w:val="18"/>
                <w:szCs w:val="18"/>
                <w:lang w:val="es-ES_tradnl"/>
              </w:rPr>
              <w:t>2034</w:t>
            </w:r>
          </w:p>
        </w:tc>
      </w:tr>
    </w:tbl>
    <w:p w14:paraId="4955C247" w14:textId="77777777" w:rsidR="00DB2767" w:rsidRPr="00F567E1" w:rsidRDefault="00DB2767" w:rsidP="00DB2767">
      <w:pPr>
        <w:pStyle w:val="Normal-pool"/>
        <w:tabs>
          <w:tab w:val="clear" w:pos="624"/>
          <w:tab w:val="clear" w:pos="1871"/>
          <w:tab w:val="clear" w:pos="2495"/>
          <w:tab w:val="clear" w:pos="3119"/>
          <w:tab w:val="clear" w:pos="3742"/>
          <w:tab w:val="left" w:pos="1814"/>
          <w:tab w:val="left" w:pos="2381"/>
          <w:tab w:val="left" w:pos="2948"/>
          <w:tab w:val="left" w:pos="3515"/>
          <w:tab w:val="left" w:pos="4082"/>
        </w:tabs>
        <w:spacing w:before="60" w:after="120"/>
        <w:ind w:left="1247"/>
        <w:rPr>
          <w:sz w:val="18"/>
          <w:szCs w:val="18"/>
          <w:lang w:val="es-ES_tradnl"/>
        </w:rPr>
      </w:pPr>
      <w:r w:rsidRPr="00F567E1">
        <w:rPr>
          <w:sz w:val="18"/>
          <w:szCs w:val="18"/>
          <w:lang w:val="es-ES_tradnl"/>
        </w:rPr>
        <w:tab/>
      </w:r>
      <w:r w:rsidRPr="00F567E1">
        <w:rPr>
          <w:sz w:val="18"/>
          <w:szCs w:val="18"/>
          <w:vertAlign w:val="superscript"/>
          <w:lang w:val="es-ES_tradnl"/>
        </w:rPr>
        <w:t>1</w:t>
      </w:r>
      <w:r w:rsidRPr="00F567E1">
        <w:rPr>
          <w:sz w:val="18"/>
          <w:szCs w:val="18"/>
          <w:lang w:val="es-ES_tradnl"/>
        </w:rPr>
        <w:t>/ La intención es no abarcar los cosméticos, los jabones o las cremas que contienen trazas contaminantes de mercurio.</w:t>
      </w:r>
    </w:p>
    <w:p w14:paraId="7A0AF621" w14:textId="77777777" w:rsidR="00DB2767" w:rsidRPr="00F567E1" w:rsidRDefault="00DB2767" w:rsidP="00DB2767">
      <w:pPr>
        <w:pStyle w:val="NormalNonumber"/>
        <w:numPr>
          <w:ilvl w:val="0"/>
          <w:numId w:val="78"/>
        </w:numPr>
        <w:spacing w:before="240"/>
        <w:ind w:left="1247" w:firstLine="624"/>
        <w:rPr>
          <w:rFonts w:asciiTheme="majorBidi" w:hAnsiTheme="majorBidi" w:cstheme="majorBidi"/>
          <w:iCs/>
          <w:lang w:val="es-ES_tradnl"/>
        </w:rPr>
      </w:pPr>
      <w:r w:rsidRPr="00F567E1">
        <w:rPr>
          <w:i/>
          <w:iCs/>
          <w:lang w:val="es-ES_tradnl"/>
        </w:rPr>
        <w:t>Decide también</w:t>
      </w:r>
      <w:r w:rsidRPr="00F567E1">
        <w:rPr>
          <w:lang w:val="es-ES_tradnl"/>
        </w:rPr>
        <w:t xml:space="preserve"> emprender, en su 12ª reunión, un examen de la necesidad de la excepción al uso de la amalgama dental contemplada en la parte I del anexo A del Convenio;</w:t>
      </w:r>
    </w:p>
    <w:p w14:paraId="1191561D" w14:textId="77777777" w:rsidR="00DB2767" w:rsidRPr="00F567E1" w:rsidRDefault="00DB2767" w:rsidP="00DB2767">
      <w:pPr>
        <w:pStyle w:val="NormalNonumber"/>
        <w:numPr>
          <w:ilvl w:val="0"/>
          <w:numId w:val="78"/>
        </w:numPr>
        <w:ind w:left="1247" w:firstLine="624"/>
        <w:rPr>
          <w:rFonts w:asciiTheme="majorBidi" w:hAnsiTheme="majorBidi" w:cstheme="majorBidi"/>
          <w:iCs/>
          <w:lang w:val="es-ES_tradnl"/>
        </w:rPr>
      </w:pPr>
      <w:r w:rsidRPr="00F567E1">
        <w:rPr>
          <w:i/>
          <w:iCs/>
          <w:lang w:val="es-ES_tradnl"/>
        </w:rPr>
        <w:t>Decide además</w:t>
      </w:r>
      <w:r w:rsidRPr="00F567E1">
        <w:rPr>
          <w:lang w:val="es-ES_tradnl"/>
        </w:rPr>
        <w:t xml:space="preserve"> modificar la parte II del anexo A del Convenio tal como se indica en el cuadro siguiente</w:t>
      </w:r>
      <w:r w:rsidRPr="00F567E1">
        <w:rPr>
          <w:rFonts w:asciiTheme="majorBidi" w:hAnsiTheme="majorBidi" w:cstheme="majorBidi"/>
          <w:vertAlign w:val="superscript"/>
          <w:lang w:val="es-ES_tradnl"/>
        </w:rPr>
        <w:footnoteReference w:id="11"/>
      </w:r>
      <w:r w:rsidRPr="00F567E1">
        <w:rPr>
          <w:lang w:val="es-ES_tradnl"/>
        </w:rPr>
        <w:t>:</w:t>
      </w:r>
    </w:p>
    <w:tbl>
      <w:tblPr>
        <w:tblW w:w="83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0"/>
        <w:gridCol w:w="5800"/>
      </w:tblGrid>
      <w:tr w:rsidR="00F234CD" w:rsidRPr="00F567E1" w14:paraId="7A26A85B" w14:textId="77777777" w:rsidTr="003417F0">
        <w:trPr>
          <w:trHeight w:val="57"/>
          <w:tblHeader/>
          <w:jc w:val="right"/>
        </w:trPr>
        <w:tc>
          <w:tcPr>
            <w:tcW w:w="2509" w:type="dxa"/>
            <w:tcBorders>
              <w:top w:val="single" w:sz="4" w:space="0" w:color="auto"/>
              <w:left w:val="single" w:sz="4" w:space="0" w:color="auto"/>
              <w:bottom w:val="single" w:sz="12" w:space="0" w:color="auto"/>
              <w:right w:val="single" w:sz="4" w:space="0" w:color="auto"/>
            </w:tcBorders>
            <w:vAlign w:val="bottom"/>
            <w:hideMark/>
          </w:tcPr>
          <w:p w14:paraId="0FA14F69" w14:textId="77777777" w:rsidR="00DB2767" w:rsidRPr="00F567E1" w:rsidRDefault="00DB2767" w:rsidP="00F16F39">
            <w:pPr>
              <w:keepNext/>
              <w:keepLines/>
              <w:tabs>
                <w:tab w:val="left" w:pos="624"/>
                <w:tab w:val="left" w:pos="1871"/>
                <w:tab w:val="left" w:pos="2495"/>
                <w:tab w:val="left" w:pos="3119"/>
                <w:tab w:val="left" w:pos="3742"/>
                <w:tab w:val="left" w:pos="4366"/>
              </w:tabs>
              <w:spacing w:before="40" w:after="40"/>
              <w:rPr>
                <w:rFonts w:asciiTheme="majorBidi" w:hAnsiTheme="majorBidi" w:cstheme="majorBidi"/>
                <w:i/>
                <w:iCs/>
                <w:sz w:val="18"/>
                <w:szCs w:val="18"/>
                <w:lang w:val="es-ES_tradnl"/>
              </w:rPr>
            </w:pPr>
            <w:r w:rsidRPr="00F567E1">
              <w:rPr>
                <w:i/>
                <w:iCs/>
                <w:color w:val="000000"/>
                <w:sz w:val="18"/>
                <w:szCs w:val="18"/>
                <w:lang w:val="es-ES_tradnl"/>
              </w:rPr>
              <w:lastRenderedPageBreak/>
              <w:t>Productos con mercurio añadido</w:t>
            </w:r>
          </w:p>
        </w:tc>
        <w:tc>
          <w:tcPr>
            <w:tcW w:w="5798" w:type="dxa"/>
            <w:tcBorders>
              <w:top w:val="single" w:sz="4" w:space="0" w:color="auto"/>
              <w:left w:val="single" w:sz="4" w:space="0" w:color="auto"/>
              <w:bottom w:val="single" w:sz="12" w:space="0" w:color="auto"/>
              <w:right w:val="single" w:sz="4" w:space="0" w:color="auto"/>
            </w:tcBorders>
            <w:vAlign w:val="bottom"/>
            <w:hideMark/>
          </w:tcPr>
          <w:p w14:paraId="3A701D73" w14:textId="77777777" w:rsidR="00DB2767" w:rsidRPr="00F567E1" w:rsidRDefault="00DB2767" w:rsidP="00F16F39">
            <w:pPr>
              <w:keepNext/>
              <w:keepLines/>
              <w:tabs>
                <w:tab w:val="left" w:pos="624"/>
                <w:tab w:val="left" w:pos="1871"/>
                <w:tab w:val="left" w:pos="2495"/>
                <w:tab w:val="left" w:pos="3119"/>
                <w:tab w:val="left" w:pos="3742"/>
                <w:tab w:val="left" w:pos="4366"/>
              </w:tabs>
              <w:spacing w:before="40" w:after="40"/>
              <w:rPr>
                <w:rFonts w:asciiTheme="majorBidi" w:hAnsiTheme="majorBidi" w:cstheme="majorBidi"/>
                <w:i/>
                <w:iCs/>
                <w:sz w:val="18"/>
                <w:szCs w:val="18"/>
                <w:lang w:val="es-ES_tradnl"/>
              </w:rPr>
            </w:pPr>
            <w:r w:rsidRPr="00F567E1">
              <w:rPr>
                <w:i/>
                <w:iCs/>
                <w:color w:val="000000"/>
                <w:sz w:val="18"/>
                <w:szCs w:val="18"/>
                <w:lang w:val="es-ES_tradnl"/>
              </w:rPr>
              <w:t>Disposiciones</w:t>
            </w:r>
            <w:r w:rsidRPr="00F567E1">
              <w:rPr>
                <w:color w:val="000000"/>
                <w:sz w:val="18"/>
                <w:szCs w:val="18"/>
                <w:lang w:val="es-ES_tradnl"/>
              </w:rPr>
              <w:t xml:space="preserve"> </w:t>
            </w:r>
          </w:p>
        </w:tc>
      </w:tr>
      <w:tr w:rsidR="00F234CD" w:rsidRPr="00F567E1" w14:paraId="28E919DA" w14:textId="77777777" w:rsidTr="003417F0">
        <w:trPr>
          <w:trHeight w:val="57"/>
          <w:jc w:val="right"/>
        </w:trPr>
        <w:tc>
          <w:tcPr>
            <w:tcW w:w="2509" w:type="dxa"/>
            <w:vMerge w:val="restart"/>
            <w:tcBorders>
              <w:top w:val="single" w:sz="12" w:space="0" w:color="auto"/>
              <w:left w:val="single" w:sz="4" w:space="0" w:color="auto"/>
              <w:bottom w:val="nil"/>
              <w:right w:val="single" w:sz="4" w:space="0" w:color="auto"/>
            </w:tcBorders>
            <w:hideMark/>
          </w:tcPr>
          <w:p w14:paraId="38159442" w14:textId="77777777" w:rsidR="00DB2767" w:rsidRPr="00F567E1" w:rsidRDefault="00DB2767" w:rsidP="00F16F39">
            <w:pPr>
              <w:keepNext/>
              <w:keepLines/>
              <w:tabs>
                <w:tab w:val="left" w:pos="624"/>
                <w:tab w:val="left" w:pos="1871"/>
                <w:tab w:val="left" w:pos="2495"/>
                <w:tab w:val="left" w:pos="3119"/>
                <w:tab w:val="left" w:pos="3742"/>
                <w:tab w:val="left" w:pos="4366"/>
              </w:tabs>
              <w:spacing w:before="40" w:after="40"/>
              <w:rPr>
                <w:rFonts w:asciiTheme="majorBidi" w:hAnsiTheme="majorBidi" w:cstheme="majorBidi"/>
                <w:b/>
                <w:bCs/>
                <w:sz w:val="18"/>
                <w:szCs w:val="18"/>
                <w:lang w:val="es-ES_tradnl"/>
              </w:rPr>
            </w:pPr>
            <w:r w:rsidRPr="00F567E1">
              <w:rPr>
                <w:color w:val="000000"/>
                <w:sz w:val="18"/>
                <w:szCs w:val="18"/>
                <w:lang w:val="es-ES_tradnl"/>
              </w:rPr>
              <w:t>Amalgama dental</w:t>
            </w:r>
          </w:p>
        </w:tc>
        <w:tc>
          <w:tcPr>
            <w:tcW w:w="5798" w:type="dxa"/>
            <w:tcBorders>
              <w:top w:val="single" w:sz="12" w:space="0" w:color="auto"/>
              <w:left w:val="single" w:sz="4" w:space="0" w:color="auto"/>
              <w:bottom w:val="nil"/>
              <w:right w:val="single" w:sz="4" w:space="0" w:color="auto"/>
            </w:tcBorders>
            <w:hideMark/>
          </w:tcPr>
          <w:p w14:paraId="2EE582B7" w14:textId="77777777" w:rsidR="00DB2767" w:rsidRPr="00F567E1" w:rsidRDefault="00DB2767" w:rsidP="00F16F39">
            <w:pPr>
              <w:keepNext/>
              <w:keepLines/>
              <w:tabs>
                <w:tab w:val="left" w:pos="624"/>
                <w:tab w:val="left" w:pos="1871"/>
                <w:tab w:val="left" w:pos="2495"/>
                <w:tab w:val="left" w:pos="3119"/>
                <w:tab w:val="left" w:pos="3742"/>
                <w:tab w:val="left" w:pos="4366"/>
              </w:tabs>
              <w:spacing w:before="40" w:after="40"/>
              <w:rPr>
                <w:rFonts w:asciiTheme="majorBidi" w:hAnsiTheme="majorBidi" w:cstheme="majorBidi"/>
                <w:sz w:val="18"/>
                <w:szCs w:val="18"/>
                <w:lang w:val="es-ES_tradnl"/>
              </w:rPr>
            </w:pPr>
            <w:r w:rsidRPr="00F567E1">
              <w:rPr>
                <w:color w:val="000000"/>
                <w:sz w:val="18"/>
                <w:szCs w:val="18"/>
                <w:lang w:val="es-ES_tradnl"/>
              </w:rPr>
              <w:t>Las medidas que ha de adoptar la Parte para reducir el uso de la amalgama dental tendrán en cuenta las circunstancias nacionales de la Parte y las orientaciones internacionales pertinentes e incluirán dos o más de las medidas que figuran en la lista siguiente:</w:t>
            </w:r>
          </w:p>
          <w:p w14:paraId="35D47F0C" w14:textId="77777777" w:rsidR="00DB2767" w:rsidRPr="00F567E1" w:rsidRDefault="00DB2767" w:rsidP="00F16F39">
            <w:pPr>
              <w:keepNext/>
              <w:keepLines/>
              <w:numPr>
                <w:ilvl w:val="0"/>
                <w:numId w:val="86"/>
              </w:numPr>
              <w:tabs>
                <w:tab w:val="left" w:pos="720"/>
              </w:tabs>
              <w:spacing w:before="40" w:after="40"/>
              <w:ind w:left="454" w:hanging="454"/>
              <w:rPr>
                <w:rFonts w:asciiTheme="majorBidi" w:hAnsiTheme="majorBidi" w:cstheme="majorBidi"/>
                <w:sz w:val="18"/>
                <w:szCs w:val="18"/>
                <w:lang w:val="es-ES_tradnl"/>
              </w:rPr>
            </w:pPr>
            <w:r w:rsidRPr="00F567E1">
              <w:rPr>
                <w:color w:val="000000"/>
                <w:sz w:val="18"/>
                <w:szCs w:val="18"/>
                <w:lang w:val="es-ES_tradnl"/>
              </w:rPr>
              <w:t xml:space="preserve">Establecer objetivos nacionales destinados a la prevención de la caries dental y a la promoción de la salud, a fin de reducir al mínimo la necesidad de restauración dental; </w:t>
            </w:r>
          </w:p>
          <w:p w14:paraId="341ABDA9" w14:textId="77777777" w:rsidR="00DB2767" w:rsidRPr="00F567E1" w:rsidRDefault="00DB2767" w:rsidP="00F16F39">
            <w:pPr>
              <w:keepNext/>
              <w:keepLines/>
              <w:numPr>
                <w:ilvl w:val="0"/>
                <w:numId w:val="86"/>
              </w:numPr>
              <w:tabs>
                <w:tab w:val="left" w:pos="720"/>
              </w:tabs>
              <w:spacing w:before="40" w:after="40"/>
              <w:ind w:left="454" w:hanging="454"/>
              <w:rPr>
                <w:rFonts w:asciiTheme="majorBidi" w:hAnsiTheme="majorBidi" w:cstheme="majorBidi"/>
                <w:sz w:val="18"/>
                <w:szCs w:val="18"/>
                <w:lang w:val="es-ES_tradnl"/>
              </w:rPr>
            </w:pPr>
            <w:r w:rsidRPr="00F567E1">
              <w:rPr>
                <w:color w:val="000000"/>
                <w:sz w:val="18"/>
                <w:szCs w:val="18"/>
                <w:lang w:val="es-ES_tradnl"/>
              </w:rPr>
              <w:t>Establecer objetivos nacionales encaminados a reducir al mínimo su uso;</w:t>
            </w:r>
          </w:p>
          <w:p w14:paraId="00EACF1F" w14:textId="77777777" w:rsidR="00DB2767" w:rsidRPr="00F567E1" w:rsidRDefault="00DB2767" w:rsidP="00F16F39">
            <w:pPr>
              <w:keepNext/>
              <w:keepLines/>
              <w:numPr>
                <w:ilvl w:val="0"/>
                <w:numId w:val="86"/>
              </w:numPr>
              <w:tabs>
                <w:tab w:val="left" w:pos="720"/>
              </w:tabs>
              <w:spacing w:before="40" w:after="40"/>
              <w:ind w:left="454" w:hanging="454"/>
              <w:rPr>
                <w:rFonts w:asciiTheme="majorBidi" w:hAnsiTheme="majorBidi" w:cstheme="majorBidi"/>
                <w:sz w:val="18"/>
                <w:szCs w:val="18"/>
                <w:lang w:val="es-ES_tradnl"/>
              </w:rPr>
            </w:pPr>
            <w:r w:rsidRPr="00F567E1">
              <w:rPr>
                <w:color w:val="000000"/>
                <w:sz w:val="18"/>
                <w:szCs w:val="18"/>
                <w:lang w:val="es-ES_tradnl"/>
              </w:rPr>
              <w:t xml:space="preserve">Promover el uso de alternativas sin mercurio eficaces en función de los costos y clínicamente efectivas para la restauración dental; </w:t>
            </w:r>
          </w:p>
          <w:p w14:paraId="4B1879C1" w14:textId="77777777" w:rsidR="00DB2767" w:rsidRPr="00F567E1" w:rsidRDefault="00DB2767" w:rsidP="00F16F39">
            <w:pPr>
              <w:keepNext/>
              <w:keepLines/>
              <w:numPr>
                <w:ilvl w:val="0"/>
                <w:numId w:val="86"/>
              </w:numPr>
              <w:tabs>
                <w:tab w:val="left" w:pos="720"/>
              </w:tabs>
              <w:spacing w:before="40" w:after="40"/>
              <w:ind w:left="454" w:hanging="454"/>
              <w:rPr>
                <w:rFonts w:asciiTheme="majorBidi" w:hAnsiTheme="majorBidi" w:cstheme="majorBidi"/>
                <w:sz w:val="18"/>
                <w:szCs w:val="18"/>
                <w:lang w:val="es-ES_tradnl"/>
              </w:rPr>
            </w:pPr>
            <w:r w:rsidRPr="00F567E1">
              <w:rPr>
                <w:color w:val="000000"/>
                <w:sz w:val="18"/>
                <w:szCs w:val="18"/>
                <w:lang w:val="es-ES_tradnl"/>
              </w:rPr>
              <w:t>Promover la investigación y el desarrollo de materiales de calidad sin mercurio para la restauración dental;</w:t>
            </w:r>
          </w:p>
          <w:p w14:paraId="0503C260" w14:textId="77777777" w:rsidR="00DB2767" w:rsidRPr="00F567E1" w:rsidRDefault="00DB2767" w:rsidP="00F16F39">
            <w:pPr>
              <w:keepNext/>
              <w:keepLines/>
              <w:numPr>
                <w:ilvl w:val="0"/>
                <w:numId w:val="86"/>
              </w:numPr>
              <w:tabs>
                <w:tab w:val="left" w:pos="720"/>
              </w:tabs>
              <w:spacing w:before="40" w:after="40"/>
              <w:ind w:left="454" w:hanging="454"/>
              <w:rPr>
                <w:rFonts w:asciiTheme="majorBidi" w:hAnsiTheme="majorBidi" w:cstheme="majorBidi"/>
                <w:sz w:val="18"/>
                <w:szCs w:val="18"/>
                <w:lang w:val="es-ES_tradnl"/>
              </w:rPr>
            </w:pPr>
            <w:r w:rsidRPr="00F567E1">
              <w:rPr>
                <w:color w:val="000000"/>
                <w:sz w:val="18"/>
                <w:szCs w:val="18"/>
                <w:lang w:val="es-ES_tradnl"/>
              </w:rPr>
              <w:t>Alentar a las organizaciones profesionales representativas y a las escuelas odontológicas para que eduquen e impartan capacitación a dentistas profesionales y estudiantes sobre el uso de alternativas sin mercurio en la restauración dental y la promoción de las mejores prácticas de gestión;</w:t>
            </w:r>
          </w:p>
          <w:p w14:paraId="7C4492F8" w14:textId="77777777" w:rsidR="00DB2767" w:rsidRPr="00F567E1" w:rsidRDefault="00DB2767" w:rsidP="00F16F39">
            <w:pPr>
              <w:keepNext/>
              <w:keepLines/>
              <w:numPr>
                <w:ilvl w:val="0"/>
                <w:numId w:val="86"/>
              </w:numPr>
              <w:tabs>
                <w:tab w:val="left" w:pos="720"/>
              </w:tabs>
              <w:spacing w:before="40" w:after="40"/>
              <w:ind w:left="454" w:hanging="454"/>
              <w:rPr>
                <w:rFonts w:asciiTheme="majorBidi" w:hAnsiTheme="majorBidi" w:cstheme="majorBidi"/>
                <w:sz w:val="18"/>
                <w:szCs w:val="18"/>
                <w:lang w:val="es-ES_tradnl"/>
              </w:rPr>
            </w:pPr>
            <w:r w:rsidRPr="00F567E1">
              <w:rPr>
                <w:color w:val="000000"/>
                <w:sz w:val="18"/>
                <w:szCs w:val="18"/>
                <w:lang w:val="es-ES_tradnl"/>
              </w:rPr>
              <w:t xml:space="preserve">Desincentivar los programas y las pólizas de seguros que favorezcan el uso de amalgama dental en lugar de la restauración dental sin mercurio; </w:t>
            </w:r>
          </w:p>
          <w:p w14:paraId="6DC739D7" w14:textId="77777777" w:rsidR="00DB2767" w:rsidRPr="00F567E1" w:rsidRDefault="00DB2767" w:rsidP="00F16F39">
            <w:pPr>
              <w:keepNext/>
              <w:keepLines/>
              <w:numPr>
                <w:ilvl w:val="0"/>
                <w:numId w:val="86"/>
              </w:numPr>
              <w:tabs>
                <w:tab w:val="left" w:pos="720"/>
              </w:tabs>
              <w:spacing w:before="40" w:after="40"/>
              <w:ind w:left="454" w:hanging="454"/>
              <w:rPr>
                <w:rFonts w:asciiTheme="majorBidi" w:hAnsiTheme="majorBidi" w:cstheme="majorBidi"/>
                <w:sz w:val="18"/>
                <w:szCs w:val="18"/>
                <w:lang w:val="es-ES_tradnl"/>
              </w:rPr>
            </w:pPr>
            <w:r w:rsidRPr="00F567E1">
              <w:rPr>
                <w:color w:val="000000"/>
                <w:sz w:val="18"/>
                <w:szCs w:val="18"/>
                <w:lang w:val="es-ES_tradnl"/>
              </w:rPr>
              <w:t>Alentar los programas y las pólizas de seguros que favorezcan el uso de alternativas de calidad a la amalgama dental para la restauración dental;</w:t>
            </w:r>
          </w:p>
          <w:p w14:paraId="0F02CFCA" w14:textId="77777777" w:rsidR="00DB2767" w:rsidRPr="00F567E1" w:rsidRDefault="00DB2767" w:rsidP="00F16F39">
            <w:pPr>
              <w:keepNext/>
              <w:keepLines/>
              <w:numPr>
                <w:ilvl w:val="0"/>
                <w:numId w:val="86"/>
              </w:numPr>
              <w:tabs>
                <w:tab w:val="left" w:pos="720"/>
              </w:tabs>
              <w:spacing w:before="40" w:after="40"/>
              <w:ind w:left="454" w:hanging="454"/>
              <w:rPr>
                <w:rFonts w:asciiTheme="majorBidi" w:hAnsiTheme="majorBidi" w:cstheme="majorBidi"/>
                <w:sz w:val="18"/>
                <w:szCs w:val="18"/>
                <w:lang w:val="es-ES_tradnl"/>
              </w:rPr>
            </w:pPr>
            <w:r w:rsidRPr="00F567E1">
              <w:rPr>
                <w:color w:val="000000"/>
                <w:sz w:val="18"/>
                <w:szCs w:val="18"/>
                <w:lang w:val="es-ES_tradnl"/>
              </w:rPr>
              <w:t>Limitar el uso de amalgama dental a su forma encapsulada;</w:t>
            </w:r>
          </w:p>
          <w:p w14:paraId="79EA3466" w14:textId="77777777" w:rsidR="00DB2767" w:rsidRPr="00F567E1" w:rsidRDefault="00DB2767" w:rsidP="00F16F39">
            <w:pPr>
              <w:keepNext/>
              <w:keepLines/>
              <w:numPr>
                <w:ilvl w:val="0"/>
                <w:numId w:val="86"/>
              </w:numPr>
              <w:tabs>
                <w:tab w:val="left" w:pos="720"/>
              </w:tabs>
              <w:spacing w:before="40" w:after="40"/>
              <w:ind w:left="454" w:hanging="454"/>
              <w:rPr>
                <w:rFonts w:asciiTheme="majorBidi" w:hAnsiTheme="majorBidi" w:cstheme="majorBidi"/>
                <w:b/>
                <w:bCs/>
                <w:sz w:val="18"/>
                <w:szCs w:val="18"/>
                <w:lang w:val="es-ES_tradnl"/>
              </w:rPr>
            </w:pPr>
            <w:r w:rsidRPr="00F567E1">
              <w:rPr>
                <w:color w:val="000000"/>
                <w:sz w:val="18"/>
                <w:szCs w:val="18"/>
                <w:lang w:val="es-ES_tradnl"/>
              </w:rPr>
              <w:t>Promover el uso de las mejores prácticas ambientales en los gabinetes dentales para reducir las liberaciones de mercurio y compuestos de mercurio al agua y al suelo.</w:t>
            </w:r>
          </w:p>
        </w:tc>
      </w:tr>
      <w:tr w:rsidR="00F234CD" w:rsidRPr="00F567E1" w14:paraId="3FDDA257" w14:textId="77777777" w:rsidTr="003417F0">
        <w:trPr>
          <w:trHeight w:val="57"/>
          <w:jc w:val="right"/>
        </w:trPr>
        <w:tc>
          <w:tcPr>
            <w:tcW w:w="2509" w:type="dxa"/>
            <w:vMerge/>
            <w:tcBorders>
              <w:top w:val="single" w:sz="4" w:space="0" w:color="auto"/>
              <w:left w:val="single" w:sz="4" w:space="0" w:color="auto"/>
              <w:bottom w:val="nil"/>
              <w:right w:val="single" w:sz="4" w:space="0" w:color="auto"/>
            </w:tcBorders>
            <w:vAlign w:val="center"/>
            <w:hideMark/>
          </w:tcPr>
          <w:p w14:paraId="11919026" w14:textId="77777777" w:rsidR="00DB2767" w:rsidRPr="00F567E1" w:rsidRDefault="00DB2767">
            <w:pPr>
              <w:tabs>
                <w:tab w:val="clear" w:pos="1247"/>
                <w:tab w:val="clear" w:pos="1814"/>
                <w:tab w:val="clear" w:pos="2381"/>
                <w:tab w:val="clear" w:pos="2948"/>
                <w:tab w:val="clear" w:pos="3515"/>
              </w:tabs>
              <w:rPr>
                <w:rFonts w:asciiTheme="majorBidi" w:hAnsiTheme="majorBidi" w:cstheme="majorBidi"/>
                <w:sz w:val="18"/>
                <w:szCs w:val="18"/>
                <w:lang w:val="es-ES_tradnl"/>
              </w:rPr>
            </w:pPr>
          </w:p>
        </w:tc>
        <w:tc>
          <w:tcPr>
            <w:tcW w:w="5798" w:type="dxa"/>
            <w:tcBorders>
              <w:top w:val="nil"/>
              <w:left w:val="single" w:sz="4" w:space="0" w:color="auto"/>
              <w:bottom w:val="nil"/>
              <w:right w:val="single" w:sz="4" w:space="0" w:color="auto"/>
            </w:tcBorders>
            <w:hideMark/>
          </w:tcPr>
          <w:p w14:paraId="1853AE04" w14:textId="77777777" w:rsidR="00DB2767" w:rsidRPr="00F567E1" w:rsidRDefault="00DB2767">
            <w:pPr>
              <w:tabs>
                <w:tab w:val="left" w:pos="624"/>
                <w:tab w:val="left" w:pos="1871"/>
                <w:tab w:val="left" w:pos="2495"/>
                <w:tab w:val="left" w:pos="3119"/>
                <w:tab w:val="left" w:pos="3742"/>
                <w:tab w:val="left" w:pos="4366"/>
              </w:tabs>
              <w:spacing w:before="40" w:after="40"/>
              <w:rPr>
                <w:rFonts w:asciiTheme="majorBidi" w:hAnsiTheme="majorBidi" w:cstheme="majorBidi"/>
                <w:sz w:val="18"/>
                <w:szCs w:val="18"/>
                <w:lang w:val="es-ES_tradnl"/>
              </w:rPr>
            </w:pPr>
            <w:r w:rsidRPr="00F567E1">
              <w:rPr>
                <w:color w:val="000000"/>
                <w:sz w:val="18"/>
                <w:szCs w:val="18"/>
                <w:lang w:val="es-ES_tradnl"/>
              </w:rPr>
              <w:t>Además, las Partes:</w:t>
            </w:r>
          </w:p>
          <w:p w14:paraId="5D47895F" w14:textId="77777777" w:rsidR="00DB2767" w:rsidRPr="00F567E1" w:rsidRDefault="00DB2767" w:rsidP="00DB2767">
            <w:pPr>
              <w:numPr>
                <w:ilvl w:val="0"/>
                <w:numId w:val="87"/>
              </w:numPr>
              <w:spacing w:before="40" w:after="40"/>
              <w:ind w:left="454" w:hanging="454"/>
              <w:rPr>
                <w:rFonts w:asciiTheme="majorBidi" w:hAnsiTheme="majorBidi" w:cstheme="majorBidi"/>
                <w:sz w:val="18"/>
                <w:szCs w:val="18"/>
                <w:lang w:val="es-ES_tradnl"/>
              </w:rPr>
            </w:pPr>
            <w:r w:rsidRPr="00F567E1">
              <w:rPr>
                <w:color w:val="000000"/>
                <w:sz w:val="18"/>
                <w:szCs w:val="18"/>
                <w:lang w:val="es-ES_tradnl"/>
              </w:rPr>
              <w:t xml:space="preserve">Excluirán o no permitirán, mediante la adopción de las medidas oportunas, el uso de mercurio a granel por los odontólogos; </w:t>
            </w:r>
          </w:p>
          <w:p w14:paraId="1C6DEB03" w14:textId="32C9A0A1" w:rsidR="00DB2767" w:rsidRPr="00F567E1" w:rsidRDefault="00DB2767" w:rsidP="00DB2767">
            <w:pPr>
              <w:numPr>
                <w:ilvl w:val="0"/>
                <w:numId w:val="87"/>
              </w:numPr>
              <w:spacing w:before="40" w:after="40"/>
              <w:ind w:left="454" w:hanging="454"/>
              <w:rPr>
                <w:rFonts w:asciiTheme="majorBidi" w:hAnsiTheme="majorBidi" w:cstheme="majorBidi"/>
                <w:sz w:val="18"/>
                <w:szCs w:val="18"/>
                <w:lang w:val="es-ES_tradnl"/>
              </w:rPr>
            </w:pPr>
            <w:r w:rsidRPr="00F567E1">
              <w:rPr>
                <w:color w:val="000000"/>
                <w:sz w:val="18"/>
                <w:szCs w:val="18"/>
                <w:lang w:val="es-ES_tradnl"/>
              </w:rPr>
              <w:t>Excluirán o no permitirán, mediante la adopción de las medidas oportunas, o recomendarán no usar amalgama dental en el cuidado de la dentición primaria, los dientes de los niños menores de 15 años y las mujeres embarazadas o lactantes, salvo cuando el odontólogo lo considere necesario en función de las necesidades del paciente.</w:t>
            </w:r>
          </w:p>
        </w:tc>
      </w:tr>
      <w:tr w:rsidR="00F234CD" w:rsidRPr="00F567E1" w14:paraId="68CEBEC5" w14:textId="77777777" w:rsidTr="003417F0">
        <w:trPr>
          <w:trHeight w:val="1086"/>
          <w:jc w:val="right"/>
        </w:trPr>
        <w:tc>
          <w:tcPr>
            <w:tcW w:w="2509" w:type="dxa"/>
            <w:vMerge w:val="restart"/>
            <w:tcBorders>
              <w:top w:val="nil"/>
              <w:left w:val="single" w:sz="4" w:space="0" w:color="auto"/>
              <w:bottom w:val="single" w:sz="12" w:space="0" w:color="auto"/>
              <w:right w:val="single" w:sz="4" w:space="0" w:color="auto"/>
            </w:tcBorders>
          </w:tcPr>
          <w:p w14:paraId="34A9ABB0" w14:textId="77777777" w:rsidR="00DB2767" w:rsidRPr="00F567E1" w:rsidRDefault="00DB2767">
            <w:pPr>
              <w:snapToGrid w:val="0"/>
              <w:spacing w:before="40" w:after="40"/>
              <w:ind w:right="4060"/>
              <w:rPr>
                <w:rFonts w:asciiTheme="majorBidi" w:hAnsiTheme="majorBidi" w:cstheme="majorBidi"/>
                <w:sz w:val="18"/>
                <w:szCs w:val="18"/>
                <w:lang w:val="es-ES_tradnl"/>
              </w:rPr>
            </w:pPr>
          </w:p>
        </w:tc>
        <w:tc>
          <w:tcPr>
            <w:tcW w:w="5798" w:type="dxa"/>
            <w:tcBorders>
              <w:top w:val="nil"/>
              <w:left w:val="single" w:sz="4" w:space="0" w:color="auto"/>
              <w:bottom w:val="single" w:sz="4" w:space="0" w:color="auto"/>
              <w:right w:val="single" w:sz="4" w:space="0" w:color="auto"/>
            </w:tcBorders>
            <w:hideMark/>
          </w:tcPr>
          <w:p w14:paraId="6C2C4EBC" w14:textId="77777777" w:rsidR="00DB2767" w:rsidRPr="00F567E1" w:rsidRDefault="00DB2767">
            <w:pPr>
              <w:tabs>
                <w:tab w:val="left" w:pos="624"/>
                <w:tab w:val="left" w:pos="1871"/>
                <w:tab w:val="left" w:pos="2495"/>
                <w:tab w:val="left" w:pos="3119"/>
                <w:tab w:val="left" w:pos="3742"/>
                <w:tab w:val="left" w:pos="4366"/>
              </w:tabs>
              <w:spacing w:before="40" w:after="40"/>
              <w:rPr>
                <w:rFonts w:asciiTheme="majorBidi" w:hAnsiTheme="majorBidi" w:cstheme="majorBidi"/>
                <w:sz w:val="18"/>
                <w:szCs w:val="18"/>
                <w:lang w:val="es-ES_tradnl"/>
              </w:rPr>
            </w:pPr>
            <w:r w:rsidRPr="00F567E1">
              <w:rPr>
                <w:color w:val="000000"/>
                <w:sz w:val="18"/>
                <w:szCs w:val="18"/>
                <w:lang w:val="es-ES_tradnl"/>
              </w:rPr>
              <w:t>Además, las Partes que aún no hayan eliminado la amalgama dental deberán:</w:t>
            </w:r>
          </w:p>
          <w:p w14:paraId="7AD56D4B" w14:textId="5ECC1CDA" w:rsidR="00DB2767" w:rsidRPr="00F567E1" w:rsidRDefault="00DB2767" w:rsidP="00613C4F">
            <w:pPr>
              <w:numPr>
                <w:ilvl w:val="0"/>
                <w:numId w:val="91"/>
              </w:numPr>
              <w:spacing w:before="40" w:after="40"/>
              <w:rPr>
                <w:rFonts w:asciiTheme="majorBidi" w:hAnsiTheme="majorBidi" w:cstheme="majorBidi"/>
                <w:sz w:val="18"/>
                <w:szCs w:val="18"/>
                <w:lang w:val="es-ES_tradnl"/>
              </w:rPr>
            </w:pPr>
            <w:r w:rsidRPr="00F567E1">
              <w:rPr>
                <w:color w:val="000000"/>
                <w:sz w:val="18"/>
                <w:szCs w:val="18"/>
                <w:lang w:val="es-ES_tradnl"/>
              </w:rPr>
              <w:t>Presentar a la Secretaría, a intervalos de cuatro años y como parte de la presentación de informes nacionales, un plan de acción nacional o un informe basado en la información disponible sobre los progresos que se hayan obtenido o se estén obteniendo en la reducción o la eliminación de la amalgama dental.</w:t>
            </w:r>
          </w:p>
        </w:tc>
      </w:tr>
      <w:tr w:rsidR="00F234CD" w:rsidRPr="00F567E1" w14:paraId="0E1C1F43" w14:textId="77777777" w:rsidTr="003417F0">
        <w:trPr>
          <w:trHeight w:val="778"/>
          <w:jc w:val="right"/>
        </w:trPr>
        <w:tc>
          <w:tcPr>
            <w:tcW w:w="2509" w:type="dxa"/>
            <w:vMerge/>
            <w:tcBorders>
              <w:top w:val="single" w:sz="4" w:space="0" w:color="auto"/>
              <w:left w:val="single" w:sz="4" w:space="0" w:color="auto"/>
              <w:bottom w:val="single" w:sz="12" w:space="0" w:color="auto"/>
              <w:right w:val="single" w:sz="4" w:space="0" w:color="auto"/>
            </w:tcBorders>
            <w:vAlign w:val="center"/>
            <w:hideMark/>
          </w:tcPr>
          <w:p w14:paraId="5E797464" w14:textId="77777777" w:rsidR="00DB2767" w:rsidRPr="00F567E1" w:rsidRDefault="00DB2767">
            <w:pPr>
              <w:tabs>
                <w:tab w:val="clear" w:pos="1247"/>
                <w:tab w:val="clear" w:pos="1814"/>
                <w:tab w:val="clear" w:pos="2381"/>
                <w:tab w:val="clear" w:pos="2948"/>
                <w:tab w:val="clear" w:pos="3515"/>
              </w:tabs>
              <w:rPr>
                <w:rFonts w:asciiTheme="majorBidi" w:hAnsiTheme="majorBidi" w:cstheme="majorBidi"/>
                <w:sz w:val="18"/>
                <w:szCs w:val="18"/>
                <w:lang w:val="es-ES_tradnl"/>
              </w:rPr>
            </w:pPr>
          </w:p>
        </w:tc>
        <w:tc>
          <w:tcPr>
            <w:tcW w:w="5798" w:type="dxa"/>
            <w:tcBorders>
              <w:top w:val="single" w:sz="4" w:space="0" w:color="auto"/>
              <w:left w:val="single" w:sz="4" w:space="0" w:color="auto"/>
              <w:bottom w:val="single" w:sz="12" w:space="0" w:color="auto"/>
              <w:right w:val="single" w:sz="4" w:space="0" w:color="auto"/>
            </w:tcBorders>
            <w:shd w:val="clear" w:color="auto" w:fill="D9D9D9"/>
            <w:hideMark/>
          </w:tcPr>
          <w:p w14:paraId="7472FE96" w14:textId="77777777" w:rsidR="00DB2767" w:rsidRPr="00F567E1" w:rsidRDefault="00DB2767">
            <w:pPr>
              <w:spacing w:before="40" w:after="40"/>
              <w:rPr>
                <w:rFonts w:asciiTheme="majorBidi" w:hAnsiTheme="majorBidi" w:cstheme="majorBidi"/>
                <w:sz w:val="18"/>
                <w:szCs w:val="18"/>
                <w:lang w:val="es-ES_tradnl"/>
              </w:rPr>
            </w:pPr>
            <w:r w:rsidRPr="00F567E1">
              <w:rPr>
                <w:color w:val="000000"/>
                <w:sz w:val="18"/>
                <w:szCs w:val="18"/>
                <w:lang w:val="es-ES_tradnl"/>
              </w:rPr>
              <w:t>Además, las Partes que aún no hayan eliminado la amalgama dental deberán:</w:t>
            </w:r>
          </w:p>
          <w:p w14:paraId="7A9DADA9" w14:textId="74FF408E" w:rsidR="00DB2767" w:rsidRPr="00F567E1" w:rsidRDefault="00DB2767" w:rsidP="006A7CAC">
            <w:pPr>
              <w:numPr>
                <w:ilvl w:val="0"/>
                <w:numId w:val="92"/>
              </w:numPr>
              <w:spacing w:before="40" w:after="40"/>
              <w:rPr>
                <w:rFonts w:asciiTheme="majorBidi" w:hAnsiTheme="majorBidi" w:cstheme="majorBidi"/>
                <w:sz w:val="18"/>
                <w:szCs w:val="18"/>
                <w:lang w:val="es-ES_tradnl"/>
              </w:rPr>
            </w:pPr>
            <w:r w:rsidRPr="00F567E1">
              <w:rPr>
                <w:color w:val="000000"/>
                <w:sz w:val="18"/>
                <w:szCs w:val="18"/>
                <w:lang w:val="es-ES_tradnl"/>
              </w:rPr>
              <w:t>Adoptar medidas, según proceda, para no permitir, o reducir considerablemente, la amalgama dental, salvo que el odontólogo considere necesario su uso en función de las necesidades del paciente.</w:t>
            </w:r>
          </w:p>
        </w:tc>
      </w:tr>
    </w:tbl>
    <w:p w14:paraId="67E81259" w14:textId="77777777" w:rsidR="00DB2767" w:rsidRPr="00F567E1" w:rsidRDefault="00DB2767" w:rsidP="00DB2767">
      <w:pPr>
        <w:pStyle w:val="NormalNonumber"/>
        <w:numPr>
          <w:ilvl w:val="0"/>
          <w:numId w:val="78"/>
        </w:numPr>
        <w:spacing w:before="240"/>
        <w:ind w:left="1247" w:firstLine="624"/>
        <w:rPr>
          <w:rFonts w:asciiTheme="majorBidi" w:hAnsiTheme="majorBidi" w:cstheme="majorBidi"/>
          <w:lang w:val="es-ES_tradnl"/>
        </w:rPr>
      </w:pPr>
      <w:r w:rsidRPr="00F567E1">
        <w:rPr>
          <w:i/>
          <w:iCs/>
          <w:lang w:val="es-ES_tradnl"/>
        </w:rPr>
        <w:t>Reconoce</w:t>
      </w:r>
      <w:r w:rsidRPr="00F567E1">
        <w:rPr>
          <w:lang w:val="es-ES_tradnl"/>
        </w:rPr>
        <w:t xml:space="preserve"> que, a efectos de presentación de informes, para aquellas Partes para las que haya entrado en vigor la modificación de la parte I del anexo A y que no se hayan acogido a ninguna de las exenciones disponibles en virtud del artículo 6, no sería aplicable la presentación de informes de la parte II;</w:t>
      </w:r>
    </w:p>
    <w:p w14:paraId="06CA2541" w14:textId="77777777" w:rsidR="00234823" w:rsidRPr="00F567E1" w:rsidRDefault="00DB2767" w:rsidP="00DB2767">
      <w:pPr>
        <w:pStyle w:val="NormalNonumber"/>
        <w:numPr>
          <w:ilvl w:val="0"/>
          <w:numId w:val="78"/>
        </w:numPr>
        <w:ind w:left="1247" w:firstLine="624"/>
        <w:rPr>
          <w:rFonts w:asciiTheme="majorBidi" w:hAnsiTheme="majorBidi" w:cstheme="majorBidi"/>
          <w:lang w:val="es-ES_tradnl"/>
        </w:rPr>
        <w:sectPr w:rsidR="00234823" w:rsidRPr="00F567E1" w:rsidSect="00E84D8D">
          <w:footnotePr>
            <w:numRestart w:val="eachSect"/>
          </w:footnotePr>
          <w:type w:val="continuous"/>
          <w:pgSz w:w="11906" w:h="16838" w:code="9"/>
          <w:pgMar w:top="907" w:right="992" w:bottom="1418" w:left="1418" w:header="539" w:footer="975" w:gutter="0"/>
          <w:cols w:space="539"/>
          <w:docGrid w:linePitch="360"/>
        </w:sectPr>
      </w:pPr>
      <w:r w:rsidRPr="00F567E1">
        <w:rPr>
          <w:i/>
          <w:iCs/>
          <w:lang w:val="es-ES_tradnl"/>
        </w:rPr>
        <w:t>Solicita</w:t>
      </w:r>
      <w:r w:rsidRPr="00F567E1">
        <w:rPr>
          <w:lang w:val="es-ES_tradnl"/>
        </w:rPr>
        <w:t xml:space="preserve"> a la Secretaría que redacte un formato revisado para la presentación de informes con arreglo al artículo 21 que refleje las modificaciones del anexo A y que revise la orientación para la presentación de informes y la herramienta electrónica en línea al respecto.</w:t>
      </w:r>
    </w:p>
    <w:p w14:paraId="07066F07" w14:textId="1A5CD722" w:rsidR="00DB2767" w:rsidRPr="00F567E1" w:rsidRDefault="00DB2767">
      <w:pPr>
        <w:tabs>
          <w:tab w:val="clear" w:pos="1247"/>
          <w:tab w:val="clear" w:pos="1814"/>
          <w:tab w:val="clear" w:pos="2381"/>
          <w:tab w:val="clear" w:pos="2948"/>
          <w:tab w:val="clear" w:pos="3515"/>
        </w:tabs>
        <w:rPr>
          <w:lang w:val="es-ES_tradnl"/>
        </w:rPr>
      </w:pPr>
      <w:r w:rsidRPr="00F567E1">
        <w:rPr>
          <w:lang w:val="es-ES_tradnl"/>
        </w:rPr>
        <w:br w:type="page"/>
      </w:r>
    </w:p>
    <w:p w14:paraId="1CDE06F6" w14:textId="77777777" w:rsidR="00312042" w:rsidRPr="00F567E1" w:rsidRDefault="00312042" w:rsidP="002819FE">
      <w:pPr>
        <w:pStyle w:val="CH2"/>
        <w:outlineLvl w:val="0"/>
        <w:rPr>
          <w:lang w:val="es-ES_tradnl"/>
        </w:rPr>
      </w:pPr>
      <w:bookmarkStart w:id="14" w:name="_Toc213853061"/>
      <w:r w:rsidRPr="00F567E1">
        <w:rPr>
          <w:lang w:val="es-ES_tradnl"/>
        </w:rPr>
        <w:lastRenderedPageBreak/>
        <w:tab/>
      </w:r>
      <w:r w:rsidRPr="00F567E1">
        <w:rPr>
          <w:lang w:val="es-ES_tradnl"/>
        </w:rPr>
        <w:tab/>
      </w:r>
      <w:bookmarkStart w:id="15" w:name="_Toc223088509"/>
      <w:r w:rsidRPr="00F567E1">
        <w:rPr>
          <w:lang w:val="es-ES_tradnl"/>
        </w:rPr>
        <w:t>Decisión MC</w:t>
      </w:r>
      <w:r w:rsidRPr="00F567E1">
        <w:rPr>
          <w:lang w:val="es-ES_tradnl"/>
        </w:rPr>
        <w:noBreakHyphen/>
        <w:t>6/4: fomento de la labor relacionada con los cosméticos con mercurio añadido</w:t>
      </w:r>
      <w:bookmarkStart w:id="16" w:name="_Toc219712801"/>
      <w:bookmarkEnd w:id="14"/>
      <w:bookmarkEnd w:id="15"/>
      <w:bookmarkEnd w:id="16"/>
    </w:p>
    <w:p w14:paraId="0CBDC44F" w14:textId="77777777" w:rsidR="00312042" w:rsidRPr="00F567E1" w:rsidRDefault="00312042" w:rsidP="00312042">
      <w:pPr>
        <w:pStyle w:val="NormalNonumber"/>
        <w:tabs>
          <w:tab w:val="clear" w:pos="1247"/>
        </w:tabs>
        <w:ind w:firstLine="624"/>
        <w:rPr>
          <w:rFonts w:asciiTheme="majorBidi" w:hAnsiTheme="majorBidi" w:cstheme="majorBidi"/>
          <w:i/>
          <w:iCs/>
          <w:lang w:val="es-ES_tradnl"/>
        </w:rPr>
      </w:pPr>
      <w:r w:rsidRPr="00F567E1">
        <w:rPr>
          <w:i/>
          <w:iCs/>
          <w:lang w:val="es-ES_tradnl"/>
        </w:rPr>
        <w:t>La Conferencia de las Partes,</w:t>
      </w:r>
    </w:p>
    <w:p w14:paraId="6720B0B9" w14:textId="25AFD6B5"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Recordando</w:t>
      </w:r>
      <w:r w:rsidRPr="00F567E1">
        <w:rPr>
          <w:lang w:val="es-ES_tradnl"/>
        </w:rPr>
        <w:t xml:space="preserve"> que en el párrafo 1 del artículo 4 del Convenio de Minamata sobre el Mercurio se estipula que las Partes prohibirán la fabricación, la importación y la exportación de los cosméticos con mercurio añadido incluidos en la parte I del anexo A del Convenio después de la fecha de eliminación especificada para esos productos, salvo cuando se haya especificado una exclusión en el anexo A o cuando la Parte se haya inscrito para una exención conforme al artículo 6,</w:t>
      </w:r>
    </w:p>
    <w:p w14:paraId="6C289D3B" w14:textId="7B26F523"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Haciendo notar</w:t>
      </w:r>
      <w:r w:rsidRPr="00F567E1">
        <w:rPr>
          <w:lang w:val="es-ES_tradnl"/>
        </w:rPr>
        <w:t xml:space="preserve"> que, a pesar de la inclusión de los cosméticos en el anexo A, algunos cosméticos no permitidos en virtud del Convenio siguen llegando al comercio mundial,</w:t>
      </w:r>
    </w:p>
    <w:p w14:paraId="6D24D7DE" w14:textId="7213351A"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Reconociendo</w:t>
      </w:r>
      <w:r w:rsidRPr="00F567E1">
        <w:rPr>
          <w:lang w:val="es-ES_tradnl"/>
        </w:rPr>
        <w:t xml:space="preserve"> la labor emprendida durante el período entre reuniones más reciente con arreglo</w:t>
      </w:r>
      <w:r w:rsidR="004B562A" w:rsidRPr="00F567E1">
        <w:rPr>
          <w:lang w:val="es-ES_tradnl"/>
        </w:rPr>
        <w:t> </w:t>
      </w:r>
      <w:r w:rsidRPr="00F567E1">
        <w:rPr>
          <w:lang w:val="es-ES_tradnl"/>
        </w:rPr>
        <w:t>a la decisión MC</w:t>
      </w:r>
      <w:r w:rsidRPr="00F567E1">
        <w:rPr>
          <w:lang w:val="es-ES_tradnl"/>
        </w:rPr>
        <w:noBreakHyphen/>
        <w:t>5/5,</w:t>
      </w:r>
    </w:p>
    <w:p w14:paraId="397A4E2B" w14:textId="3A3ABA1F" w:rsidR="00312042" w:rsidRPr="00F567E1"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Acoge con beneplácito</w:t>
      </w:r>
      <w:r w:rsidRPr="00F567E1">
        <w:rPr>
          <w:lang w:val="es-ES_tradnl"/>
        </w:rPr>
        <w:t xml:space="preserve"> el informe sobre los cosméticos que figuran en la parte I del</w:t>
      </w:r>
      <w:r w:rsidR="004B562A" w:rsidRPr="00F567E1">
        <w:rPr>
          <w:lang w:val="es-ES_tradnl"/>
        </w:rPr>
        <w:t> </w:t>
      </w:r>
      <w:r w:rsidRPr="00F567E1">
        <w:rPr>
          <w:lang w:val="es-ES_tradnl"/>
        </w:rPr>
        <w:t>anexo A</w:t>
      </w:r>
      <w:r w:rsidR="00726D06" w:rsidRPr="00F567E1">
        <w:rPr>
          <w:rStyle w:val="FootnoteReference"/>
          <w:rFonts w:asciiTheme="majorBidi" w:hAnsiTheme="majorBidi" w:cstheme="majorBidi"/>
          <w:lang w:val="es-ES_tradnl"/>
        </w:rPr>
        <w:footnoteReference w:id="12"/>
      </w:r>
      <w:r w:rsidRPr="00F567E1">
        <w:rPr>
          <w:lang w:val="es-ES_tradnl"/>
        </w:rPr>
        <w:t>;</w:t>
      </w:r>
      <w:bookmarkStart w:id="17" w:name="_Hlk213162114"/>
    </w:p>
    <w:p w14:paraId="24159E77" w14:textId="626087DE" w:rsidR="00312042" w:rsidRPr="00F567E1"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las Partes que no dispongan de legislación nacional u otras medidas, o que</w:t>
      </w:r>
      <w:r w:rsidR="004B562A" w:rsidRPr="00F567E1">
        <w:rPr>
          <w:lang w:val="es-ES_tradnl"/>
        </w:rPr>
        <w:t> </w:t>
      </w:r>
      <w:r w:rsidRPr="00F567E1">
        <w:rPr>
          <w:lang w:val="es-ES_tradnl"/>
        </w:rPr>
        <w:t>encuentren dificultades en el cumplimiento de sus obligaciones relativas a los cosméticos con mercurio añadido, a que informen de ello a la Secretaría y consideren la posible aplicación del artículo</w:t>
      </w:r>
      <w:r w:rsidR="007333DB" w:rsidRPr="00F567E1">
        <w:rPr>
          <w:lang w:val="es-ES_tradnl"/>
        </w:rPr>
        <w:t> </w:t>
      </w:r>
      <w:r w:rsidRPr="00F567E1">
        <w:rPr>
          <w:lang w:val="es-ES_tradnl"/>
        </w:rPr>
        <w:t>14 o 15 a su situación;</w:t>
      </w:r>
      <w:bookmarkStart w:id="18" w:name="_Hlk213162322"/>
      <w:bookmarkEnd w:id="17"/>
    </w:p>
    <w:p w14:paraId="6C6D02B6" w14:textId="67AFB767" w:rsidR="00312042" w:rsidRPr="00F567E1"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 Asociación Mundial sobre el Mercurio a que, en consulta con los interesados, prosiga sus esfuerzos de recopilación y difusión de la información relacionada con la presencia de mercurio en los cosméticos;</w:t>
      </w:r>
    </w:p>
    <w:p w14:paraId="2D0DE4E6" w14:textId="5B1BCC6C" w:rsidR="00312042" w:rsidRPr="00F567E1"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bookmarkStart w:id="19" w:name="_Hlk213162594"/>
      <w:bookmarkEnd w:id="18"/>
      <w:r w:rsidRPr="00F567E1">
        <w:rPr>
          <w:i/>
          <w:iCs/>
          <w:lang w:val="es-ES_tradnl"/>
        </w:rPr>
        <w:t>Invita</w:t>
      </w:r>
      <w:r w:rsidRPr="00F567E1">
        <w:rPr>
          <w:lang w:val="es-ES_tradnl"/>
        </w:rPr>
        <w:t xml:space="preserve"> a la Secretaría a que, en función de la disponibilidad de recursos, y en colaboración con la Asociación Mundial sobre el Mercurio, reúna la información disponible sobre los mecanismos de apoyo a la aplicación y la identificación de la presencia de mercurio en los cosméticos, incluidos los equipos de muestreo y análisis sobre el terreno, y facilite esa información a la Conferencia de las Partes en su séptima reunión;</w:t>
      </w:r>
    </w:p>
    <w:p w14:paraId="09130ADF" w14:textId="30D7A754" w:rsidR="00312042" w:rsidRPr="00F567E1"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Invita también</w:t>
      </w:r>
      <w:r w:rsidRPr="00F567E1">
        <w:rPr>
          <w:lang w:val="es-ES_tradnl"/>
        </w:rPr>
        <w:t xml:space="preserve"> a la Secretaría a que, en función de la disponibilidad de recursos, recopile y sintetice la información proporcionada por las Partes en sus informes nacionales, o presentada con arreglo al párrafo 2 anterior, en relación con los problemas que plantea la prevención de la fabricación, importación y exportación de cosméticos con mercurio añadido, incluidos los problemas de aplicación, y a que informe al respecto a la Conferencia de las Partes en su séptima reunión;</w:t>
      </w:r>
    </w:p>
    <w:p w14:paraId="3A94D325" w14:textId="56A49C05" w:rsidR="00312042" w:rsidRPr="00F567E1"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 xml:space="preserve">Invita además </w:t>
      </w:r>
      <w:r w:rsidRPr="00F567E1">
        <w:rPr>
          <w:lang w:val="es-ES_tradnl"/>
        </w:rPr>
        <w:t>a la Secretaría a que, en función de la disponibilidad de recursos, colabore con la Organización Internacional de Policía Criminal (INTERPOL), la Organización Mundial de Aduanas y otras organizaciones internacionales pertinentes con experiencia relacionada con el comercio ilícito de productos para seguir investigando las principales fuentes de fabricación, importación y exportación de cosméticos con mercurio añadido en cantidades superiores a la mera traza o, en el caso de algunas Partes, en cantidades no superiores a 1 parte por millón de mercurio que ya no están permitidas en virtud del artículo 4, y a que informe al respecto a la Conferencia de las Partes en su séptima reunión e incluya en su informe cualquier propuesta específica de las organizaciones internacionales pertinentes;</w:t>
      </w:r>
    </w:p>
    <w:bookmarkEnd w:id="19"/>
    <w:p w14:paraId="7A750CE0" w14:textId="77777777" w:rsidR="00312042" w:rsidRPr="00F567E1"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iCs/>
          <w:lang w:val="es-ES_tradnl"/>
        </w:rPr>
      </w:pPr>
      <w:r w:rsidRPr="00F567E1">
        <w:rPr>
          <w:i/>
          <w:iCs/>
          <w:lang w:val="es-ES_tradnl"/>
        </w:rPr>
        <w:t>Invita</w:t>
      </w:r>
      <w:r w:rsidRPr="00F567E1">
        <w:rPr>
          <w:lang w:val="es-ES_tradnl"/>
        </w:rPr>
        <w:t xml:space="preserve"> a la Organización Mundial de la Salud a hacer lo siguiente:</w:t>
      </w:r>
    </w:p>
    <w:p w14:paraId="777BF6CA" w14:textId="32845512" w:rsidR="00312042" w:rsidRPr="00F567E1" w:rsidRDefault="00312042" w:rsidP="00312042">
      <w:pPr>
        <w:pStyle w:val="NormalNonumber"/>
        <w:numPr>
          <w:ilvl w:val="0"/>
          <w:numId w:val="44"/>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 xml:space="preserve">Mantener consultas con el Programa de las Naciones Unidas para el Medio Ambiente y el </w:t>
      </w:r>
      <w:proofErr w:type="spellStart"/>
      <w:r w:rsidRPr="00F567E1">
        <w:rPr>
          <w:lang w:val="es-ES_tradnl"/>
        </w:rPr>
        <w:t>Biodiversity</w:t>
      </w:r>
      <w:proofErr w:type="spellEnd"/>
      <w:r w:rsidRPr="00F567E1">
        <w:rPr>
          <w:lang w:val="es-ES_tradnl"/>
        </w:rPr>
        <w:t xml:space="preserve"> </w:t>
      </w:r>
      <w:proofErr w:type="spellStart"/>
      <w:r w:rsidRPr="00F567E1">
        <w:rPr>
          <w:lang w:val="es-ES_tradnl"/>
        </w:rPr>
        <w:t>Research</w:t>
      </w:r>
      <w:proofErr w:type="spellEnd"/>
      <w:r w:rsidRPr="00F567E1">
        <w:rPr>
          <w:lang w:val="es-ES_tradnl"/>
        </w:rPr>
        <w:t xml:space="preserve"> </w:t>
      </w:r>
      <w:proofErr w:type="spellStart"/>
      <w:r w:rsidRPr="00F567E1">
        <w:rPr>
          <w:lang w:val="es-ES_tradnl"/>
        </w:rPr>
        <w:t>Institute</w:t>
      </w:r>
      <w:proofErr w:type="spellEnd"/>
      <w:r w:rsidRPr="00F567E1">
        <w:rPr>
          <w:lang w:val="es-ES_tradnl"/>
        </w:rPr>
        <w:t xml:space="preserve"> a fin de aportar las lecciones aprendidas en el proyecto piloto del Fondo para el Medio Ambiente Mundial sobre la eliminación de los cosméticos con mercurio añadido en el Gabón, Jamaica y Sri Lanka; </w:t>
      </w:r>
    </w:p>
    <w:p w14:paraId="69B7A8AE" w14:textId="19C0624B" w:rsidR="00312042" w:rsidRPr="00F567E1" w:rsidRDefault="00312042" w:rsidP="00312042">
      <w:pPr>
        <w:pStyle w:val="NormalNonumber"/>
        <w:numPr>
          <w:ilvl w:val="0"/>
          <w:numId w:val="44"/>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Preparar, con el apoyo de la Asociación Mundial sobre el Mercurio, una estrategia nacional ilustrativa para el conjunto del sistema de salud pública, centrada en medidas de reducción de los cosméticos con mercurio añadido y de los productos para aclarar la piel que puedan no contener mercurio, que las Partes puedan utilizar a escala nacional;</w:t>
      </w:r>
    </w:p>
    <w:p w14:paraId="306ABC16" w14:textId="019BFA43" w:rsidR="00312042" w:rsidRPr="00F567E1" w:rsidRDefault="00312042" w:rsidP="00A8172E">
      <w:pPr>
        <w:pStyle w:val="NormalNonumber"/>
        <w:numPr>
          <w:ilvl w:val="0"/>
          <w:numId w:val="44"/>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Compartir con la Secretaría las lecciones aprendidas y una sinopsis de la estrategia antes del 31 de diciembre de 2026.</w:t>
      </w:r>
      <w:r w:rsidRPr="00F567E1">
        <w:rPr>
          <w:rFonts w:asciiTheme="majorBidi" w:hAnsiTheme="majorBidi" w:cstheme="majorBidi"/>
          <w:lang w:val="es-ES_tradnl"/>
        </w:rPr>
        <w:br w:type="page"/>
      </w:r>
    </w:p>
    <w:p w14:paraId="09BE5536" w14:textId="13C633AA" w:rsidR="00312042" w:rsidRPr="00F567E1" w:rsidRDefault="00312042" w:rsidP="002819FE">
      <w:pPr>
        <w:pStyle w:val="CH2"/>
        <w:outlineLvl w:val="0"/>
        <w:rPr>
          <w:lang w:val="es-ES_tradnl"/>
        </w:rPr>
      </w:pPr>
      <w:bookmarkStart w:id="20" w:name="_Toc213853062"/>
      <w:r w:rsidRPr="00F567E1">
        <w:rPr>
          <w:lang w:val="es-ES_tradnl"/>
        </w:rPr>
        <w:lastRenderedPageBreak/>
        <w:tab/>
      </w:r>
      <w:r w:rsidRPr="00F567E1">
        <w:rPr>
          <w:lang w:val="es-ES_tradnl"/>
        </w:rPr>
        <w:tab/>
      </w:r>
      <w:bookmarkStart w:id="21" w:name="_Toc223088510"/>
      <w:r w:rsidRPr="00F567E1">
        <w:rPr>
          <w:lang w:val="es-ES_tradnl"/>
        </w:rPr>
        <w:t>Decisión MC</w:t>
      </w:r>
      <w:r w:rsidRPr="00F567E1">
        <w:rPr>
          <w:lang w:val="es-ES_tradnl"/>
        </w:rPr>
        <w:noBreakHyphen/>
        <w:t xml:space="preserve">6/5: estudio de la viabilidad de alternativas sin mercurio para la fabricación de </w:t>
      </w:r>
      <w:r w:rsidR="006A7CAC">
        <w:rPr>
          <w:lang w:val="es-ES_tradnl"/>
        </w:rPr>
        <w:t xml:space="preserve">monómeros de </w:t>
      </w:r>
      <w:r w:rsidRPr="00F567E1">
        <w:rPr>
          <w:lang w:val="es-ES_tradnl"/>
        </w:rPr>
        <w:t>cloruro de vinilo</w:t>
      </w:r>
      <w:bookmarkStart w:id="22" w:name="_Toc219712802"/>
      <w:bookmarkEnd w:id="20"/>
      <w:bookmarkEnd w:id="21"/>
      <w:bookmarkEnd w:id="22"/>
    </w:p>
    <w:p w14:paraId="65D7BB74" w14:textId="77777777" w:rsidR="00312042" w:rsidRPr="00F567E1" w:rsidRDefault="00312042" w:rsidP="00312042">
      <w:pPr>
        <w:spacing w:after="120"/>
        <w:ind w:left="1260" w:firstLine="624"/>
        <w:rPr>
          <w:rFonts w:asciiTheme="majorBidi" w:hAnsiTheme="majorBidi" w:cstheme="majorBidi"/>
          <w:i/>
          <w:iCs/>
          <w:lang w:val="es-ES_tradnl"/>
        </w:rPr>
      </w:pPr>
      <w:r w:rsidRPr="00F567E1">
        <w:rPr>
          <w:i/>
          <w:iCs/>
          <w:lang w:val="es-ES_tradnl"/>
        </w:rPr>
        <w:t>La Conferencia de las Partes,</w:t>
      </w:r>
    </w:p>
    <w:p w14:paraId="203F2BE2" w14:textId="424CF94B" w:rsidR="00312042" w:rsidRPr="00F567E1" w:rsidRDefault="00312042" w:rsidP="00312042">
      <w:pPr>
        <w:spacing w:after="120"/>
        <w:ind w:left="1260" w:firstLine="624"/>
        <w:rPr>
          <w:rFonts w:asciiTheme="majorBidi" w:hAnsiTheme="majorBidi" w:cstheme="majorBidi"/>
          <w:lang w:val="es-ES_tradnl"/>
        </w:rPr>
      </w:pPr>
      <w:r w:rsidRPr="00F567E1">
        <w:rPr>
          <w:i/>
          <w:iCs/>
          <w:lang w:val="es-ES_tradnl"/>
        </w:rPr>
        <w:t>Recordando</w:t>
      </w:r>
      <w:r w:rsidRPr="00F567E1">
        <w:rPr>
          <w:lang w:val="es-ES_tradnl"/>
        </w:rPr>
        <w:t xml:space="preserve"> la obligación, establecida en el párrafo 3 del artículo 5 del Convenio de Minamata sobre el Mercurio, de que cada Parte adopte medidas para restringir el uso de mercurio o compuestos de mercurio en los procesos incluidos en la parte II del anexo B del Convenio, lo cual, en el caso de la producción de monómeros de cloruro de vinilo, incluye la presentación de informes a la Conferencia de las Partes sobre los esfuerzos de la Parte por producir o encontrar alternativas y para eliminar el uso del mercurio de conformidad con el artículo 21,</w:t>
      </w:r>
    </w:p>
    <w:p w14:paraId="32832F4E" w14:textId="288CA182" w:rsidR="00312042" w:rsidRPr="00F567E1" w:rsidRDefault="00312042" w:rsidP="00312042">
      <w:pPr>
        <w:spacing w:after="120"/>
        <w:ind w:left="1260" w:firstLine="624"/>
        <w:rPr>
          <w:rFonts w:asciiTheme="majorBidi" w:hAnsiTheme="majorBidi" w:cstheme="majorBidi"/>
          <w:lang w:val="es-ES_tradnl"/>
        </w:rPr>
      </w:pPr>
      <w:r w:rsidRPr="00F567E1">
        <w:rPr>
          <w:i/>
          <w:iCs/>
          <w:lang w:val="es-ES_tradnl"/>
        </w:rPr>
        <w:t>Haciendo notar</w:t>
      </w:r>
      <w:r w:rsidRPr="00F567E1">
        <w:rPr>
          <w:lang w:val="es-ES_tradnl"/>
        </w:rPr>
        <w:t xml:space="preserve"> que en la parte II del anexo B se incluye la producción de monómeros de cloruro de vinilo y las medidas que habrán de adoptar las Partes, entre ellas la de no permitir el uso de</w:t>
      </w:r>
      <w:r w:rsidR="004B562A" w:rsidRPr="00F567E1">
        <w:rPr>
          <w:lang w:val="es-ES_tradnl"/>
        </w:rPr>
        <w:t> </w:t>
      </w:r>
      <w:r w:rsidRPr="00F567E1">
        <w:rPr>
          <w:lang w:val="es-ES_tradnl"/>
        </w:rPr>
        <w:t>mercurio en la producción de monómeros de cloruro de vinilo cinco años después de que la Conferencia de las Partes haya determinado que catalizadores sin mercurio basados en procesos existentes se han vuelto viables desde el punto de vista técnico y económico,</w:t>
      </w:r>
    </w:p>
    <w:p w14:paraId="6DBA91A2" w14:textId="09F5F063" w:rsidR="00312042" w:rsidRPr="00F567E1" w:rsidRDefault="00312042" w:rsidP="00312042">
      <w:pPr>
        <w:spacing w:after="120"/>
        <w:ind w:left="1260" w:firstLine="624"/>
        <w:rPr>
          <w:rFonts w:asciiTheme="majorBidi" w:hAnsiTheme="majorBidi" w:cstheme="majorBidi"/>
          <w:lang w:val="es-ES_tradnl"/>
        </w:rPr>
      </w:pPr>
      <w:r w:rsidRPr="00F567E1">
        <w:rPr>
          <w:i/>
          <w:iCs/>
          <w:lang w:val="es-ES_tradnl"/>
        </w:rPr>
        <w:t>Reconociendo</w:t>
      </w:r>
      <w:r w:rsidRPr="00F567E1">
        <w:rPr>
          <w:lang w:val="es-ES_tradnl"/>
        </w:rPr>
        <w:t xml:space="preserve"> la labor emprendida durante el último período entre reuniones con arreglo a la</w:t>
      </w:r>
      <w:r w:rsidR="004B562A" w:rsidRPr="00F567E1">
        <w:rPr>
          <w:lang w:val="es-ES_tradnl"/>
        </w:rPr>
        <w:t> </w:t>
      </w:r>
      <w:r w:rsidRPr="00F567E1">
        <w:rPr>
          <w:lang w:val="es-ES_tradnl"/>
        </w:rPr>
        <w:t>decisión MC</w:t>
      </w:r>
      <w:r w:rsidRPr="00F567E1">
        <w:rPr>
          <w:lang w:val="es-ES_tradnl"/>
        </w:rPr>
        <w:noBreakHyphen/>
        <w:t>5/6,</w:t>
      </w:r>
    </w:p>
    <w:p w14:paraId="2971ECF0" w14:textId="2091B532" w:rsidR="00312042" w:rsidRPr="00F567E1" w:rsidRDefault="00312042" w:rsidP="00312042">
      <w:pPr>
        <w:numPr>
          <w:ilvl w:val="0"/>
          <w:numId w:val="45"/>
        </w:numPr>
        <w:tabs>
          <w:tab w:val="left" w:pos="624"/>
        </w:tabs>
        <w:spacing w:after="120"/>
        <w:ind w:left="1260" w:firstLine="624"/>
        <w:rPr>
          <w:rFonts w:asciiTheme="majorBidi" w:hAnsiTheme="majorBidi" w:cstheme="majorBidi"/>
          <w:lang w:val="es-ES_tradnl"/>
        </w:rPr>
      </w:pPr>
      <w:bookmarkStart w:id="23" w:name="_Hlk217065927"/>
      <w:r w:rsidRPr="00F567E1">
        <w:rPr>
          <w:i/>
          <w:iCs/>
          <w:lang w:val="es-ES_tradnl"/>
        </w:rPr>
        <w:t>Acoge con beneplácito</w:t>
      </w:r>
      <w:r w:rsidRPr="00F567E1">
        <w:rPr>
          <w:lang w:val="es-ES_tradnl"/>
        </w:rPr>
        <w:t xml:space="preserve"> el informe sobre la viabilidad económica y técnica de los catalizadores sin mercurio en la producción de monómeros de cloruro de vinilo</w:t>
      </w:r>
      <w:r w:rsidR="00476C29" w:rsidRPr="00F567E1">
        <w:rPr>
          <w:rStyle w:val="FootnoteReference"/>
          <w:rFonts w:cstheme="majorBidi"/>
          <w:lang w:val="es-ES_tradnl"/>
        </w:rPr>
        <w:footnoteReference w:id="13"/>
      </w:r>
      <w:r w:rsidRPr="00F567E1">
        <w:rPr>
          <w:lang w:val="es-ES_tradnl"/>
        </w:rPr>
        <w:t>;</w:t>
      </w:r>
      <w:bookmarkEnd w:id="23"/>
    </w:p>
    <w:p w14:paraId="129B7B0C" w14:textId="7B4DD2C5" w:rsidR="00312042" w:rsidRPr="00F567E1" w:rsidRDefault="00312042" w:rsidP="00312042">
      <w:pPr>
        <w:numPr>
          <w:ilvl w:val="0"/>
          <w:numId w:val="45"/>
        </w:numPr>
        <w:tabs>
          <w:tab w:val="left" w:pos="624"/>
        </w:tabs>
        <w:spacing w:after="120"/>
        <w:ind w:left="1260" w:firstLine="624"/>
        <w:rPr>
          <w:rFonts w:asciiTheme="majorBidi" w:hAnsiTheme="majorBidi" w:cstheme="majorBidi"/>
          <w:lang w:val="es-ES_tradnl"/>
        </w:rPr>
      </w:pPr>
      <w:r w:rsidRPr="00F567E1">
        <w:rPr>
          <w:i/>
          <w:iCs/>
          <w:lang w:val="es-ES_tradnl"/>
        </w:rPr>
        <w:t>Toma nota con aprecio</w:t>
      </w:r>
      <w:r w:rsidRPr="00F567E1">
        <w:rPr>
          <w:lang w:val="es-ES_tradnl"/>
        </w:rPr>
        <w:t xml:space="preserve"> de los avances comunicados en la eliminación del uso de mercurio en la producción de monómeros de cloruro de vinilo;</w:t>
      </w:r>
    </w:p>
    <w:p w14:paraId="71CC3640" w14:textId="648546FE" w:rsidR="00312042" w:rsidRPr="00F567E1" w:rsidRDefault="00312042" w:rsidP="00312042">
      <w:pPr>
        <w:numPr>
          <w:ilvl w:val="0"/>
          <w:numId w:val="45"/>
        </w:numPr>
        <w:tabs>
          <w:tab w:val="left" w:pos="624"/>
        </w:tabs>
        <w:spacing w:after="120"/>
        <w:ind w:left="1260" w:firstLine="624"/>
        <w:rPr>
          <w:rFonts w:asciiTheme="majorBidi" w:hAnsiTheme="majorBidi" w:cstheme="majorBidi"/>
          <w:lang w:val="es-ES_tradnl"/>
        </w:rPr>
      </w:pPr>
      <w:r w:rsidRPr="00F567E1">
        <w:rPr>
          <w:i/>
          <w:iCs/>
          <w:lang w:val="es-ES_tradnl"/>
        </w:rPr>
        <w:t>Hace notar</w:t>
      </w:r>
      <w:r w:rsidRPr="00F567E1">
        <w:rPr>
          <w:lang w:val="es-ES_tradnl"/>
        </w:rPr>
        <w:t xml:space="preserve"> que no ha sido posible alcanzar un consenso en la presente reunión sobre la viabilidad económica y técnica de los catalizadores sin mercurio en la producción de monómeros de cloruro de vinilo;</w:t>
      </w:r>
    </w:p>
    <w:p w14:paraId="424A2C9C" w14:textId="38F4E78B" w:rsidR="00312042" w:rsidRPr="00F567E1" w:rsidRDefault="00312042" w:rsidP="00312042">
      <w:pPr>
        <w:numPr>
          <w:ilvl w:val="0"/>
          <w:numId w:val="45"/>
        </w:numPr>
        <w:tabs>
          <w:tab w:val="left" w:pos="624"/>
        </w:tabs>
        <w:spacing w:after="120"/>
        <w:ind w:left="1260" w:firstLine="624"/>
        <w:rPr>
          <w:rFonts w:asciiTheme="majorBidi" w:hAnsiTheme="majorBidi" w:cstheme="majorBidi"/>
          <w:iCs/>
          <w:lang w:val="es-ES_tradnl"/>
        </w:rPr>
        <w:sectPr w:rsidR="00312042" w:rsidRPr="00F567E1" w:rsidSect="00E84D8D">
          <w:footnotePr>
            <w:numRestart w:val="eachSect"/>
          </w:footnotePr>
          <w:type w:val="continuous"/>
          <w:pgSz w:w="11906" w:h="16838" w:code="9"/>
          <w:pgMar w:top="907" w:right="992" w:bottom="1418" w:left="1418" w:header="539" w:footer="975" w:gutter="0"/>
          <w:cols w:space="539"/>
          <w:docGrid w:linePitch="360"/>
        </w:sectPr>
      </w:pPr>
      <w:r w:rsidRPr="00F567E1">
        <w:rPr>
          <w:i/>
          <w:iCs/>
          <w:lang w:val="es-ES_tradnl"/>
        </w:rPr>
        <w:t>Conviene en</w:t>
      </w:r>
      <w:r w:rsidRPr="00F567E1">
        <w:rPr>
          <w:lang w:val="es-ES_tradnl"/>
        </w:rPr>
        <w:t xml:space="preserve"> volver a examinar la cuestión en su próxima reunión.</w:t>
      </w:r>
    </w:p>
    <w:p w14:paraId="329E4426" w14:textId="77777777" w:rsidR="00312042" w:rsidRPr="00F567E1" w:rsidRDefault="00312042" w:rsidP="00312042">
      <w:pPr>
        <w:pStyle w:val="Normal-pool"/>
        <w:rPr>
          <w:rFonts w:asciiTheme="majorBidi" w:hAnsiTheme="majorBidi" w:cstheme="majorBidi"/>
          <w:lang w:val="es-ES_tradnl"/>
        </w:rPr>
      </w:pPr>
      <w:r w:rsidRPr="00F567E1">
        <w:rPr>
          <w:rFonts w:asciiTheme="majorBidi" w:hAnsiTheme="majorBidi" w:cstheme="majorBidi"/>
          <w:lang w:val="es-ES_tradnl"/>
        </w:rPr>
        <w:br w:type="page"/>
      </w:r>
    </w:p>
    <w:p w14:paraId="7CA939B9" w14:textId="77777777" w:rsidR="00312042" w:rsidRPr="00F567E1" w:rsidRDefault="00312042" w:rsidP="002819FE">
      <w:pPr>
        <w:pStyle w:val="CH2"/>
        <w:outlineLvl w:val="0"/>
        <w:rPr>
          <w:lang w:val="es-ES_tradnl"/>
        </w:rPr>
      </w:pPr>
      <w:bookmarkStart w:id="24" w:name="_Toc213853063"/>
      <w:r w:rsidRPr="00F567E1">
        <w:rPr>
          <w:lang w:val="es-ES_tradnl"/>
        </w:rPr>
        <w:lastRenderedPageBreak/>
        <w:tab/>
      </w:r>
      <w:r w:rsidRPr="00F567E1">
        <w:rPr>
          <w:lang w:val="es-ES_tradnl"/>
        </w:rPr>
        <w:tab/>
      </w:r>
      <w:bookmarkStart w:id="25" w:name="_Toc223088511"/>
      <w:r w:rsidRPr="00F567E1">
        <w:rPr>
          <w:lang w:val="es-ES_tradnl"/>
        </w:rPr>
        <w:t>Decisión MC</w:t>
      </w:r>
      <w:r w:rsidRPr="00F567E1">
        <w:rPr>
          <w:lang w:val="es-ES_tradnl"/>
        </w:rPr>
        <w:noBreakHyphen/>
        <w:t>6/6: calendario para el examen de las solicitudes de prórroga de las exenciones presentadas por las Partes</w:t>
      </w:r>
      <w:bookmarkStart w:id="26" w:name="_Toc219712803"/>
      <w:bookmarkEnd w:id="24"/>
      <w:bookmarkEnd w:id="25"/>
      <w:bookmarkEnd w:id="26"/>
    </w:p>
    <w:p w14:paraId="031858D6" w14:textId="77777777" w:rsidR="00312042" w:rsidRPr="00F567E1" w:rsidRDefault="00312042" w:rsidP="00312042">
      <w:pPr>
        <w:pStyle w:val="NormalNonumber"/>
        <w:tabs>
          <w:tab w:val="clear" w:pos="1247"/>
        </w:tabs>
        <w:ind w:firstLine="624"/>
        <w:rPr>
          <w:rFonts w:asciiTheme="majorBidi" w:hAnsiTheme="majorBidi" w:cstheme="majorBidi"/>
          <w:i/>
          <w:iCs/>
          <w:lang w:val="es-ES_tradnl"/>
        </w:rPr>
      </w:pPr>
      <w:r w:rsidRPr="00F567E1">
        <w:rPr>
          <w:i/>
          <w:iCs/>
          <w:lang w:val="es-ES_tradnl"/>
        </w:rPr>
        <w:t>La Conferencia de las Partes,</w:t>
      </w:r>
    </w:p>
    <w:p w14:paraId="5814A923" w14:textId="318612BC"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Aprueba</w:t>
      </w:r>
      <w:r w:rsidRPr="00F567E1">
        <w:rPr>
          <w:lang w:val="es-ES_tradnl"/>
        </w:rPr>
        <w:t>, con el fin de facilitar a las Partes la solicitud de prórroga de las exenciones previstas en el párrafo 6 del artículo 6 del Convenio de Minamata sobre el Mercurio, el calendario que figura en el anexo de la presente decisión.</w:t>
      </w:r>
    </w:p>
    <w:p w14:paraId="2BA981AE" w14:textId="77777777" w:rsidR="00312042" w:rsidRPr="00F567E1" w:rsidRDefault="00312042" w:rsidP="00DD1A7D">
      <w:pPr>
        <w:pStyle w:val="CH2"/>
        <w:rPr>
          <w:lang w:val="es-ES_tradnl"/>
        </w:rPr>
      </w:pPr>
      <w:r w:rsidRPr="00F567E1">
        <w:rPr>
          <w:lang w:val="es-ES_tradnl"/>
        </w:rPr>
        <w:tab/>
      </w:r>
      <w:r w:rsidRPr="00F567E1">
        <w:rPr>
          <w:lang w:val="es-ES_tradnl"/>
        </w:rPr>
        <w:tab/>
      </w:r>
      <w:r w:rsidRPr="00F567E1">
        <w:rPr>
          <w:bCs/>
          <w:lang w:val="es-ES_tradnl"/>
        </w:rPr>
        <w:t>Anexo de la decisión MC</w:t>
      </w:r>
      <w:r w:rsidRPr="00F567E1">
        <w:rPr>
          <w:bCs/>
          <w:lang w:val="es-ES_tradnl"/>
        </w:rPr>
        <w:noBreakHyphen/>
        <w:t>6/6</w:t>
      </w:r>
      <w:bookmarkStart w:id="27" w:name="_Toc216165200"/>
      <w:bookmarkEnd w:id="27"/>
    </w:p>
    <w:p w14:paraId="20E0B226" w14:textId="0D459CD9" w:rsidR="00312042" w:rsidRPr="00F567E1" w:rsidRDefault="00312042" w:rsidP="00312042">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 xml:space="preserve">Toda solicitud de prórroga de una exención deberá presentarse preferiblemente </w:t>
      </w:r>
      <w:r w:rsidR="007D7EC2" w:rsidRPr="00F567E1">
        <w:rPr>
          <w:lang w:val="es-ES_tradnl"/>
        </w:rPr>
        <w:t xml:space="preserve">como mínimo </w:t>
      </w:r>
      <w:r w:rsidRPr="00F567E1">
        <w:rPr>
          <w:lang w:val="es-ES_tradnl"/>
        </w:rPr>
        <w:t>6 meses, pero nunca menos de 2 meses, antes de la última reunión de la Conferencia de las Partes que se celebre con anterioridad a la fecha de expiración de la exención.</w:t>
      </w:r>
    </w:p>
    <w:p w14:paraId="671F2FA6" w14:textId="07E2AC07" w:rsidR="00312042" w:rsidRPr="00F567E1" w:rsidRDefault="00312042" w:rsidP="00312042">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Se espera que la solicitud contenga la información especificada en el párrafo 6 a), b) y</w:t>
      </w:r>
      <w:r w:rsidR="004B562A" w:rsidRPr="00F567E1">
        <w:rPr>
          <w:lang w:val="es-ES_tradnl"/>
        </w:rPr>
        <w:t> </w:t>
      </w:r>
      <w:r w:rsidRPr="00F567E1">
        <w:rPr>
          <w:lang w:val="es-ES_tradnl"/>
        </w:rPr>
        <w:t>c) del artículo 6 del Convenio de Minamata sobre el Mercurio con respecto de cada producto o proceso con mercurio añadido incluido en la solicitud, de modo que la Conferencia de las Partes pueda</w:t>
      </w:r>
      <w:r w:rsidR="004B562A" w:rsidRPr="00F567E1">
        <w:rPr>
          <w:lang w:val="es-ES_tradnl"/>
        </w:rPr>
        <w:t> </w:t>
      </w:r>
      <w:r w:rsidRPr="00F567E1">
        <w:rPr>
          <w:lang w:val="es-ES_tradnl"/>
        </w:rPr>
        <w:t>estudiarla en su totalidad.</w:t>
      </w:r>
    </w:p>
    <w:p w14:paraId="3273D6F6" w14:textId="77777777" w:rsidR="00312042" w:rsidRPr="00F567E1" w:rsidRDefault="00312042" w:rsidP="00312042">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La Secretaría podrá celebrar las consultas necesarias con la Parte que presente la solicitud de prórroga.</w:t>
      </w:r>
    </w:p>
    <w:p w14:paraId="210A652C" w14:textId="1DD5CA3C" w:rsidR="00312042" w:rsidRPr="00F567E1" w:rsidRDefault="00312042" w:rsidP="00312042">
      <w:pPr>
        <w:pStyle w:val="NormalNonumber"/>
        <w:numPr>
          <w:ilvl w:val="0"/>
          <w:numId w:val="46"/>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sectPr w:rsidR="00312042" w:rsidRPr="00F567E1" w:rsidSect="00E84D8D">
          <w:type w:val="continuous"/>
          <w:pgSz w:w="11906" w:h="16838" w:code="9"/>
          <w:pgMar w:top="907" w:right="992" w:bottom="1418" w:left="1418" w:header="539" w:footer="975" w:gutter="0"/>
          <w:cols w:space="539"/>
          <w:docGrid w:linePitch="360"/>
        </w:sectPr>
      </w:pPr>
      <w:r w:rsidRPr="00F567E1">
        <w:rPr>
          <w:lang w:val="es-ES_tradnl"/>
        </w:rPr>
        <w:t>La solicitud será examinada por la Conferencia de las Partes en su siguiente reunión tras la presentación de la solicitud.</w:t>
      </w:r>
    </w:p>
    <w:p w14:paraId="26D81F9A" w14:textId="77777777" w:rsidR="00312042" w:rsidRPr="00F567E1" w:rsidRDefault="00312042" w:rsidP="00312042">
      <w:pPr>
        <w:pStyle w:val="Normal-pool"/>
        <w:rPr>
          <w:lang w:val="es-ES_tradnl"/>
        </w:rPr>
      </w:pPr>
      <w:r w:rsidRPr="00F567E1">
        <w:rPr>
          <w:lang w:val="es-ES_tradnl"/>
        </w:rPr>
        <w:br w:type="page"/>
      </w:r>
    </w:p>
    <w:p w14:paraId="4C412FE3" w14:textId="0E03D31A" w:rsidR="00312042" w:rsidRPr="00F567E1" w:rsidRDefault="00312042" w:rsidP="002819FE">
      <w:pPr>
        <w:pStyle w:val="CH2"/>
        <w:outlineLvl w:val="0"/>
        <w:rPr>
          <w:lang w:val="es-ES_tradnl"/>
        </w:rPr>
      </w:pPr>
      <w:bookmarkStart w:id="28" w:name="_Toc213853064"/>
      <w:r w:rsidRPr="00F567E1">
        <w:rPr>
          <w:lang w:val="es-ES_tradnl"/>
        </w:rPr>
        <w:lastRenderedPageBreak/>
        <w:tab/>
      </w:r>
      <w:r w:rsidRPr="00F567E1">
        <w:rPr>
          <w:lang w:val="es-ES_tradnl"/>
        </w:rPr>
        <w:tab/>
      </w:r>
      <w:bookmarkStart w:id="29" w:name="_Toc223088512"/>
      <w:r w:rsidRPr="00F567E1">
        <w:rPr>
          <w:lang w:val="es-ES_tradnl"/>
        </w:rPr>
        <w:t>Decisión MC-6/7: prórrogas de las exenciones</w:t>
      </w:r>
      <w:bookmarkStart w:id="30" w:name="_Toc219712804"/>
      <w:bookmarkEnd w:id="28"/>
      <w:bookmarkEnd w:id="29"/>
      <w:bookmarkEnd w:id="30"/>
    </w:p>
    <w:p w14:paraId="7BD6E23D" w14:textId="77777777" w:rsidR="00312042" w:rsidRPr="00F567E1" w:rsidRDefault="00312042" w:rsidP="00312042">
      <w:pPr>
        <w:spacing w:after="120"/>
        <w:ind w:left="1247" w:firstLine="624"/>
        <w:rPr>
          <w:rFonts w:asciiTheme="majorBidi" w:hAnsiTheme="majorBidi" w:cstheme="majorBidi"/>
          <w:i/>
          <w:lang w:val="es-ES_tradnl"/>
        </w:rPr>
      </w:pPr>
      <w:r w:rsidRPr="00F567E1">
        <w:rPr>
          <w:i/>
          <w:iCs/>
          <w:lang w:val="es-ES_tradnl"/>
        </w:rPr>
        <w:t>La Conferencia de las Partes,</w:t>
      </w:r>
    </w:p>
    <w:p w14:paraId="7DB24900" w14:textId="7B36882A" w:rsidR="00312042" w:rsidRPr="00F567E1" w:rsidRDefault="00312042" w:rsidP="00312042">
      <w:pPr>
        <w:spacing w:after="120"/>
        <w:ind w:left="1247" w:firstLine="624"/>
        <w:rPr>
          <w:rFonts w:asciiTheme="majorBidi" w:hAnsiTheme="majorBidi" w:cstheme="majorBidi"/>
          <w:lang w:val="es-ES_tradnl"/>
        </w:rPr>
      </w:pPr>
      <w:r w:rsidRPr="00F567E1">
        <w:rPr>
          <w:i/>
          <w:iCs/>
          <w:lang w:val="es-ES_tradnl"/>
        </w:rPr>
        <w:t>Haciendo notar</w:t>
      </w:r>
      <w:r w:rsidRPr="00F567E1">
        <w:rPr>
          <w:lang w:val="es-ES_tradnl"/>
        </w:rPr>
        <w:t xml:space="preserve"> que en el párrafo 6 del artículo 6 del Convenio de Minamata sobre el Mercurio se dispone que la Conferencia de las Partes podrá, a petición de una Parte, decidir prorrogar una exención de la fecha de eliminación pertinente indicada en el anexo A o B del Convenio,</w:t>
      </w:r>
    </w:p>
    <w:p w14:paraId="3BA7752B" w14:textId="0AD43D29" w:rsidR="00312042" w:rsidRPr="00F567E1" w:rsidRDefault="00312042" w:rsidP="00312042">
      <w:pPr>
        <w:spacing w:after="120"/>
        <w:ind w:left="1247" w:firstLine="624"/>
        <w:rPr>
          <w:rFonts w:asciiTheme="majorBidi" w:hAnsiTheme="majorBidi" w:cstheme="majorBidi"/>
          <w:lang w:val="es-ES_tradnl"/>
        </w:rPr>
      </w:pPr>
      <w:r w:rsidRPr="00F567E1">
        <w:rPr>
          <w:i/>
          <w:iCs/>
          <w:lang w:val="es-ES_tradnl"/>
        </w:rPr>
        <w:t>Reconociendo</w:t>
      </w:r>
      <w:r w:rsidRPr="00F567E1">
        <w:rPr>
          <w:lang w:val="es-ES_tradnl"/>
        </w:rPr>
        <w:t xml:space="preserve"> que la sexta reunión de la Conferencia de las Partes constituye la primera ocasión en que se ha solicitado a la Conferencia que examine una solicitud de este tipo,</w:t>
      </w:r>
    </w:p>
    <w:p w14:paraId="2246C951" w14:textId="0B3AF1F0" w:rsidR="00312042" w:rsidRPr="00F567E1" w:rsidRDefault="00312042" w:rsidP="00312042">
      <w:pPr>
        <w:spacing w:after="120"/>
        <w:ind w:left="1247" w:firstLine="624"/>
        <w:rPr>
          <w:rFonts w:asciiTheme="majorBidi" w:hAnsiTheme="majorBidi" w:cstheme="majorBidi"/>
          <w:lang w:val="es-ES_tradnl"/>
        </w:rPr>
      </w:pPr>
      <w:r w:rsidRPr="00F567E1">
        <w:rPr>
          <w:i/>
          <w:iCs/>
          <w:lang w:val="es-ES_tradnl"/>
        </w:rPr>
        <w:t>Acogiendo con beneplácito</w:t>
      </w:r>
      <w:r w:rsidRPr="00F567E1">
        <w:rPr>
          <w:lang w:val="es-ES_tradnl"/>
        </w:rPr>
        <w:t xml:space="preserve"> las solicitudes revisadas de prórroga de las exenciones presentadas por 2 de las 3 Partes que solicitaron prórrogas, en las que ofrecen más información relacionada con el párrafo 6 a), b) y c) del artículo 6 para que las Partes la examinen,</w:t>
      </w:r>
    </w:p>
    <w:p w14:paraId="10A5E1F9" w14:textId="6F6045D2" w:rsidR="00312042" w:rsidRPr="00F567E1" w:rsidRDefault="00312042" w:rsidP="00312042">
      <w:pPr>
        <w:spacing w:after="120"/>
        <w:ind w:left="1247" w:firstLine="624"/>
        <w:rPr>
          <w:rFonts w:asciiTheme="majorBidi" w:hAnsiTheme="majorBidi" w:cstheme="majorBidi"/>
          <w:iCs/>
          <w:lang w:val="es-ES_tradnl"/>
        </w:rPr>
      </w:pPr>
      <w:r w:rsidRPr="00F567E1">
        <w:rPr>
          <w:i/>
          <w:iCs/>
          <w:lang w:val="es-ES_tradnl"/>
        </w:rPr>
        <w:t>Resaltando</w:t>
      </w:r>
      <w:r w:rsidRPr="00F567E1">
        <w:rPr>
          <w:lang w:val="es-ES_tradnl"/>
        </w:rPr>
        <w:t xml:space="preserve"> la necesidad permanente de proteger la salud humana y el medio ambiente de la fabricación, importación y exportación en curso de los productos indicados en la parte I del anexo A,</w:t>
      </w:r>
    </w:p>
    <w:p w14:paraId="46DAD41D" w14:textId="5B638DFC" w:rsidR="00312042" w:rsidRPr="00F567E1" w:rsidRDefault="00312042"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es-ES_tradnl"/>
        </w:rPr>
      </w:pPr>
      <w:r w:rsidRPr="00F567E1">
        <w:rPr>
          <w:i/>
          <w:iCs/>
          <w:lang w:val="es-ES_tradnl"/>
        </w:rPr>
        <w:t>Toma nota</w:t>
      </w:r>
      <w:r w:rsidRPr="00F567E1">
        <w:rPr>
          <w:lang w:val="es-ES_tradnl"/>
        </w:rPr>
        <w:t xml:space="preserve"> de las solicitudes de prórroga de las exenciones y la información conexa presentadas a la Conferencia de las Partes en su sexta reunión por Bangladesh, la India y Tailandia, de conformidad con el párrafo 6 del artículo 6;</w:t>
      </w:r>
    </w:p>
    <w:p w14:paraId="54084163" w14:textId="62ADEED8" w:rsidR="00312042" w:rsidRPr="00F567E1" w:rsidRDefault="00312042"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es-ES_tradnl"/>
        </w:rPr>
      </w:pPr>
      <w:r w:rsidRPr="00F567E1">
        <w:rPr>
          <w:i/>
          <w:iCs/>
          <w:lang w:val="es-ES_tradnl"/>
        </w:rPr>
        <w:t>Decide</w:t>
      </w:r>
      <w:r w:rsidRPr="00F567E1">
        <w:rPr>
          <w:lang w:val="es-ES_tradnl"/>
        </w:rPr>
        <w:t xml:space="preserve"> prorrogar las exenciones de las fechas de eliminación solicitadas por Bangladesh</w:t>
      </w:r>
      <w:r w:rsidR="00B43E9A" w:rsidRPr="00F567E1">
        <w:rPr>
          <w:rStyle w:val="FootnoteReference"/>
          <w:rFonts w:cstheme="majorBidi"/>
          <w:lang w:val="es-ES_tradnl"/>
        </w:rPr>
        <w:footnoteReference w:id="14"/>
      </w:r>
      <w:r w:rsidRPr="00F567E1">
        <w:rPr>
          <w:lang w:val="es-ES_tradnl"/>
        </w:rPr>
        <w:t xml:space="preserve">; </w:t>
      </w:r>
    </w:p>
    <w:p w14:paraId="5BC15F89" w14:textId="1AAA2EA9" w:rsidR="00312042" w:rsidRPr="00F567E1" w:rsidRDefault="0054668F"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es-ES_tradnl"/>
        </w:rPr>
      </w:pPr>
      <w:r w:rsidRPr="00F567E1">
        <w:rPr>
          <w:i/>
          <w:iCs/>
          <w:lang w:val="es-ES_tradnl"/>
        </w:rPr>
        <w:t>Decide también</w:t>
      </w:r>
      <w:r w:rsidRPr="00F567E1">
        <w:rPr>
          <w:lang w:val="es-ES_tradnl"/>
        </w:rPr>
        <w:t xml:space="preserve"> prorrogar las exenciones de las fechas de eliminación solicitadas por la</w:t>
      </w:r>
      <w:r w:rsidR="004B562A" w:rsidRPr="00F567E1">
        <w:rPr>
          <w:lang w:val="es-ES_tradnl"/>
        </w:rPr>
        <w:t> </w:t>
      </w:r>
      <w:r w:rsidRPr="00F567E1">
        <w:rPr>
          <w:lang w:val="es-ES_tradnl"/>
        </w:rPr>
        <w:t>India</w:t>
      </w:r>
      <w:r w:rsidR="00C72250" w:rsidRPr="00F567E1">
        <w:rPr>
          <w:rStyle w:val="FootnoteReference"/>
          <w:rFonts w:asciiTheme="majorBidi" w:hAnsiTheme="majorBidi" w:cstheme="majorBidi"/>
          <w:lang w:val="es-ES_tradnl"/>
        </w:rPr>
        <w:footnoteReference w:id="15"/>
      </w:r>
      <w:r w:rsidRPr="00F567E1">
        <w:rPr>
          <w:lang w:val="es-ES_tradnl"/>
        </w:rPr>
        <w:t>;</w:t>
      </w:r>
    </w:p>
    <w:p w14:paraId="247AEC2E" w14:textId="79EB03D4" w:rsidR="00312042" w:rsidRPr="00F567E1" w:rsidRDefault="0054668F"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es-ES_tradnl"/>
        </w:rPr>
      </w:pPr>
      <w:r w:rsidRPr="00F567E1">
        <w:rPr>
          <w:i/>
          <w:iCs/>
          <w:lang w:val="es-ES_tradnl"/>
        </w:rPr>
        <w:t>Decide además</w:t>
      </w:r>
      <w:r w:rsidRPr="00F567E1">
        <w:rPr>
          <w:lang w:val="es-ES_tradnl"/>
        </w:rPr>
        <w:t xml:space="preserve"> prorrogar las exenciones de las fechas de eliminación solicitadas por Tailandia</w:t>
      </w:r>
      <w:r w:rsidR="00C72250" w:rsidRPr="00F567E1">
        <w:rPr>
          <w:rStyle w:val="FootnoteReference"/>
          <w:rFonts w:asciiTheme="majorBidi" w:hAnsiTheme="majorBidi" w:cstheme="majorBidi"/>
          <w:lang w:val="es-ES_tradnl"/>
        </w:rPr>
        <w:footnoteReference w:id="16"/>
      </w:r>
      <w:r w:rsidRPr="00F567E1">
        <w:rPr>
          <w:lang w:val="es-ES_tradnl"/>
        </w:rPr>
        <w:t>;</w:t>
      </w:r>
    </w:p>
    <w:p w14:paraId="1AC35949" w14:textId="06255E45" w:rsidR="00312042" w:rsidRPr="00F567E1" w:rsidRDefault="00312042"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es-ES_tradnl"/>
        </w:rPr>
      </w:pPr>
      <w:r w:rsidRPr="00F567E1">
        <w:rPr>
          <w:i/>
          <w:iCs/>
          <w:lang w:val="es-ES_tradnl"/>
        </w:rPr>
        <w:t>Hace notar</w:t>
      </w:r>
      <w:r w:rsidRPr="00F567E1">
        <w:rPr>
          <w:lang w:val="es-ES_tradnl"/>
        </w:rPr>
        <w:t xml:space="preserve"> que, a excepción de las prórrogas de las exenciones mencionadas en los párrafos 2, 3 y 4, todas las exenciones registradas de las fechas de eliminación de 2020 indicadas en el</w:t>
      </w:r>
      <w:r w:rsidR="004B562A" w:rsidRPr="00F567E1">
        <w:rPr>
          <w:lang w:val="es-ES_tradnl"/>
        </w:rPr>
        <w:t> </w:t>
      </w:r>
      <w:r w:rsidRPr="00F567E1">
        <w:rPr>
          <w:lang w:val="es-ES_tradnl"/>
        </w:rPr>
        <w:t>anexo A expirarán después del 31 de diciembre de 2025, de conformidad con el párrafo 5 del artículo</w:t>
      </w:r>
      <w:r w:rsidR="00DE3A89" w:rsidRPr="00F567E1">
        <w:rPr>
          <w:lang w:val="es-ES_tradnl"/>
        </w:rPr>
        <w:t> </w:t>
      </w:r>
      <w:r w:rsidRPr="00F567E1">
        <w:rPr>
          <w:lang w:val="es-ES_tradnl"/>
        </w:rPr>
        <w:t>6, y que, después de esa fecha, ningún Estado ni organización regional de integración económica podrá registrar una exención con respecto a las fechas de eliminación de 2020, de conformidad con el párrafo 8 del artículo 6;</w:t>
      </w:r>
    </w:p>
    <w:p w14:paraId="5344FE50" w14:textId="71CE0DC4" w:rsidR="00312042" w:rsidRPr="00F567E1" w:rsidRDefault="00312042"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lang w:val="es-ES_tradnl"/>
        </w:rPr>
        <w:sectPr w:rsidR="00312042" w:rsidRPr="00F567E1" w:rsidSect="00E84D8D">
          <w:footnotePr>
            <w:numRestart w:val="eachSect"/>
          </w:footnotePr>
          <w:type w:val="continuous"/>
          <w:pgSz w:w="11906" w:h="16838" w:code="9"/>
          <w:pgMar w:top="907" w:right="992" w:bottom="1418" w:left="1418" w:header="539" w:footer="975" w:gutter="0"/>
          <w:cols w:space="539"/>
          <w:docGrid w:linePitch="360"/>
        </w:sectPr>
      </w:pPr>
      <w:r w:rsidRPr="00F567E1">
        <w:rPr>
          <w:i/>
          <w:iCs/>
          <w:lang w:val="es-ES_tradnl"/>
        </w:rPr>
        <w:t>Solicita</w:t>
      </w:r>
      <w:r w:rsidRPr="00F567E1">
        <w:rPr>
          <w:lang w:val="es-ES_tradnl"/>
        </w:rPr>
        <w:t xml:space="preserve"> a la Secretaría que siga gestionando, actualizando y facilitando, en el sitio web del Convenio, el registro establecido en virtud del párrafo 3 del artículo 6 e información conexa, según proceda.</w:t>
      </w:r>
    </w:p>
    <w:p w14:paraId="7998AE53" w14:textId="77777777" w:rsidR="00312042" w:rsidRPr="00F567E1" w:rsidRDefault="00312042" w:rsidP="00312042">
      <w:pPr>
        <w:pStyle w:val="Normal-pool"/>
        <w:rPr>
          <w:lang w:val="es-ES_tradnl"/>
        </w:rPr>
      </w:pPr>
      <w:r w:rsidRPr="00F567E1">
        <w:rPr>
          <w:lang w:val="es-ES_tradnl"/>
        </w:rPr>
        <w:br w:type="page"/>
      </w:r>
    </w:p>
    <w:p w14:paraId="71648EF9" w14:textId="4A8B3CC1" w:rsidR="00312042" w:rsidRPr="00F567E1" w:rsidRDefault="00312042" w:rsidP="002819FE">
      <w:pPr>
        <w:pStyle w:val="CH2"/>
        <w:outlineLvl w:val="0"/>
        <w:rPr>
          <w:lang w:val="es-ES_tradnl"/>
        </w:rPr>
      </w:pPr>
      <w:bookmarkStart w:id="31" w:name="_Toc213853065"/>
      <w:r w:rsidRPr="00F567E1">
        <w:rPr>
          <w:lang w:val="es-ES_tradnl"/>
        </w:rPr>
        <w:lastRenderedPageBreak/>
        <w:tab/>
      </w:r>
      <w:r w:rsidRPr="00F567E1">
        <w:rPr>
          <w:lang w:val="es-ES_tradnl"/>
        </w:rPr>
        <w:tab/>
      </w:r>
      <w:bookmarkStart w:id="32" w:name="_Toc223088513"/>
      <w:r w:rsidRPr="00F567E1">
        <w:rPr>
          <w:lang w:val="es-ES_tradnl"/>
        </w:rPr>
        <w:t>Decisión MC-6/8: extracción de oro artesanal y en pequeña escala: examen de la aplicación del artículo 7</w:t>
      </w:r>
      <w:bookmarkStart w:id="33" w:name="_Toc219712805"/>
      <w:bookmarkEnd w:id="31"/>
      <w:bookmarkEnd w:id="32"/>
      <w:bookmarkEnd w:id="33"/>
    </w:p>
    <w:p w14:paraId="39CDEB28" w14:textId="77777777" w:rsidR="00312042" w:rsidRPr="00F567E1" w:rsidRDefault="00312042" w:rsidP="00312042">
      <w:pPr>
        <w:pStyle w:val="Normal-pool"/>
        <w:tabs>
          <w:tab w:val="clear" w:pos="1247"/>
        </w:tabs>
        <w:spacing w:after="120"/>
        <w:ind w:left="1247" w:firstLine="624"/>
        <w:rPr>
          <w:rFonts w:asciiTheme="majorBidi" w:hAnsiTheme="majorBidi" w:cstheme="majorBidi"/>
          <w:i/>
          <w:iCs/>
          <w:lang w:val="es-ES_tradnl"/>
        </w:rPr>
      </w:pPr>
      <w:r w:rsidRPr="00F567E1">
        <w:rPr>
          <w:i/>
          <w:iCs/>
          <w:lang w:val="es-ES_tradnl"/>
        </w:rPr>
        <w:t>La Conferencia de las Partes,</w:t>
      </w:r>
    </w:p>
    <w:p w14:paraId="2BC32B62" w14:textId="5AA692DA"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Haciendo notar</w:t>
      </w:r>
      <w:r w:rsidRPr="00F567E1">
        <w:rPr>
          <w:lang w:val="es-ES_tradnl"/>
        </w:rPr>
        <w:t xml:space="preserve"> que la contaminación procedente del uso de mercurio en la extracción de oro, en particular la extracción de oro artesanal y en pequeña escala, sigue siendo la mayor fuente mundial de emisiones de mercurio </w:t>
      </w:r>
      <w:proofErr w:type="spellStart"/>
      <w:r w:rsidRPr="00F567E1">
        <w:rPr>
          <w:lang w:val="es-ES_tradnl"/>
        </w:rPr>
        <w:t>antropógenas</w:t>
      </w:r>
      <w:proofErr w:type="spellEnd"/>
      <w:r w:rsidRPr="00F567E1">
        <w:rPr>
          <w:lang w:val="es-ES_tradnl"/>
        </w:rPr>
        <w:t>,</w:t>
      </w:r>
    </w:p>
    <w:p w14:paraId="79641DDF" w14:textId="717A99D6"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Reconociendo</w:t>
      </w:r>
      <w:r w:rsidRPr="00F567E1">
        <w:rPr>
          <w:lang w:val="es-ES_tradnl"/>
        </w:rPr>
        <w:t xml:space="preserve"> los esfuerzos realizados por las Partes pertinentes para elaborar, presentar y ejecutar sus planes de acción nacionales de conformidad con los párrafos 3 a) y b) del artículo 7 del Convenio de Minamata sobre el Mercurio,</w:t>
      </w:r>
    </w:p>
    <w:p w14:paraId="10DAFAF6" w14:textId="076C9198" w:rsidR="00312042" w:rsidRPr="00F567E1" w:rsidRDefault="00312042" w:rsidP="00312042">
      <w:pPr>
        <w:pStyle w:val="NormalNonumber"/>
        <w:tabs>
          <w:tab w:val="clear" w:pos="1247"/>
        </w:tabs>
        <w:ind w:firstLine="624"/>
        <w:rPr>
          <w:rFonts w:asciiTheme="majorBidi" w:eastAsia="Calibri" w:hAnsiTheme="majorBidi" w:cstheme="majorBidi"/>
          <w:lang w:val="es-ES_tradnl"/>
        </w:rPr>
      </w:pPr>
      <w:r w:rsidRPr="00F567E1">
        <w:rPr>
          <w:i/>
          <w:iCs/>
          <w:lang w:val="es-ES_tradnl"/>
        </w:rPr>
        <w:t>Recordando</w:t>
      </w:r>
      <w:r w:rsidRPr="00F567E1">
        <w:rPr>
          <w:lang w:val="es-ES_tradnl"/>
        </w:rPr>
        <w:t xml:space="preserve"> el párrafo 3 c) del artículo 7, en que se solicita a todas las Partes que hayan determinado que las actividades de extracción y tratamiento de oro artesanales y en pequeña escala realizadas en su territorio son más que insignificantes, hayan notificado a la Secretaría esa determinación y hayan elaborado y presentado sus planes de acción nacionales, que presenten un examen de los progresos realizados en el cumplimiento de las obligaciones contraídas en virtud del artículo 7 y que incluyan el examen en los informes que presenten de conformidad con el artículo 21,</w:t>
      </w:r>
    </w:p>
    <w:p w14:paraId="3BDA6817" w14:textId="6B1A2897"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Recordando también</w:t>
      </w:r>
      <w:r w:rsidRPr="00F567E1">
        <w:rPr>
          <w:lang w:val="es-ES_tradnl"/>
        </w:rPr>
        <w:t xml:space="preserve"> su decisión MC</w:t>
      </w:r>
      <w:r w:rsidRPr="00F567E1">
        <w:rPr>
          <w:lang w:val="es-ES_tradnl"/>
        </w:rPr>
        <w:noBreakHyphen/>
        <w:t>4/4, en la que se exhortaba a las Partes a que fomentasen la participación de los Pueblos Indígenas, así como de las comunidades locales y otros interesados pertinentes en la elaboración y la aplicación de sus planes de acción nacionales para la extracción de oro artesanal y en pequeña escala,</w:t>
      </w:r>
    </w:p>
    <w:p w14:paraId="44D80116" w14:textId="58ADF192"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Reconociendo</w:t>
      </w:r>
      <w:r w:rsidRPr="00F567E1">
        <w:rPr>
          <w:lang w:val="es-ES_tradnl"/>
        </w:rPr>
        <w:t xml:space="preserve"> que la prevención del uso y el desvío del mercurio vinculado a la extracción de</w:t>
      </w:r>
      <w:r w:rsidR="004B562A" w:rsidRPr="00F567E1">
        <w:rPr>
          <w:lang w:val="es-ES_tradnl"/>
        </w:rPr>
        <w:t> </w:t>
      </w:r>
      <w:r w:rsidRPr="00F567E1">
        <w:rPr>
          <w:lang w:val="es-ES_tradnl"/>
        </w:rPr>
        <w:t>oro, en particular la extracción de oro artesanal y en pequeña escala, se vería reforzada mediante medidas de gestión ambientalmente sostenibles y una mayor rendición de cuentas a lo largo de todo el ciclo de vida de las cadenas de suministro del oro, incluida la diligencia debida de los compradores e intermediarios, la trazabilidad y la verificación del origen,</w:t>
      </w:r>
    </w:p>
    <w:p w14:paraId="2DAE94D1" w14:textId="405EDA8C"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Acogiendo con beneplácito</w:t>
      </w:r>
      <w:r w:rsidRPr="00F567E1">
        <w:rPr>
          <w:lang w:val="es-ES_tradnl"/>
        </w:rPr>
        <w:t xml:space="preserve"> los esfuerzos internacionales para fomentar la acción coordinada en materia de extracción de oro artesanal y en pequeña escala con el objetivo de reducir los riesgos socioambientales asociados a la extracción de oro artesanal y en pequeña escala y reducir al mínimo sus efectos negativos, de modo que se fomente el desarrollo de procesos de extracción de oro sin mercurio llevados a cabo de manera responsable y mejorando la transparencia y la trazabilidad a lo largo de toda la cadena de valor del oro,</w:t>
      </w:r>
    </w:p>
    <w:p w14:paraId="1D8FD804" w14:textId="07E30D01"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Reconociendo</w:t>
      </w:r>
      <w:r w:rsidRPr="00F567E1">
        <w:rPr>
          <w:lang w:val="es-ES_tradnl"/>
        </w:rPr>
        <w:t xml:space="preserve"> la importancia de velar por una transición justa para las comunidades, en particular aquellas en situaciones de vulnerabilidad, al abandonar el uso del mercurio en la extracción de oro artesanal y en pequeña escala,</w:t>
      </w:r>
    </w:p>
    <w:p w14:paraId="325ECCDF" w14:textId="2A828B95"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Exhorta</w:t>
      </w:r>
      <w:r w:rsidRPr="00F567E1">
        <w:rPr>
          <w:lang w:val="es-ES_tradnl"/>
        </w:rPr>
        <w:t xml:space="preserve"> a las Partes cuyos planes de acción nacionales sobre la extracción de oro artesanal y en pequeña escala deban presentarse de conformidad con el párrafo 3 b) del artículo 7 a que presenten sus planes definitivos a la Secretaría lo antes posible;</w:t>
      </w:r>
    </w:p>
    <w:p w14:paraId="79E6626C" w14:textId="72D4DBF3"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Aprueba</w:t>
      </w:r>
      <w:r w:rsidRPr="00F567E1">
        <w:rPr>
          <w:lang w:val="es-ES_tradnl"/>
        </w:rPr>
        <w:t xml:space="preserve"> las secciones modificadas sobre el examen de la aplicación del artículo 7</w:t>
      </w:r>
      <w:r w:rsidR="00840F13" w:rsidRPr="00F567E1">
        <w:rPr>
          <w:rStyle w:val="FootnoteReference"/>
          <w:rFonts w:cstheme="majorBidi"/>
          <w:lang w:val="es-ES_tradnl"/>
        </w:rPr>
        <w:footnoteReference w:id="17"/>
      </w:r>
      <w:r w:rsidRPr="00F567E1">
        <w:rPr>
          <w:lang w:val="es-ES_tradnl"/>
        </w:rPr>
        <w:t xml:space="preserve"> para su inclusión en el documento de orientación sobre la elaboración de un plan de acción nacional para reducir y, cuando sea posible, eliminar el uso del mercurio en la extracción de oro artesanal y en pequeña escala;</w:t>
      </w:r>
    </w:p>
    <w:p w14:paraId="165ABA27" w14:textId="51D68B19"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Cs/>
          <w:lang w:val="es-ES_tradnl"/>
        </w:rPr>
      </w:pPr>
      <w:r w:rsidRPr="00F567E1">
        <w:rPr>
          <w:i/>
          <w:iCs/>
          <w:lang w:val="es-ES_tradnl"/>
        </w:rPr>
        <w:t>Solicita</w:t>
      </w:r>
      <w:r w:rsidRPr="00F567E1">
        <w:rPr>
          <w:lang w:val="es-ES_tradnl"/>
        </w:rPr>
        <w:t xml:space="preserve"> a la Secretaría que incorpore las modificaciones aprobadas en el documento de</w:t>
      </w:r>
      <w:r w:rsidR="004B562A" w:rsidRPr="00F567E1">
        <w:rPr>
          <w:lang w:val="es-ES_tradnl"/>
        </w:rPr>
        <w:t> </w:t>
      </w:r>
      <w:r w:rsidRPr="00F567E1">
        <w:rPr>
          <w:lang w:val="es-ES_tradnl"/>
        </w:rPr>
        <w:t>orientación y que coopere con la Asociación Mundial sobre el Mercurio en la difusión de la orientación modificada, también, según proceda, a escala regional y subregional;</w:t>
      </w:r>
    </w:p>
    <w:p w14:paraId="31A439D1" w14:textId="44E7673B"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Exhorta</w:t>
      </w:r>
      <w:r w:rsidRPr="00F567E1">
        <w:rPr>
          <w:lang w:val="es-ES_tradnl"/>
        </w:rPr>
        <w:t xml:space="preserve"> a todas las Partes que hayan presentado sus planes de acción nacionales a que presenten un examen de los progresos realizados en el cumplimiento de sus obligaciones contraídas en virtud del artículo 7 y lo incluyan en los informes que rendirán de conformidad con el artículo 21, y alienta a las Partes a que, en esos informes, utilicen la plantilla de presentación de informes que figura</w:t>
      </w:r>
      <w:r w:rsidR="004B562A" w:rsidRPr="00F567E1">
        <w:rPr>
          <w:lang w:val="es-ES_tradnl"/>
        </w:rPr>
        <w:t> </w:t>
      </w:r>
      <w:r w:rsidRPr="00F567E1">
        <w:rPr>
          <w:lang w:val="es-ES_tradnl"/>
        </w:rPr>
        <w:t>en el anexo 7 de las orientaciones modificadas;</w:t>
      </w:r>
    </w:p>
    <w:p w14:paraId="044AE3FE" w14:textId="72A64A5C"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que hayan enviado notificaciones a la Secretaría de conformidad con</w:t>
      </w:r>
      <w:r w:rsidR="004B562A" w:rsidRPr="00F567E1">
        <w:rPr>
          <w:lang w:val="es-ES_tradnl"/>
        </w:rPr>
        <w:t> </w:t>
      </w:r>
      <w:r w:rsidRPr="00F567E1">
        <w:rPr>
          <w:lang w:val="es-ES_tradnl"/>
        </w:rPr>
        <w:t>el párrafo 3 del artículo 7 a que empleen la guía provisional sobre la colaboración eficaz de los Pueblos Indígenas y de las comunidades locales</w:t>
      </w:r>
      <w:r w:rsidRPr="00F567E1">
        <w:rPr>
          <w:rStyle w:val="FootnoteReference"/>
          <w:rFonts w:cstheme="majorBidi"/>
          <w:lang w:val="es-ES_tradnl"/>
        </w:rPr>
        <w:footnoteReference w:id="18"/>
      </w:r>
      <w:r w:rsidRPr="00F567E1">
        <w:rPr>
          <w:lang w:val="es-ES_tradnl"/>
        </w:rPr>
        <w:t xml:space="preserve"> al elaborar y aplicar sus planes de acción nacionales </w:t>
      </w:r>
      <w:r w:rsidRPr="00F567E1">
        <w:rPr>
          <w:lang w:val="es-ES_tradnl"/>
        </w:rPr>
        <w:lastRenderedPageBreak/>
        <w:t>así como al examinar sus progresos de conformidad con el párrafo 3 c) del artículo 7, y solicita a la Secretaría que pida información sobre el uso de la guía provisional;</w:t>
      </w:r>
    </w:p>
    <w:p w14:paraId="48192B50" w14:textId="1FB4045B"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que, en colaboración con la Asociación Mundial sobre el Mercurio y sobre la base de la información procedente de los planes de acción nacionales y los exámenes de los progresos realizados en la aplicación del artículo 7 presentados, hagan balance e informen a la Conferencia de las Partes sobre:</w:t>
      </w:r>
    </w:p>
    <w:p w14:paraId="089F8411" w14:textId="77777777" w:rsidR="00312042" w:rsidRPr="00F567E1" w:rsidRDefault="00312042" w:rsidP="00312042">
      <w:pPr>
        <w:pStyle w:val="Normalnumber"/>
        <w:numPr>
          <w:ilvl w:val="0"/>
          <w:numId w:val="49"/>
        </w:numPr>
        <w:tabs>
          <w:tab w:val="clear" w:pos="1247"/>
          <w:tab w:val="clear" w:pos="1814"/>
          <w:tab w:val="clear" w:pos="2381"/>
          <w:tab w:val="clear" w:pos="2948"/>
          <w:tab w:val="clear" w:pos="3515"/>
        </w:tabs>
        <w:ind w:left="1247" w:firstLine="624"/>
        <w:rPr>
          <w:rFonts w:asciiTheme="majorBidi" w:hAnsiTheme="majorBidi" w:cstheme="majorBidi"/>
          <w:lang w:val="es-ES_tradnl"/>
        </w:rPr>
      </w:pPr>
      <w:r w:rsidRPr="00F567E1">
        <w:rPr>
          <w:lang w:val="es-ES_tradnl"/>
        </w:rPr>
        <w:t xml:space="preserve">Las medidas adoptadas para aplicar los planes de acción nacionales; </w:t>
      </w:r>
    </w:p>
    <w:p w14:paraId="6A9A3825" w14:textId="26C138EA" w:rsidR="00312042" w:rsidRPr="00F567E1" w:rsidRDefault="00312042" w:rsidP="00312042">
      <w:pPr>
        <w:pStyle w:val="Normalnumber"/>
        <w:numPr>
          <w:ilvl w:val="0"/>
          <w:numId w:val="49"/>
        </w:numPr>
        <w:tabs>
          <w:tab w:val="clear" w:pos="1247"/>
          <w:tab w:val="clear" w:pos="1814"/>
          <w:tab w:val="clear" w:pos="2381"/>
          <w:tab w:val="clear" w:pos="2948"/>
          <w:tab w:val="clear" w:pos="3515"/>
        </w:tabs>
        <w:ind w:left="1247" w:firstLine="624"/>
        <w:rPr>
          <w:rFonts w:asciiTheme="majorBidi" w:hAnsiTheme="majorBidi" w:cstheme="majorBidi"/>
          <w:lang w:val="es-ES_tradnl"/>
        </w:rPr>
      </w:pPr>
      <w:r w:rsidRPr="00F567E1">
        <w:rPr>
          <w:lang w:val="es-ES_tradnl"/>
        </w:rPr>
        <w:t>Las estrategias y actividades provechosas, los logros en la aplicación y las dificultades y obstáculos afrontados en la reducción y eliminación del uso, las emisiones y las liberaciones de mercurio en la extracción de oro artesanal y en pequeña escala que se hayan determinado, en particular información sobre la formalización o regulación de la extracción de oro artesanal y en pequeña escala, así como la gestión del comercio y la prevención del desvío del mercurio que se utilizaría en la extracción de oro artesanal y en pequeña escala;</w:t>
      </w:r>
    </w:p>
    <w:p w14:paraId="3968D795" w14:textId="72A3FCAF"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las Partes a que adopten o refuercen la gestión ambientalmente sostenible de</w:t>
      </w:r>
      <w:r w:rsidR="004B562A" w:rsidRPr="00F567E1">
        <w:rPr>
          <w:lang w:val="es-ES_tradnl"/>
        </w:rPr>
        <w:t> </w:t>
      </w:r>
      <w:r w:rsidRPr="00F567E1">
        <w:rPr>
          <w:lang w:val="es-ES_tradnl"/>
        </w:rPr>
        <w:t>las cadenas de suministro de oro y las medidas para detectar a los compradores e intermediarios y hacerlos más responsables en todo el ciclo de vida de esas cadenas de suministro, con miras a</w:t>
      </w:r>
      <w:r w:rsidR="004B562A" w:rsidRPr="00F567E1">
        <w:rPr>
          <w:lang w:val="es-ES_tradnl"/>
        </w:rPr>
        <w:t> </w:t>
      </w:r>
      <w:r w:rsidRPr="00F567E1">
        <w:rPr>
          <w:lang w:val="es-ES_tradnl"/>
        </w:rPr>
        <w:t>desalentar el uso de mercurio y el comercio ilícito de oro;</w:t>
      </w:r>
    </w:p>
    <w:p w14:paraId="06233770" w14:textId="7061DE69" w:rsidR="00312042" w:rsidRPr="00F567E1" w:rsidRDefault="00026B4E"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Alienta también</w:t>
      </w:r>
      <w:r w:rsidRPr="00F567E1">
        <w:rPr>
          <w:lang w:val="es-ES_tradnl"/>
        </w:rPr>
        <w:t xml:space="preserve"> a las Partes a que consideren la posibilidad de desarrollar o mejorar prácticas de datos abiertos a lo largo de toda la cadena de suministro del oro, poniendo a disposición del público la información pertinente, incluida la verificación del origen, con miras a velar por la transparencia y la rendición de cuentas en toda la industria del oro;</w:t>
      </w:r>
    </w:p>
    <w:p w14:paraId="10128208" w14:textId="5FD60139"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que, en función de la disponibilidad de recursos y en coordinación con las iniciativas internacionales pertinentes, recopile experiencias comparativas sobre la transparencia y la certificación de la cadena de suministro y sobre la forma en que esas prácticas podrían afectar al uso del mercurio en la extracción de oro, en particular la extracción de oro artesanal</w:t>
      </w:r>
      <w:r w:rsidR="004B562A" w:rsidRPr="00F567E1">
        <w:rPr>
          <w:lang w:val="es-ES_tradnl"/>
        </w:rPr>
        <w:t> </w:t>
      </w:r>
      <w:r w:rsidRPr="00F567E1">
        <w:rPr>
          <w:lang w:val="es-ES_tradnl"/>
        </w:rPr>
        <w:t xml:space="preserve">y en pequeña escala, y podrían mejorar la rendición de cuentas de los compradores y los intermediarios, y que presente sus conclusiones a la Conferencia de las Partes en su séptima reunión; </w:t>
      </w:r>
    </w:p>
    <w:p w14:paraId="3113252E" w14:textId="58E4DA01"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bookmarkStart w:id="34" w:name="_Hlk217039969"/>
      <w:bookmarkStart w:id="35" w:name="_Hlk219453229"/>
      <w:r w:rsidRPr="00F567E1">
        <w:rPr>
          <w:i/>
          <w:iCs/>
          <w:lang w:val="es-ES_tradnl"/>
        </w:rPr>
        <w:t>Recuerda</w:t>
      </w:r>
      <w:r w:rsidRPr="00F567E1">
        <w:rPr>
          <w:lang w:val="es-ES_tradnl"/>
        </w:rPr>
        <w:t xml:space="preserve"> la decisión MC</w:t>
      </w:r>
      <w:r w:rsidRPr="00F567E1">
        <w:rPr>
          <w:lang w:val="es-ES_tradnl"/>
        </w:rPr>
        <w:noBreakHyphen/>
        <w:t>5/7, en la que exhortaba a todas las Partes que hubiesen enviado notificaciones a la Secretaría de conformidad con el párrafo 3 del artículo 7, así como al Fondo para el Medio Ambiente Mundial, a que siguiesen impulsando la ejecución de los planes de acción nacionales por medio de proyectos y programas;</w:t>
      </w:r>
    </w:p>
    <w:p w14:paraId="468618FF" w14:textId="464872E7" w:rsidR="00312042" w:rsidRPr="00F567E1" w:rsidRDefault="00230037"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Recuerda también</w:t>
      </w:r>
      <w:r w:rsidRPr="00F567E1">
        <w:rPr>
          <w:lang w:val="es-ES_tradnl"/>
        </w:rPr>
        <w:t xml:space="preserve"> la decisión MC</w:t>
      </w:r>
      <w:r w:rsidRPr="00F567E1">
        <w:rPr>
          <w:lang w:val="es-ES_tradnl"/>
        </w:rPr>
        <w:noBreakHyphen/>
        <w:t>5/7, en la que alentaba a las Partes a que involucrasen a los Pueblos Indígenas, así como a las comunidades locales, en lo relativo a la extracción de oro artesanal y en pequeña escala;</w:t>
      </w:r>
      <w:bookmarkEnd w:id="34"/>
    </w:p>
    <w:bookmarkEnd w:id="35"/>
    <w:p w14:paraId="2179CCD3" w14:textId="73213934" w:rsidR="00312042" w:rsidRPr="00F567E1" w:rsidRDefault="00230037"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sectPr w:rsidR="00312042" w:rsidRPr="00F567E1" w:rsidSect="00E84D8D">
          <w:footnotePr>
            <w:numRestart w:val="eachSect"/>
          </w:footnotePr>
          <w:type w:val="continuous"/>
          <w:pgSz w:w="11906" w:h="16838" w:code="9"/>
          <w:pgMar w:top="907" w:right="992" w:bottom="1418" w:left="1418" w:header="539" w:footer="975" w:gutter="0"/>
          <w:cols w:space="539"/>
          <w:docGrid w:linePitch="360"/>
        </w:sectPr>
      </w:pPr>
      <w:r w:rsidRPr="00F567E1">
        <w:rPr>
          <w:i/>
          <w:iCs/>
          <w:lang w:val="es-ES_tradnl"/>
        </w:rPr>
        <w:t>Solicita</w:t>
      </w:r>
      <w:r w:rsidRPr="00F567E1">
        <w:rPr>
          <w:lang w:val="es-ES_tradnl"/>
        </w:rPr>
        <w:t xml:space="preserve"> a la Secretaría que informe a la Conferencia de las Partes en su séptima reunión sobre la aplicación de la presente decisión.</w:t>
      </w:r>
    </w:p>
    <w:p w14:paraId="58B37A7D" w14:textId="77777777" w:rsidR="00312042" w:rsidRPr="00F567E1" w:rsidRDefault="00312042" w:rsidP="00312042">
      <w:pPr>
        <w:spacing w:after="160" w:line="278" w:lineRule="auto"/>
        <w:rPr>
          <w:rFonts w:asciiTheme="majorBidi" w:hAnsiTheme="majorBidi" w:cstheme="majorBidi"/>
          <w:lang w:val="es-ES_tradnl"/>
        </w:rPr>
      </w:pPr>
      <w:r w:rsidRPr="00F567E1">
        <w:rPr>
          <w:rFonts w:asciiTheme="majorBidi" w:hAnsiTheme="majorBidi" w:cstheme="majorBidi"/>
          <w:lang w:val="es-ES_tradnl"/>
        </w:rPr>
        <w:br w:type="page"/>
      </w:r>
    </w:p>
    <w:p w14:paraId="786F0451" w14:textId="77777777" w:rsidR="00312042" w:rsidRPr="00F567E1" w:rsidRDefault="00312042" w:rsidP="002819FE">
      <w:pPr>
        <w:pStyle w:val="CH2"/>
        <w:outlineLvl w:val="0"/>
        <w:rPr>
          <w:lang w:val="es-ES_tradnl"/>
        </w:rPr>
      </w:pPr>
      <w:bookmarkStart w:id="36" w:name="_Toc213853066"/>
      <w:r w:rsidRPr="00F567E1">
        <w:rPr>
          <w:lang w:val="es-ES_tradnl"/>
        </w:rPr>
        <w:lastRenderedPageBreak/>
        <w:tab/>
      </w:r>
      <w:r w:rsidRPr="00F567E1">
        <w:rPr>
          <w:lang w:val="es-ES_tradnl"/>
        </w:rPr>
        <w:tab/>
      </w:r>
      <w:bookmarkStart w:id="37" w:name="_Toc223088514"/>
      <w:r w:rsidRPr="00F567E1">
        <w:rPr>
          <w:lang w:val="es-ES_tradnl"/>
        </w:rPr>
        <w:t>Decisión MC</w:t>
      </w:r>
      <w:r w:rsidRPr="00F567E1">
        <w:rPr>
          <w:lang w:val="es-ES_tradnl"/>
        </w:rPr>
        <w:noBreakHyphen/>
        <w:t>6/9: fomento de la labor relacionada con los desechos de mercurio</w:t>
      </w:r>
      <w:bookmarkStart w:id="38" w:name="_Toc219712806"/>
      <w:bookmarkEnd w:id="36"/>
      <w:bookmarkEnd w:id="37"/>
      <w:bookmarkEnd w:id="38"/>
    </w:p>
    <w:p w14:paraId="5605A1BE" w14:textId="77777777" w:rsidR="00312042" w:rsidRPr="00F567E1" w:rsidRDefault="00312042" w:rsidP="00312042">
      <w:pPr>
        <w:pStyle w:val="NormalNonumber"/>
        <w:tabs>
          <w:tab w:val="clear" w:pos="1247"/>
        </w:tabs>
        <w:ind w:firstLine="624"/>
        <w:rPr>
          <w:rFonts w:asciiTheme="majorBidi" w:eastAsia="Yu Mincho" w:hAnsiTheme="majorBidi" w:cstheme="majorBidi"/>
          <w:i/>
          <w:iCs/>
          <w:lang w:val="es-ES_tradnl"/>
        </w:rPr>
      </w:pPr>
      <w:r w:rsidRPr="00F567E1">
        <w:rPr>
          <w:i/>
          <w:iCs/>
          <w:lang w:val="es-ES_tradnl"/>
        </w:rPr>
        <w:t>La Conferencia de las Partes,</w:t>
      </w:r>
    </w:p>
    <w:p w14:paraId="311ADBDA" w14:textId="3113F442" w:rsidR="00312042" w:rsidRPr="00F567E1" w:rsidRDefault="00312042" w:rsidP="00312042">
      <w:pPr>
        <w:pStyle w:val="NormalNonumber"/>
        <w:tabs>
          <w:tab w:val="clear" w:pos="1247"/>
        </w:tabs>
        <w:ind w:firstLine="624"/>
        <w:rPr>
          <w:rFonts w:asciiTheme="majorBidi" w:eastAsia="Yu Mincho" w:hAnsiTheme="majorBidi" w:cstheme="majorBidi"/>
          <w:lang w:val="es-ES_tradnl"/>
        </w:rPr>
      </w:pPr>
      <w:r w:rsidRPr="00F567E1">
        <w:rPr>
          <w:i/>
          <w:iCs/>
          <w:lang w:val="es-ES_tradnl"/>
        </w:rPr>
        <w:t>Recordando</w:t>
      </w:r>
      <w:r w:rsidRPr="00F567E1">
        <w:rPr>
          <w:lang w:val="es-ES_tradnl"/>
        </w:rPr>
        <w:t xml:space="preserve"> que en las decisiones MC</w:t>
      </w:r>
      <w:r w:rsidRPr="00F567E1">
        <w:rPr>
          <w:lang w:val="es-ES_tradnl"/>
        </w:rPr>
        <w:noBreakHyphen/>
        <w:t>3/5, MC</w:t>
      </w:r>
      <w:r w:rsidRPr="00F567E1">
        <w:rPr>
          <w:lang w:val="es-ES_tradnl"/>
        </w:rPr>
        <w:noBreakHyphen/>
        <w:t>4/6 y MC</w:t>
      </w:r>
      <w:r w:rsidRPr="00F567E1">
        <w:rPr>
          <w:lang w:val="es-ES_tradnl"/>
        </w:rPr>
        <w:noBreakHyphen/>
        <w:t>5/10 la Conferencia de las Partes en el Convenio de Minamata sobre el Mercurio decidió los umbrales de distintas categorías de desechos de mercurio en virtud del artículo 11 del Convenio,</w:t>
      </w:r>
    </w:p>
    <w:p w14:paraId="6E710E43" w14:textId="1246BABC" w:rsidR="00312042" w:rsidRPr="00F567E1" w:rsidRDefault="00312042" w:rsidP="00312042">
      <w:pPr>
        <w:pStyle w:val="NormalNonumber"/>
        <w:tabs>
          <w:tab w:val="clear" w:pos="1247"/>
        </w:tabs>
        <w:ind w:firstLine="624"/>
        <w:rPr>
          <w:rFonts w:asciiTheme="majorBidi" w:eastAsia="Yu Mincho" w:hAnsiTheme="majorBidi" w:cstheme="majorBidi"/>
          <w:kern w:val="2"/>
          <w:lang w:val="es-ES_tradnl"/>
          <w14:ligatures w14:val="standardContextual"/>
        </w:rPr>
      </w:pPr>
      <w:r w:rsidRPr="00F567E1">
        <w:rPr>
          <w:i/>
          <w:iCs/>
          <w:lang w:val="es-ES_tradnl"/>
        </w:rPr>
        <w:t xml:space="preserve">Acogiendo con beneplácito </w:t>
      </w:r>
      <w:r w:rsidRPr="00F567E1">
        <w:rPr>
          <w:lang w:val="es-ES_tradnl"/>
        </w:rPr>
        <w:t>la decisión BC</w:t>
      </w:r>
      <w:r w:rsidRPr="00F567E1">
        <w:rPr>
          <w:lang w:val="es-ES_tradnl"/>
        </w:rPr>
        <w:noBreakHyphen/>
        <w:t>17/14 de la Conferencia de las Partes en el Convenio de Basilea sobre el Control de los Movimientos Transfronterizos de los Desechos Peligrosos y su Eliminación, según la cual el programa de trabajo del Comité Encargado de Administrar el Mecanismo para Promover la Aplicación y el Cumplimiento para el bienio 2026</w:t>
      </w:r>
      <w:r w:rsidR="009A7E28" w:rsidRPr="00F567E1">
        <w:rPr>
          <w:lang w:val="es-ES_tradnl"/>
        </w:rPr>
        <w:t>-</w:t>
      </w:r>
      <w:r w:rsidRPr="00F567E1">
        <w:rPr>
          <w:lang w:val="es-ES_tradnl"/>
        </w:rPr>
        <w:t>2027 incluía un examen de la información facilitada en los informes nacionales sobre el tráfico ilícito de desechos de mercurio, en respuesta a la invitación formulada en el párrafo 12 de la decisión MC</w:t>
      </w:r>
      <w:r w:rsidRPr="00F567E1">
        <w:rPr>
          <w:lang w:val="es-ES_tradnl"/>
        </w:rPr>
        <w:noBreakHyphen/>
        <w:t>5/10 de la Conferencia de las Partes en el Convenio de Minamata sobre el Mercurio,</w:t>
      </w:r>
    </w:p>
    <w:p w14:paraId="023D18E7" w14:textId="7DF6ABC9" w:rsidR="00312042" w:rsidRPr="00F567E1" w:rsidRDefault="00312042" w:rsidP="00312042">
      <w:pPr>
        <w:pStyle w:val="NormalNonumber"/>
        <w:tabs>
          <w:tab w:val="clear" w:pos="1247"/>
        </w:tabs>
        <w:ind w:firstLine="624"/>
        <w:rPr>
          <w:rFonts w:asciiTheme="majorBidi" w:eastAsia="Yu Mincho" w:hAnsiTheme="majorBidi" w:cstheme="majorBidi"/>
          <w:kern w:val="2"/>
          <w:lang w:val="es-ES_tradnl"/>
          <w14:ligatures w14:val="standardContextual"/>
        </w:rPr>
      </w:pPr>
      <w:r w:rsidRPr="00F567E1">
        <w:rPr>
          <w:i/>
          <w:iCs/>
          <w:lang w:val="es-ES_tradnl"/>
        </w:rPr>
        <w:t>Acogiendo también con beneplácito</w:t>
      </w:r>
      <w:r w:rsidRPr="00F567E1">
        <w:rPr>
          <w:lang w:val="es-ES_tradnl"/>
        </w:rPr>
        <w:t xml:space="preserve"> la decisión BC</w:t>
      </w:r>
      <w:r w:rsidRPr="00F567E1">
        <w:rPr>
          <w:lang w:val="es-ES_tradnl"/>
        </w:rPr>
        <w:noBreakHyphen/>
        <w:t>17/7 de la Conferencia de las Partes en el</w:t>
      </w:r>
      <w:r w:rsidR="004B562A" w:rsidRPr="00F567E1">
        <w:rPr>
          <w:lang w:val="es-ES_tradnl"/>
        </w:rPr>
        <w:t> </w:t>
      </w:r>
      <w:r w:rsidRPr="00F567E1">
        <w:rPr>
          <w:lang w:val="es-ES_tradnl"/>
        </w:rPr>
        <w:t>Convenio de Basilea, en la que la Conferencia decidió actualizar las directrices técnicas sobre el manejo ambientalmente racional de desechos consistentes en mercurio o compuestos de mercurio, que</w:t>
      </w:r>
      <w:r w:rsidR="004B562A" w:rsidRPr="00F567E1">
        <w:rPr>
          <w:lang w:val="es-ES_tradnl"/>
        </w:rPr>
        <w:t> </w:t>
      </w:r>
      <w:r w:rsidRPr="00F567E1">
        <w:rPr>
          <w:lang w:val="es-ES_tradnl"/>
        </w:rPr>
        <w:t>los contengan o estén contaminados con ellos, a fin de reflejar los ajustes resultantes del establecimiento del umbral para los desechos de mercurio contemplados en el párrafo 2 c) del artículo</w:t>
      </w:r>
      <w:r w:rsidR="00E2141B" w:rsidRPr="00F567E1">
        <w:rPr>
          <w:lang w:val="es-ES_tradnl"/>
        </w:rPr>
        <w:t> </w:t>
      </w:r>
      <w:r w:rsidRPr="00F567E1">
        <w:rPr>
          <w:lang w:val="es-ES_tradnl"/>
        </w:rPr>
        <w:t>11 del Convenio de Minamata sobre el Mercurio, de conformidad con la decisión MC</w:t>
      </w:r>
      <w:r w:rsidRPr="00F567E1">
        <w:rPr>
          <w:lang w:val="es-ES_tradnl"/>
        </w:rPr>
        <w:noBreakHyphen/>
        <w:t>5/10,</w:t>
      </w:r>
    </w:p>
    <w:p w14:paraId="7CF1136E" w14:textId="5BF4113E" w:rsidR="00312042" w:rsidRPr="00F567E1" w:rsidRDefault="00312042" w:rsidP="00312042">
      <w:pPr>
        <w:pStyle w:val="NormalNonumber"/>
        <w:tabs>
          <w:tab w:val="clear" w:pos="1247"/>
        </w:tabs>
        <w:ind w:firstLine="624"/>
        <w:rPr>
          <w:rFonts w:asciiTheme="majorBidi" w:eastAsia="Yu Mincho" w:hAnsiTheme="majorBidi" w:cstheme="majorBidi"/>
          <w:kern w:val="2"/>
          <w:lang w:val="es-ES_tradnl"/>
          <w14:ligatures w14:val="standardContextual"/>
        </w:rPr>
      </w:pPr>
      <w:r w:rsidRPr="00F567E1">
        <w:rPr>
          <w:i/>
          <w:iCs/>
          <w:lang w:val="es-ES_tradnl"/>
        </w:rPr>
        <w:t>Reconociendo</w:t>
      </w:r>
      <w:r w:rsidRPr="00F567E1">
        <w:rPr>
          <w:lang w:val="es-ES_tradnl"/>
        </w:rPr>
        <w:t xml:space="preserve"> que la gestión ambientalmente racional de los desechos de mercurio sigue siendo un reto especialmente difícil para los países en desarrollo, y teniendo en cuenta el artículo 14,</w:t>
      </w:r>
    </w:p>
    <w:p w14:paraId="47836809" w14:textId="78A3BE1C" w:rsidR="00312042" w:rsidRPr="00F567E1" w:rsidRDefault="00312042" w:rsidP="00312042">
      <w:pPr>
        <w:pStyle w:val="ListParagraph"/>
        <w:numPr>
          <w:ilvl w:val="0"/>
          <w:numId w:val="50"/>
        </w:numPr>
        <w:tabs>
          <w:tab w:val="clear" w:pos="1247"/>
          <w:tab w:val="clear" w:pos="1814"/>
          <w:tab w:val="clear" w:pos="2381"/>
          <w:tab w:val="clear" w:pos="2948"/>
          <w:tab w:val="clear" w:pos="3515"/>
          <w:tab w:val="left" w:pos="624"/>
        </w:tabs>
        <w:spacing w:after="120"/>
        <w:ind w:left="1247" w:firstLine="624"/>
        <w:contextualSpacing w:val="0"/>
        <w:rPr>
          <w:rFonts w:asciiTheme="majorBidi" w:eastAsia="MS Mincho" w:hAnsiTheme="majorBidi" w:cstheme="majorBidi"/>
          <w:lang w:val="es-ES_tradnl"/>
        </w:rPr>
      </w:pPr>
      <w:r w:rsidRPr="00F567E1">
        <w:rPr>
          <w:i/>
          <w:iCs/>
          <w:lang w:val="es-ES_tradnl"/>
        </w:rPr>
        <w:t>Invita</w:t>
      </w:r>
      <w:r w:rsidRPr="00F567E1">
        <w:rPr>
          <w:lang w:val="es-ES_tradnl"/>
        </w:rPr>
        <w:t xml:space="preserve"> a las Partes y a los interesados pertinentes a que presenten a la Secretaría, según proceda, todas las actualizaciones propuestas de las listas que figuran en los cuadros 1, 2 y 3 del anexo</w:t>
      </w:r>
      <w:r w:rsidR="004B562A" w:rsidRPr="00F567E1">
        <w:rPr>
          <w:lang w:val="es-ES_tradnl"/>
        </w:rPr>
        <w:t> </w:t>
      </w:r>
      <w:r w:rsidRPr="00F567E1">
        <w:rPr>
          <w:lang w:val="es-ES_tradnl"/>
        </w:rPr>
        <w:t>de la decisión MC</w:t>
      </w:r>
      <w:r w:rsidRPr="00F567E1">
        <w:rPr>
          <w:lang w:val="es-ES_tradnl"/>
        </w:rPr>
        <w:noBreakHyphen/>
        <w:t>3/5 en un plazo máximo de seis meses antes de la séptima reunión de la Conferencia de las Partes para que la Secretaría, en función de la disponibilidad de recursos, las compile con vistas a su examen por la Conferencia de las Partes en su séptima reunión;</w:t>
      </w:r>
    </w:p>
    <w:p w14:paraId="173B029B" w14:textId="1BDECBDB" w:rsidR="00312042" w:rsidRPr="00F567E1" w:rsidRDefault="00312042" w:rsidP="00312042">
      <w:pPr>
        <w:pStyle w:val="ListParagraph"/>
        <w:numPr>
          <w:ilvl w:val="0"/>
          <w:numId w:val="50"/>
        </w:numPr>
        <w:tabs>
          <w:tab w:val="clear" w:pos="1247"/>
          <w:tab w:val="clear" w:pos="1814"/>
          <w:tab w:val="clear" w:pos="2381"/>
          <w:tab w:val="clear" w:pos="2948"/>
          <w:tab w:val="clear" w:pos="3515"/>
          <w:tab w:val="left" w:pos="624"/>
        </w:tabs>
        <w:spacing w:after="120"/>
        <w:ind w:left="1247" w:firstLine="624"/>
        <w:contextualSpacing w:val="0"/>
        <w:rPr>
          <w:rFonts w:asciiTheme="majorBidi" w:eastAsia="MS Mincho" w:hAnsiTheme="majorBidi" w:cstheme="majorBidi"/>
          <w:kern w:val="2"/>
          <w:lang w:val="es-ES_tradnl"/>
          <w14:ligatures w14:val="standardContextual"/>
        </w:rPr>
      </w:pPr>
      <w:r w:rsidRPr="00F567E1">
        <w:rPr>
          <w:i/>
          <w:iCs/>
          <w:lang w:val="es-ES_tradnl"/>
        </w:rPr>
        <w:t>Solicita</w:t>
      </w:r>
      <w:r w:rsidRPr="00F567E1">
        <w:rPr>
          <w:lang w:val="es-ES_tradnl"/>
        </w:rPr>
        <w:t xml:space="preserve"> a las Partes y a la Secretaría que adopten las medidas acordadas en la decisión</w:t>
      </w:r>
      <w:r w:rsidR="009A7E28" w:rsidRPr="00F567E1">
        <w:rPr>
          <w:lang w:val="es-ES_tradnl"/>
        </w:rPr>
        <w:t> </w:t>
      </w:r>
      <w:r w:rsidRPr="00F567E1">
        <w:rPr>
          <w:lang w:val="es-ES_tradnl"/>
        </w:rPr>
        <w:t>MC</w:t>
      </w:r>
      <w:r w:rsidRPr="00F567E1">
        <w:rPr>
          <w:lang w:val="es-ES_tradnl"/>
        </w:rPr>
        <w:noBreakHyphen/>
        <w:t>5/10 tan pronto como sea factible o según sea necesario para facilitar la aplicación del artículo 11;</w:t>
      </w:r>
    </w:p>
    <w:p w14:paraId="4DDFA5E9" w14:textId="23459D7D" w:rsidR="00312042" w:rsidRPr="00F567E1" w:rsidRDefault="00312042" w:rsidP="00312042">
      <w:pPr>
        <w:pStyle w:val="ListParagraph"/>
        <w:numPr>
          <w:ilvl w:val="0"/>
          <w:numId w:val="50"/>
        </w:numPr>
        <w:tabs>
          <w:tab w:val="clear" w:pos="1247"/>
          <w:tab w:val="clear" w:pos="1814"/>
          <w:tab w:val="clear" w:pos="2381"/>
          <w:tab w:val="clear" w:pos="2948"/>
          <w:tab w:val="clear" w:pos="3515"/>
          <w:tab w:val="left" w:pos="624"/>
        </w:tabs>
        <w:spacing w:after="120"/>
        <w:ind w:left="1247" w:firstLine="624"/>
        <w:contextualSpacing w:val="0"/>
        <w:rPr>
          <w:rFonts w:asciiTheme="majorBidi" w:eastAsia="MS Mincho" w:hAnsiTheme="majorBidi" w:cstheme="majorBidi"/>
          <w:kern w:val="2"/>
          <w:lang w:val="es-ES_tradnl"/>
          <w14:ligatures w14:val="standardContextual"/>
        </w:rPr>
      </w:pPr>
      <w:r w:rsidRPr="00F567E1">
        <w:rPr>
          <w:i/>
          <w:iCs/>
          <w:lang w:val="es-ES_tradnl"/>
        </w:rPr>
        <w:t>Solicita</w:t>
      </w:r>
      <w:r w:rsidRPr="00F567E1">
        <w:rPr>
          <w:lang w:val="es-ES_tradnl"/>
        </w:rPr>
        <w:t xml:space="preserve"> a la Secretaría que recopile y resuma los datos científicos y reglamentarios que presenten las Partes y los interesados pertinentes sobre la eficacia del umbral de los desechos a que se refiere el párrafo 2 c) del artículo 11, así como sobre las dificultades y las experiencias asociadas a su uso, para que la Conferencia de las Partes los examine en su séptima reunión;</w:t>
      </w:r>
    </w:p>
    <w:p w14:paraId="17ECBEED" w14:textId="6A1B54F8" w:rsidR="00312042" w:rsidRPr="00F567E1" w:rsidRDefault="00312042" w:rsidP="00312042">
      <w:pPr>
        <w:pStyle w:val="ListParagraph"/>
        <w:numPr>
          <w:ilvl w:val="0"/>
          <w:numId w:val="50"/>
        </w:numPr>
        <w:tabs>
          <w:tab w:val="clear" w:pos="1247"/>
          <w:tab w:val="clear" w:pos="1814"/>
          <w:tab w:val="clear" w:pos="2381"/>
          <w:tab w:val="clear" w:pos="2948"/>
          <w:tab w:val="clear" w:pos="3515"/>
          <w:tab w:val="left" w:pos="624"/>
        </w:tabs>
        <w:spacing w:after="120"/>
        <w:ind w:left="1247" w:firstLine="624"/>
        <w:contextualSpacing w:val="0"/>
        <w:rPr>
          <w:rFonts w:asciiTheme="majorBidi" w:eastAsia="MS Mincho" w:hAnsiTheme="majorBidi" w:cstheme="majorBidi"/>
          <w:kern w:val="2"/>
          <w:lang w:val="es-ES_tradnl"/>
          <w14:ligatures w14:val="standardContextual"/>
        </w:rPr>
        <w:sectPr w:rsidR="00312042" w:rsidRPr="00F567E1" w:rsidSect="00E84D8D">
          <w:type w:val="continuous"/>
          <w:pgSz w:w="11906" w:h="16838" w:code="9"/>
          <w:pgMar w:top="907" w:right="992" w:bottom="1418" w:left="1418" w:header="539" w:footer="975" w:gutter="0"/>
          <w:cols w:space="539"/>
          <w:docGrid w:linePitch="360"/>
        </w:sectPr>
      </w:pPr>
      <w:r w:rsidRPr="00F567E1">
        <w:rPr>
          <w:i/>
          <w:iCs/>
          <w:lang w:val="es-ES_tradnl"/>
        </w:rPr>
        <w:t>Solicita también</w:t>
      </w:r>
      <w:r w:rsidRPr="00F567E1">
        <w:rPr>
          <w:lang w:val="es-ES_tradnl"/>
        </w:rPr>
        <w:t xml:space="preserve"> a la Secretaría que recopile y resuma las presentaciones de las Partes de cualquier información sobre la aplicación del enfoque diferente mencionado en el párrafo 2 de la decisión MC</w:t>
      </w:r>
      <w:r w:rsidRPr="00F567E1">
        <w:rPr>
          <w:lang w:val="es-ES_tradnl"/>
        </w:rPr>
        <w:noBreakHyphen/>
        <w:t>5/10, para su examen por la Conferencia de las Partes en su séptima reunión.</w:t>
      </w:r>
    </w:p>
    <w:p w14:paraId="7065576C" w14:textId="77777777" w:rsidR="00312042" w:rsidRPr="00F567E1" w:rsidRDefault="00312042" w:rsidP="00312042">
      <w:pPr>
        <w:pStyle w:val="Normal-pool"/>
        <w:rPr>
          <w:lang w:val="es-ES_tradnl"/>
        </w:rPr>
      </w:pPr>
      <w:r w:rsidRPr="00F567E1">
        <w:rPr>
          <w:lang w:val="es-ES_tradnl"/>
        </w:rPr>
        <w:br w:type="page"/>
      </w:r>
    </w:p>
    <w:p w14:paraId="7AD7B574" w14:textId="77777777" w:rsidR="00312042" w:rsidRPr="00F567E1" w:rsidRDefault="00312042" w:rsidP="002819FE">
      <w:pPr>
        <w:pStyle w:val="CH2"/>
        <w:outlineLvl w:val="0"/>
        <w:rPr>
          <w:lang w:val="es-ES_tradnl"/>
        </w:rPr>
      </w:pPr>
      <w:bookmarkStart w:id="39" w:name="_Toc213853067"/>
      <w:r w:rsidRPr="00F567E1">
        <w:rPr>
          <w:lang w:val="es-ES_tradnl"/>
        </w:rPr>
        <w:lastRenderedPageBreak/>
        <w:tab/>
      </w:r>
      <w:r w:rsidRPr="00F567E1">
        <w:rPr>
          <w:lang w:val="es-ES_tradnl"/>
        </w:rPr>
        <w:tab/>
      </w:r>
      <w:bookmarkStart w:id="40" w:name="_Toc223088515"/>
      <w:r w:rsidRPr="00F567E1">
        <w:rPr>
          <w:lang w:val="es-ES_tradnl"/>
        </w:rPr>
        <w:t>Decisión MC-6/10: mecanismo financiero</w:t>
      </w:r>
      <w:bookmarkStart w:id="41" w:name="_Toc219712807"/>
      <w:bookmarkEnd w:id="39"/>
      <w:bookmarkEnd w:id="40"/>
      <w:bookmarkEnd w:id="41"/>
    </w:p>
    <w:p w14:paraId="405920A5" w14:textId="77777777" w:rsidR="00312042" w:rsidRPr="00F567E1" w:rsidRDefault="00312042" w:rsidP="00312042">
      <w:pPr>
        <w:pStyle w:val="NormalNonumber"/>
        <w:tabs>
          <w:tab w:val="clear" w:pos="1247"/>
        </w:tabs>
        <w:ind w:firstLine="624"/>
        <w:rPr>
          <w:rFonts w:asciiTheme="majorBidi" w:hAnsiTheme="majorBidi" w:cstheme="majorBidi"/>
          <w:i/>
          <w:iCs/>
          <w:lang w:val="es-ES_tradnl"/>
        </w:rPr>
      </w:pPr>
      <w:r w:rsidRPr="00F567E1">
        <w:rPr>
          <w:i/>
          <w:iCs/>
          <w:lang w:val="es-ES_tradnl"/>
        </w:rPr>
        <w:t>La Conferencia de las Partes,</w:t>
      </w:r>
    </w:p>
    <w:p w14:paraId="36463D5F" w14:textId="3BE05746"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Resaltando</w:t>
      </w:r>
      <w:r w:rsidRPr="00F567E1">
        <w:rPr>
          <w:lang w:val="es-ES_tradnl"/>
        </w:rPr>
        <w:t xml:space="preserve"> las funciones esenciales desempeñadas por el fondo fiduciario del Fondo para el</w:t>
      </w:r>
      <w:r w:rsidR="004B562A" w:rsidRPr="00F567E1">
        <w:rPr>
          <w:lang w:val="es-ES_tradnl"/>
        </w:rPr>
        <w:t> </w:t>
      </w:r>
      <w:r w:rsidRPr="00F567E1">
        <w:rPr>
          <w:lang w:val="es-ES_tradnl"/>
        </w:rPr>
        <w:t>Medio Ambiente Mundial y el Programa Internacional Específico para apoyar la creación de capacidad y la asistencia técnica en cuanto entidades que integran el mecanismo financiero del Convenio de Minamata sobre el Mercurio,</w:t>
      </w:r>
    </w:p>
    <w:p w14:paraId="3FAD40C6" w14:textId="69785A72"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Expresando su aprecio</w:t>
      </w:r>
      <w:r w:rsidRPr="00F567E1">
        <w:rPr>
          <w:lang w:val="es-ES_tradnl"/>
        </w:rPr>
        <w:t xml:space="preserve"> por la aprobación por parte del Consejo del Fondo para el Medio</w:t>
      </w:r>
      <w:r w:rsidR="0090464C" w:rsidRPr="00F567E1">
        <w:rPr>
          <w:lang w:val="es-ES_tradnl"/>
        </w:rPr>
        <w:t> </w:t>
      </w:r>
      <w:r w:rsidRPr="00F567E1">
        <w:rPr>
          <w:lang w:val="es-ES_tradnl"/>
        </w:rPr>
        <w:t>Ambiente Mundial de una nueva actividad habilitadora para el examen de la aplicación del</w:t>
      </w:r>
      <w:r w:rsidR="0090464C" w:rsidRPr="00F567E1">
        <w:rPr>
          <w:lang w:val="es-ES_tradnl"/>
        </w:rPr>
        <w:t> </w:t>
      </w:r>
      <w:r w:rsidRPr="00F567E1">
        <w:rPr>
          <w:lang w:val="es-ES_tradnl"/>
        </w:rPr>
        <w:t xml:space="preserve">artículo 7 del Convenio, </w:t>
      </w:r>
    </w:p>
    <w:p w14:paraId="749ACEE8" w14:textId="3A0D01FF"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Tomando nota</w:t>
      </w:r>
      <w:r w:rsidRPr="00F567E1">
        <w:rPr>
          <w:lang w:val="es-ES_tradnl"/>
        </w:rPr>
        <w:t xml:space="preserve"> de la recomendación del Comité de Aplicación y Cumplimiento del Convenio a</w:t>
      </w:r>
      <w:r w:rsidR="0090464C" w:rsidRPr="00F567E1">
        <w:rPr>
          <w:lang w:val="es-ES_tradnl"/>
        </w:rPr>
        <w:t> </w:t>
      </w:r>
      <w:r w:rsidRPr="00F567E1">
        <w:rPr>
          <w:lang w:val="es-ES_tradnl"/>
        </w:rPr>
        <w:t>las Partes que se basaban en la información de referencia de las evaluaciones iniciales del Convenio de Minamata de que tuviesen en cuenta fuentes de información más actualizadas,</w:t>
      </w:r>
    </w:p>
    <w:p w14:paraId="72009875" w14:textId="7D329C2C"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Expresando su agradecimiento</w:t>
      </w:r>
      <w:r w:rsidRPr="00F567E1">
        <w:rPr>
          <w:lang w:val="es-ES_tradnl"/>
        </w:rPr>
        <w:t xml:space="preserve"> por los recursos que los donantes al Programa Internacional Específico han tenido la generosidad de aportar a las rondas 4ª y 5ª de reposición, y expresando su</w:t>
      </w:r>
      <w:r w:rsidR="0090464C" w:rsidRPr="00F567E1">
        <w:rPr>
          <w:lang w:val="es-ES_tradnl"/>
        </w:rPr>
        <w:t> </w:t>
      </w:r>
      <w:r w:rsidRPr="00F567E1">
        <w:rPr>
          <w:lang w:val="es-ES_tradnl"/>
        </w:rPr>
        <w:t>agradecimiento también por la provechosa puesta en marcha de la 4ª ronda de solicitudes,</w:t>
      </w:r>
    </w:p>
    <w:p w14:paraId="1BE5BC37" w14:textId="657470BC"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Recordando</w:t>
      </w:r>
      <w:r w:rsidRPr="00F567E1">
        <w:rPr>
          <w:lang w:val="es-ES_tradnl"/>
        </w:rPr>
        <w:t xml:space="preserve"> la decisión MC</w:t>
      </w:r>
      <w:r w:rsidRPr="00F567E1">
        <w:rPr>
          <w:lang w:val="es-ES_tradnl"/>
        </w:rPr>
        <w:noBreakHyphen/>
        <w:t>5/1, en la que se tomaba nota de la importancia de ampliar la participación de los Pueblos Indígenas y de las comunidades locales en la ejecución de los proyectos y</w:t>
      </w:r>
      <w:r w:rsidR="0090464C" w:rsidRPr="00F567E1">
        <w:rPr>
          <w:lang w:val="es-ES_tradnl"/>
        </w:rPr>
        <w:t> </w:t>
      </w:r>
      <w:r w:rsidRPr="00F567E1">
        <w:rPr>
          <w:lang w:val="es-ES_tradnl"/>
        </w:rPr>
        <w:t>programas emprendidos en el marco del Convenio,</w:t>
      </w:r>
    </w:p>
    <w:p w14:paraId="57723942" w14:textId="41ED2C60"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Observando con preocupación</w:t>
      </w:r>
      <w:r w:rsidRPr="00F567E1">
        <w:rPr>
          <w:lang w:val="es-ES_tradnl"/>
        </w:rPr>
        <w:t xml:space="preserve"> que la amalgama dental representa el mayor uso aún vigente de</w:t>
      </w:r>
      <w:r w:rsidR="0090464C" w:rsidRPr="00F567E1">
        <w:rPr>
          <w:lang w:val="es-ES_tradnl"/>
        </w:rPr>
        <w:t> </w:t>
      </w:r>
      <w:r w:rsidRPr="00F567E1">
        <w:rPr>
          <w:lang w:val="es-ES_tradnl"/>
        </w:rPr>
        <w:t>mercurio en los productos con mercurio añadido,</w:t>
      </w:r>
    </w:p>
    <w:p w14:paraId="540B8A6B" w14:textId="53736ED1"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Reconociendo</w:t>
      </w:r>
      <w:r w:rsidRPr="00F567E1">
        <w:rPr>
          <w:lang w:val="es-ES_tradnl"/>
        </w:rPr>
        <w:t xml:space="preserve"> que desde su primera reunión ha adoptado medidas adicionales sobre la amalgama dental, que pueden requerir la adopción de nuevas medidas por las Partes,</w:t>
      </w:r>
    </w:p>
    <w:p w14:paraId="59CA04DC" w14:textId="12F1E8CE"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Acoge con beneplácito</w:t>
      </w:r>
      <w:r w:rsidRPr="00F567E1">
        <w:rPr>
          <w:lang w:val="es-ES_tradnl"/>
        </w:rPr>
        <w:t xml:space="preserve"> el proceso en curso de la novena reposición del fondo fiduciario del Fondo para el Medio Ambiente Mundial y resalta la importancia de esta reposición para las Partes en el Convenio de Minamata sobre el Mercurio durante el período comprendido entre 2026 y 2030 con respecto a las obligaciones y plazos respectivos que deben cumplir en virtud del Convenio;</w:t>
      </w:r>
    </w:p>
    <w:p w14:paraId="36294B88" w14:textId="06A2A75E"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bookmarkStart w:id="42" w:name="_Hlk213072851"/>
      <w:r w:rsidRPr="00F567E1">
        <w:rPr>
          <w:i/>
          <w:iCs/>
          <w:lang w:val="es-ES_tradnl"/>
        </w:rPr>
        <w:t>Recuerda</w:t>
      </w:r>
      <w:r w:rsidRPr="00F567E1">
        <w:rPr>
          <w:lang w:val="es-ES_tradnl"/>
        </w:rPr>
        <w:t xml:space="preserve"> la decisión MC</w:t>
      </w:r>
      <w:r w:rsidRPr="00F567E1">
        <w:rPr>
          <w:lang w:val="es-ES_tradnl"/>
        </w:rPr>
        <w:noBreakHyphen/>
        <w:t>1/5, en la que proporcionó orientación al Fondo para el Medio Ambiente Mundial;</w:t>
      </w:r>
    </w:p>
    <w:bookmarkEnd w:id="42"/>
    <w:p w14:paraId="6943718D" w14:textId="00FB4A4F"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Proporciona</w:t>
      </w:r>
      <w:r w:rsidRPr="00F567E1">
        <w:rPr>
          <w:lang w:val="es-ES_tradnl"/>
        </w:rPr>
        <w:t xml:space="preserve"> orientación adicional al Fondo para el Medio Ambiente Mundial, a fin de complementar la orientación expuesta en la decisión MC</w:t>
      </w:r>
      <w:r w:rsidRPr="00F567E1">
        <w:rPr>
          <w:lang w:val="es-ES_tradnl"/>
        </w:rPr>
        <w:noBreakHyphen/>
        <w:t>1/5, y para ello incluye la actualización de las evaluaciones iniciales del Convenio de Minamata y de la vigilancia de la exposición humana al mercurio y de las concentraciones de mercurio en el ambiente a la lista de actividades para aplicar las disposiciones del Convenio, que figura en la sección IV.B del anexo de la decisión MC</w:t>
      </w:r>
      <w:r w:rsidRPr="00F567E1">
        <w:rPr>
          <w:lang w:val="es-ES_tradnl"/>
        </w:rPr>
        <w:noBreakHyphen/>
        <w:t>1/5, y recuerda la importancia de proporcionar apoyo para hacer frente a los retos derivados de las obligaciones relacionadas con la amalgama dental;</w:t>
      </w:r>
    </w:p>
    <w:p w14:paraId="5B68238F" w14:textId="1298413E"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Recuerda</w:t>
      </w:r>
      <w:r w:rsidRPr="00F567E1">
        <w:rPr>
          <w:lang w:val="es-ES_tradnl"/>
        </w:rPr>
        <w:t xml:space="preserve"> la orientación aportada al Fondo para el Medio Ambiente Mundial en la decisión MC</w:t>
      </w:r>
      <w:r w:rsidRPr="00F567E1">
        <w:rPr>
          <w:lang w:val="es-ES_tradnl"/>
        </w:rPr>
        <w:noBreakHyphen/>
        <w:t>5/11 para que este tenga en cuenta los plazos a los que deben atenerse las Partes para la aplicación de las obligaciones ineludibles al elaborar sus orientaciones de programación y asignaciones de recursos para el período de la 9ª reposición, y al seguir elaborando proyectos y programas en el marco de las orientaciones de programación para la 8ª reposición, como complemento de la orientación de la Conferencia de las Partes, y solicita a la Secretaría del Convenio que transmita al Fondo para el Medio Ambiente Mundial la información que se esboza en la recopilación de obligaciones y plazos en virtud del Convenio, y que le informe de la medida en la que las Partes</w:t>
      </w:r>
      <w:r w:rsidRPr="00F567E1">
        <w:rPr>
          <w:rStyle w:val="FootnoteReference"/>
          <w:rFonts w:asciiTheme="majorBidi" w:hAnsiTheme="majorBidi" w:cstheme="majorBidi"/>
          <w:lang w:val="es-ES_tradnl"/>
        </w:rPr>
        <w:footnoteReference w:id="19"/>
      </w:r>
      <w:r w:rsidRPr="00F567E1">
        <w:rPr>
          <w:lang w:val="es-ES_tradnl"/>
        </w:rPr>
        <w:t xml:space="preserve"> se</w:t>
      </w:r>
      <w:r w:rsidR="009A7E28" w:rsidRPr="00F567E1">
        <w:rPr>
          <w:lang w:val="es-ES_tradnl"/>
        </w:rPr>
        <w:t> </w:t>
      </w:r>
      <w:r w:rsidRPr="00F567E1">
        <w:rPr>
          <w:lang w:val="es-ES_tradnl"/>
        </w:rPr>
        <w:t>atienen a esos plazos y obligaciones;</w:t>
      </w:r>
    </w:p>
    <w:p w14:paraId="45291006" w14:textId="6F6FFCAB"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 Secretaría a que siga cooperando con la Secretaría del Fondo para el Medio</w:t>
      </w:r>
      <w:r w:rsidR="0090464C" w:rsidRPr="00F567E1">
        <w:rPr>
          <w:lang w:val="es-ES_tradnl"/>
        </w:rPr>
        <w:t> </w:t>
      </w:r>
      <w:r w:rsidRPr="00F567E1">
        <w:rPr>
          <w:lang w:val="es-ES_tradnl"/>
        </w:rPr>
        <w:t>Ambiente Mundial en la evaluación de sus proyectos;</w:t>
      </w:r>
    </w:p>
    <w:p w14:paraId="53587F4F" w14:textId="0F23D853"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al Fondo para el Medio Ambiente Mundial a que, al informar de los resultados de los proyectos, facilite datos e información sobre la reducción y evitación del mercurio así como sobre los esfuerzos para fomentar la colaboración y participación efectivas de los Pueblos Indígenas, las comunidades locales, las mujeres y los jóvenes, a fin de fomentar la comprensión de todos los resultados cuantificables obtenidos;</w:t>
      </w:r>
    </w:p>
    <w:p w14:paraId="0518DE55" w14:textId="77777777"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lastRenderedPageBreak/>
        <w:t>Reitera</w:t>
      </w:r>
      <w:r w:rsidRPr="00F567E1">
        <w:rPr>
          <w:lang w:val="es-ES_tradnl"/>
        </w:rPr>
        <w:t xml:space="preserve"> la importancia de que las Partes pertinentes trabajen por conducto de sus coordinadores de operaciones para hacer un uso rápido y pleno de las orientaciones de programación y la asignación de recursos en el marco del fondo fiduciario del Fondo para el Medio Ambiente Mundial;</w:t>
      </w:r>
    </w:p>
    <w:p w14:paraId="2616142F" w14:textId="6003410E"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Toma nota</w:t>
      </w:r>
      <w:r w:rsidRPr="00F567E1">
        <w:rPr>
          <w:lang w:val="es-ES_tradnl"/>
        </w:rPr>
        <w:t xml:space="preserve"> del proyecto de análisis de la Secretaría de las necesidades de financiación y dotación de personal previstas durante el tiempo restante del período inicial y una posible prórroga del Programa Internacional Específico para apoyar la creación de capacidad y la asistencia técnica por</w:t>
      </w:r>
      <w:r w:rsidR="0090464C" w:rsidRPr="00F567E1">
        <w:rPr>
          <w:lang w:val="es-ES_tradnl"/>
        </w:rPr>
        <w:t> </w:t>
      </w:r>
      <w:r w:rsidRPr="00F567E1">
        <w:rPr>
          <w:lang w:val="es-ES_tradnl"/>
        </w:rPr>
        <w:t>un período adicional no superior a siete años, y solicita a la Secretaría que colabore con la Junta Directiva del Programa Internacional Específico para ultimar el proyecto de análisis y preparar un proyecto de recomendaciones con vistas a su examen por la Conferencia de las Partes en su séptima reunión;</w:t>
      </w:r>
    </w:p>
    <w:p w14:paraId="3811167B" w14:textId="77777777"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Acuerda</w:t>
      </w:r>
      <w:r w:rsidRPr="00F567E1">
        <w:rPr>
          <w:lang w:val="es-ES_tradnl"/>
        </w:rPr>
        <w:t xml:space="preserve"> examinar la posibilidad de prorrogar el Programa Internacional Específico por un período adicional de no más de siete años en la séptima reunión de la Conferencia de las Partes, y hace notar que está previsto que el tercer examen del mecanismo financiero tenga lugar en la misma reunión;</w:t>
      </w:r>
    </w:p>
    <w:p w14:paraId="02984A7F" w14:textId="4F15D463" w:rsidR="00312042" w:rsidRPr="00F567E1" w:rsidRDefault="00312042" w:rsidP="00312042">
      <w:pPr>
        <w:pStyle w:val="NormalNonumber"/>
        <w:numPr>
          <w:ilvl w:val="0"/>
          <w:numId w:val="51"/>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sectPr w:rsidR="00312042" w:rsidRPr="00F567E1" w:rsidSect="00E84D8D">
          <w:footnotePr>
            <w:numRestart w:val="eachSect"/>
          </w:footnotePr>
          <w:type w:val="continuous"/>
          <w:pgSz w:w="11906" w:h="16838" w:code="9"/>
          <w:pgMar w:top="907" w:right="992" w:bottom="1418" w:left="1418" w:header="539" w:footer="975" w:gutter="0"/>
          <w:cols w:space="539"/>
          <w:docGrid w:linePitch="360"/>
        </w:sectPr>
      </w:pPr>
      <w:r w:rsidRPr="00F567E1">
        <w:rPr>
          <w:i/>
          <w:iCs/>
          <w:lang w:val="es-ES_tradnl"/>
        </w:rPr>
        <w:t>Alienta</w:t>
      </w:r>
      <w:r w:rsidRPr="00F567E1">
        <w:rPr>
          <w:lang w:val="es-ES_tradnl"/>
        </w:rPr>
        <w:t xml:space="preserve"> a la Secretaría a que siga coordin</w:t>
      </w:r>
      <w:r w:rsidR="00574BB4" w:rsidRPr="00F567E1">
        <w:rPr>
          <w:lang w:val="es-ES_tradnl"/>
        </w:rPr>
        <w:t>á</w:t>
      </w:r>
      <w:r w:rsidRPr="00F567E1">
        <w:rPr>
          <w:lang w:val="es-ES_tradnl"/>
        </w:rPr>
        <w:t>ndo</w:t>
      </w:r>
      <w:r w:rsidR="00574BB4" w:rsidRPr="00F567E1">
        <w:rPr>
          <w:lang w:val="es-ES_tradnl"/>
        </w:rPr>
        <w:t>se</w:t>
      </w:r>
      <w:r w:rsidRPr="00F567E1">
        <w:rPr>
          <w:lang w:val="es-ES_tradnl"/>
        </w:rPr>
        <w:t xml:space="preserve"> con el Fondo del Marco Mundial sobre los Productos Químicos y con el Programa Especial</w:t>
      </w:r>
      <w:r w:rsidRPr="00F567E1">
        <w:rPr>
          <w:rStyle w:val="FootnoteReference"/>
          <w:rFonts w:cstheme="majorBidi"/>
          <w:lang w:val="es-ES_tradnl"/>
        </w:rPr>
        <w:footnoteReference w:id="20"/>
      </w:r>
      <w:r w:rsidRPr="00F567E1">
        <w:rPr>
          <w:lang w:val="es-ES_tradnl"/>
        </w:rPr>
        <w:t>, dentro del ámbito de sus mandatos respectivos, a fin de mejorar la complementariedad y evitar la duplicación, conforme a lo solicitado en la resolución</w:t>
      </w:r>
      <w:r w:rsidR="004C4930" w:rsidRPr="00F567E1">
        <w:rPr>
          <w:lang w:val="es-ES_tradnl"/>
        </w:rPr>
        <w:t> </w:t>
      </w:r>
      <w:r w:rsidRPr="00F567E1">
        <w:rPr>
          <w:lang w:val="es-ES_tradnl"/>
        </w:rPr>
        <w:t>6/9 de la Asamblea de las Naciones Unidas sobre el Medio Ambiente.</w:t>
      </w:r>
      <w:bookmarkStart w:id="43" w:name="_Hlk219453663"/>
      <w:bookmarkEnd w:id="43"/>
    </w:p>
    <w:p w14:paraId="276EAD80" w14:textId="77777777" w:rsidR="00312042" w:rsidRPr="00F567E1" w:rsidRDefault="00312042" w:rsidP="00312042">
      <w:pPr>
        <w:spacing w:after="160" w:line="278" w:lineRule="auto"/>
        <w:rPr>
          <w:rFonts w:asciiTheme="majorBidi" w:hAnsiTheme="majorBidi" w:cstheme="majorBidi"/>
          <w:lang w:val="es-ES_tradnl"/>
        </w:rPr>
      </w:pPr>
      <w:r w:rsidRPr="00F567E1">
        <w:rPr>
          <w:rFonts w:asciiTheme="majorBidi" w:hAnsiTheme="majorBidi" w:cstheme="majorBidi"/>
          <w:lang w:val="es-ES_tradnl"/>
        </w:rPr>
        <w:br w:type="page"/>
      </w:r>
    </w:p>
    <w:p w14:paraId="5C02C64A" w14:textId="77777777" w:rsidR="00312042" w:rsidRPr="00F567E1" w:rsidRDefault="00312042" w:rsidP="002819FE">
      <w:pPr>
        <w:pStyle w:val="CH2"/>
        <w:outlineLvl w:val="0"/>
        <w:rPr>
          <w:lang w:val="es-ES_tradnl"/>
        </w:rPr>
      </w:pPr>
      <w:bookmarkStart w:id="44" w:name="_Toc213853068"/>
      <w:r w:rsidRPr="00F567E1">
        <w:rPr>
          <w:lang w:val="es-ES_tradnl"/>
        </w:rPr>
        <w:lastRenderedPageBreak/>
        <w:tab/>
      </w:r>
      <w:r w:rsidRPr="00F567E1">
        <w:rPr>
          <w:lang w:val="es-ES_tradnl"/>
        </w:rPr>
        <w:tab/>
      </w:r>
      <w:bookmarkStart w:id="45" w:name="_Toc223088516"/>
      <w:r w:rsidRPr="00F567E1">
        <w:rPr>
          <w:lang w:val="es-ES_tradnl"/>
        </w:rPr>
        <w:t>Decisión MC</w:t>
      </w:r>
      <w:r w:rsidRPr="00F567E1">
        <w:rPr>
          <w:lang w:val="es-ES_tradnl"/>
        </w:rPr>
        <w:noBreakHyphen/>
        <w:t>6/11: tercer examen del mecanismo financiero</w:t>
      </w:r>
      <w:bookmarkStart w:id="46" w:name="_Toc219712808"/>
      <w:bookmarkEnd w:id="44"/>
      <w:bookmarkEnd w:id="45"/>
      <w:bookmarkEnd w:id="46"/>
    </w:p>
    <w:p w14:paraId="717DFDF7" w14:textId="77777777" w:rsidR="00312042" w:rsidRPr="00F567E1" w:rsidRDefault="00312042" w:rsidP="00312042">
      <w:pPr>
        <w:pStyle w:val="Normal-pool"/>
        <w:tabs>
          <w:tab w:val="clear" w:pos="1247"/>
        </w:tabs>
        <w:spacing w:after="120"/>
        <w:ind w:left="1247" w:firstLine="624"/>
        <w:rPr>
          <w:rFonts w:asciiTheme="majorBidi" w:hAnsiTheme="majorBidi" w:cstheme="majorBidi"/>
          <w:i/>
          <w:iCs/>
          <w:lang w:val="es-ES_tradnl"/>
        </w:rPr>
      </w:pPr>
      <w:r w:rsidRPr="00F567E1">
        <w:rPr>
          <w:i/>
          <w:iCs/>
          <w:lang w:val="es-ES_tradnl"/>
        </w:rPr>
        <w:t>La Conferencia de las Partes,</w:t>
      </w:r>
    </w:p>
    <w:p w14:paraId="0984DAF4" w14:textId="1B4A1EA1"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Reconociendo</w:t>
      </w:r>
      <w:r w:rsidRPr="00F567E1">
        <w:rPr>
          <w:lang w:val="es-ES_tradnl"/>
        </w:rPr>
        <w:t xml:space="preserve"> el alcance de la experiencia y la información disponibles que puede tomarse en</w:t>
      </w:r>
      <w:r w:rsidR="009A7E28" w:rsidRPr="00F567E1">
        <w:rPr>
          <w:lang w:val="es-ES_tradnl"/>
        </w:rPr>
        <w:t> </w:t>
      </w:r>
      <w:r w:rsidRPr="00F567E1">
        <w:rPr>
          <w:lang w:val="es-ES_tradnl"/>
        </w:rPr>
        <w:t>consideración y aprovecharse en el tercer examen del mecanismo financiero,</w:t>
      </w:r>
    </w:p>
    <w:p w14:paraId="48D07D9C" w14:textId="77777777"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Considerando</w:t>
      </w:r>
      <w:r w:rsidRPr="00F567E1">
        <w:rPr>
          <w:lang w:val="es-ES_tradnl"/>
        </w:rPr>
        <w:t xml:space="preserve"> el párrafo 11 del artículo 13 del Convenio de Minamata sobre el Mercurio, relativo al examen del mecanismo financiero,</w:t>
      </w:r>
    </w:p>
    <w:p w14:paraId="016FA1A4" w14:textId="316E31A4" w:rsidR="00312042" w:rsidRPr="00F567E1" w:rsidRDefault="00312042" w:rsidP="00312042">
      <w:pPr>
        <w:pStyle w:val="Normal-pool"/>
        <w:numPr>
          <w:ilvl w:val="3"/>
          <w:numId w:val="23"/>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Aprueba</w:t>
      </w:r>
      <w:r w:rsidRPr="00F567E1">
        <w:rPr>
          <w:lang w:val="es-ES_tradnl"/>
        </w:rPr>
        <w:t xml:space="preserve"> el mandato del tercer examen del mecanismo financiero que figura en el anexo de la presente decisión;</w:t>
      </w:r>
    </w:p>
    <w:p w14:paraId="3298CD7F" w14:textId="48F7E1B7" w:rsidR="00312042" w:rsidRPr="00F567E1" w:rsidRDefault="00312042" w:rsidP="00312042">
      <w:pPr>
        <w:pStyle w:val="Normal-pool"/>
        <w:numPr>
          <w:ilvl w:val="3"/>
          <w:numId w:val="23"/>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las organizaciones intergubernamentales, las organizaciones no gubernamentales y los interesados a que presenten información, coherente con el mandato del examen y organizada de conformidad con los criterios de ejecución enumerados, sobre la experiencia adquirida a través de sus interacciones con el mecanismo financiero, lo antes posible y a más tardar el 30 de abril de 2026;</w:t>
      </w:r>
    </w:p>
    <w:p w14:paraId="2B104E77" w14:textId="3F2A65D2" w:rsidR="00312042" w:rsidRPr="00F567E1" w:rsidRDefault="00312042" w:rsidP="00312042">
      <w:pPr>
        <w:pStyle w:val="Normal-pool"/>
        <w:numPr>
          <w:ilvl w:val="3"/>
          <w:numId w:val="23"/>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que reúna información de interés para el tercer examen del mecanismo financiero y la presente a la Conferencia de las Partes para que esta la examine en su séptima reunión.</w:t>
      </w:r>
    </w:p>
    <w:p w14:paraId="0D26B593" w14:textId="3DCEAD8D" w:rsidR="00312042" w:rsidRPr="00F567E1" w:rsidRDefault="00F13801" w:rsidP="00F13801">
      <w:pPr>
        <w:pStyle w:val="CH2"/>
        <w:rPr>
          <w:lang w:val="es-ES_tradnl"/>
        </w:rPr>
      </w:pPr>
      <w:r w:rsidRPr="00F567E1">
        <w:rPr>
          <w:lang w:val="es-ES_tradnl"/>
        </w:rPr>
        <w:tab/>
      </w:r>
      <w:r w:rsidRPr="00F567E1">
        <w:rPr>
          <w:lang w:val="es-ES_tradnl"/>
        </w:rPr>
        <w:tab/>
      </w:r>
      <w:r w:rsidRPr="00F567E1">
        <w:rPr>
          <w:bCs/>
          <w:lang w:val="es-ES_tradnl"/>
        </w:rPr>
        <w:t>Anexo de la decisión MC</w:t>
      </w:r>
      <w:r w:rsidRPr="00F567E1">
        <w:rPr>
          <w:bCs/>
          <w:lang w:val="es-ES_tradnl"/>
        </w:rPr>
        <w:noBreakHyphen/>
        <w:t>6/11</w:t>
      </w:r>
    </w:p>
    <w:p w14:paraId="21107ED7" w14:textId="343F58A6" w:rsidR="00312042" w:rsidRPr="00F567E1" w:rsidRDefault="00312042" w:rsidP="00F16F39">
      <w:pPr>
        <w:pStyle w:val="CH2"/>
        <w:rPr>
          <w:lang w:val="es-ES_tradnl"/>
        </w:rPr>
      </w:pPr>
      <w:r w:rsidRPr="00F567E1">
        <w:rPr>
          <w:lang w:val="es-ES_tradnl"/>
        </w:rPr>
        <w:tab/>
      </w:r>
      <w:r w:rsidRPr="00F567E1">
        <w:rPr>
          <w:lang w:val="es-ES_tradnl"/>
        </w:rPr>
        <w:tab/>
      </w:r>
      <w:r w:rsidRPr="00F567E1">
        <w:rPr>
          <w:bCs/>
          <w:lang w:val="es-ES_tradnl"/>
        </w:rPr>
        <w:t>Mandato para el tercer examen del mecanismo financiero</w:t>
      </w:r>
      <w:bookmarkStart w:id="47" w:name="_Toc216165206"/>
      <w:bookmarkStart w:id="48" w:name="_Toc219712809"/>
      <w:bookmarkEnd w:id="47"/>
      <w:bookmarkEnd w:id="48"/>
    </w:p>
    <w:p w14:paraId="10DEC34E" w14:textId="1E659D11" w:rsidR="00312042" w:rsidRPr="00F567E1" w:rsidRDefault="005C1B0B" w:rsidP="002A18D9">
      <w:pPr>
        <w:pStyle w:val="CH2"/>
        <w:rPr>
          <w:lang w:val="es-ES_tradnl"/>
        </w:rPr>
      </w:pPr>
      <w:r w:rsidRPr="00F567E1">
        <w:rPr>
          <w:bCs/>
          <w:lang w:val="es-ES_tradnl"/>
        </w:rPr>
        <w:tab/>
      </w:r>
      <w:r w:rsidR="00312042" w:rsidRPr="00F567E1">
        <w:rPr>
          <w:bCs/>
          <w:lang w:val="es-ES_tradnl"/>
        </w:rPr>
        <w:t>A.</w:t>
      </w:r>
      <w:r w:rsidR="00312042" w:rsidRPr="00F567E1">
        <w:rPr>
          <w:lang w:val="es-ES_tradnl"/>
        </w:rPr>
        <w:tab/>
      </w:r>
      <w:r w:rsidR="00312042" w:rsidRPr="00F567E1">
        <w:rPr>
          <w:bCs/>
          <w:lang w:val="es-ES_tradnl"/>
        </w:rPr>
        <w:t>Objetivo</w:t>
      </w:r>
    </w:p>
    <w:p w14:paraId="4CF74437" w14:textId="201605EC" w:rsidR="00312042" w:rsidRPr="00F567E1"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lang w:val="es-ES_tradnl"/>
        </w:rPr>
      </w:pPr>
      <w:r w:rsidRPr="00F567E1">
        <w:rPr>
          <w:lang w:val="es-ES_tradnl"/>
        </w:rPr>
        <w:t>De conformidad con el párrafo 11 del artículo 13 del Convenio de Minamata sobre el Mercurio, la Conferencia de las Partes debe examinar el mecanismo financiero establecido en virtud del artículo 13 para apoyar a las Partes en la aplicación del Convenio, con miras a adoptar las medidas apropiadas, de ser necesario, para mejorar la eficacia del mecanismo financiero. De conformidad con el párrafo 11 del artículo 13, el examen debe incluir un análisis de las cuestiones siguientes:</w:t>
      </w:r>
    </w:p>
    <w:p w14:paraId="4500CF01" w14:textId="07EE0235" w:rsidR="00312042" w:rsidRPr="00F567E1" w:rsidRDefault="00312042" w:rsidP="00312042">
      <w:pPr>
        <w:pStyle w:val="Normalnumber"/>
        <w:numPr>
          <w:ilvl w:val="0"/>
          <w:numId w:val="53"/>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El nivel de financiación;</w:t>
      </w:r>
    </w:p>
    <w:p w14:paraId="4B12336D" w14:textId="4AC801FA" w:rsidR="00312042" w:rsidRPr="00F567E1" w:rsidRDefault="00312042" w:rsidP="00312042">
      <w:pPr>
        <w:pStyle w:val="Normalnumber"/>
        <w:numPr>
          <w:ilvl w:val="0"/>
          <w:numId w:val="53"/>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La capacidad del mecanismo financiero para movilizar recursos de todas las fuentes, el nivel y el tipo de financiación, incluida la diferenciación entre contribuciones voluntarias afectadas y no afectadas;</w:t>
      </w:r>
    </w:p>
    <w:p w14:paraId="144BC32D" w14:textId="66326674" w:rsidR="00312042" w:rsidRPr="00F567E1" w:rsidRDefault="00312042" w:rsidP="00312042">
      <w:pPr>
        <w:pStyle w:val="Normalnumber"/>
        <w:numPr>
          <w:ilvl w:val="0"/>
          <w:numId w:val="53"/>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La orientación proporcionada por la Conferencia de las Partes al Fondo para el Medio Ambiente Mundial y al Programa Internacional Específico para apoyar la creación de capacidad y la asistencia técnica en su calidad de entidades encargadas del funcionamiento del mecanismo financiero;</w:t>
      </w:r>
    </w:p>
    <w:p w14:paraId="398B6260" w14:textId="36916C86" w:rsidR="00312042" w:rsidRPr="00F567E1" w:rsidRDefault="00312042" w:rsidP="00312042">
      <w:pPr>
        <w:pStyle w:val="Normalnumber"/>
        <w:numPr>
          <w:ilvl w:val="0"/>
          <w:numId w:val="53"/>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La eficiencia y eficacia del Fondo para el Medio Ambiente Mundial y del Programa Internacional Específico en su calidad de entidades encargadas del funcionamiento del mecanismo financiero;</w:t>
      </w:r>
    </w:p>
    <w:p w14:paraId="3349CC3A" w14:textId="03FD183D" w:rsidR="00312042" w:rsidRPr="00F567E1" w:rsidRDefault="00312042" w:rsidP="00312042">
      <w:pPr>
        <w:pStyle w:val="Normalnumber"/>
        <w:numPr>
          <w:ilvl w:val="0"/>
          <w:numId w:val="53"/>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La capacidad de las dos entidades del mecanismo financiero para atender las cambiantes necesidades de las Partes que son países en desarrollo y las Partes con economías en transición.</w:t>
      </w:r>
    </w:p>
    <w:p w14:paraId="312C8E42" w14:textId="3B4747C1" w:rsidR="00312042" w:rsidRPr="00F567E1" w:rsidRDefault="005C1B0B" w:rsidP="002A18D9">
      <w:pPr>
        <w:pStyle w:val="CH2"/>
        <w:rPr>
          <w:bCs/>
          <w:lang w:val="es-ES_tradnl"/>
        </w:rPr>
      </w:pPr>
      <w:r w:rsidRPr="00F567E1">
        <w:rPr>
          <w:bCs/>
          <w:lang w:val="es-ES_tradnl"/>
        </w:rPr>
        <w:tab/>
      </w:r>
      <w:r w:rsidR="00312042" w:rsidRPr="00F567E1">
        <w:rPr>
          <w:bCs/>
          <w:lang w:val="es-ES_tradnl"/>
        </w:rPr>
        <w:t>B.</w:t>
      </w:r>
      <w:r w:rsidR="00312042" w:rsidRPr="00F567E1">
        <w:rPr>
          <w:lang w:val="es-ES_tradnl"/>
        </w:rPr>
        <w:tab/>
      </w:r>
      <w:r w:rsidR="00312042" w:rsidRPr="00F567E1">
        <w:rPr>
          <w:bCs/>
          <w:lang w:val="es-ES_tradnl"/>
        </w:rPr>
        <w:t>Metodología</w:t>
      </w:r>
    </w:p>
    <w:p w14:paraId="155A54DE" w14:textId="7DD188BE" w:rsidR="00312042" w:rsidRPr="00F567E1"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lang w:val="es-ES_tradnl"/>
        </w:rPr>
      </w:pPr>
      <w:r w:rsidRPr="00F567E1">
        <w:rPr>
          <w:lang w:val="es-ES_tradnl"/>
        </w:rPr>
        <w:t>El tercer examen abarcará las actividades del mecanismo financiero durante el período comprendido entre agosto de 2022 (inmediatamente después del período cubierto por el segundo examen) y junio de 2026, cuando concluya la octava reposición del fondo fiduciario del Fondo para el</w:t>
      </w:r>
      <w:r w:rsidR="0090464C" w:rsidRPr="00F567E1">
        <w:rPr>
          <w:lang w:val="es-ES_tradnl"/>
        </w:rPr>
        <w:t> </w:t>
      </w:r>
      <w:r w:rsidRPr="00F567E1">
        <w:rPr>
          <w:lang w:val="es-ES_tradnl"/>
        </w:rPr>
        <w:t xml:space="preserve">Medio Ambiente Mundial, incluidas las rondas </w:t>
      </w:r>
      <w:r w:rsidR="00841DB2" w:rsidRPr="00F567E1">
        <w:rPr>
          <w:lang w:val="es-ES_tradnl"/>
        </w:rPr>
        <w:t>3ª</w:t>
      </w:r>
      <w:r w:rsidRPr="00F567E1">
        <w:rPr>
          <w:lang w:val="es-ES_tradnl"/>
        </w:rPr>
        <w:t xml:space="preserve"> y 4ª de solicitudes al Programa Internacional Específico</w:t>
      </w:r>
      <w:r w:rsidR="00032145" w:rsidRPr="00F567E1">
        <w:rPr>
          <w:lang w:val="es-ES_tradnl"/>
        </w:rPr>
        <w:t xml:space="preserve">; se prestará especial atención a </w:t>
      </w:r>
      <w:r w:rsidRPr="00F567E1">
        <w:rPr>
          <w:lang w:val="es-ES_tradnl"/>
        </w:rPr>
        <w:t>las actividades concluidas durante ese período.</w:t>
      </w:r>
    </w:p>
    <w:p w14:paraId="457688C9" w14:textId="77777777" w:rsidR="00312042" w:rsidRPr="00F567E1"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lang w:val="es-ES_tradnl"/>
        </w:rPr>
      </w:pPr>
      <w:r w:rsidRPr="00F567E1">
        <w:rPr>
          <w:lang w:val="es-ES_tradnl"/>
        </w:rPr>
        <w:t xml:space="preserve">El examen se basará, entre otras, en las siguientes fuentes de información: </w:t>
      </w:r>
    </w:p>
    <w:p w14:paraId="6F6A7370" w14:textId="274126AA" w:rsidR="00312042" w:rsidRPr="00F567E1"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Información presentada por las Partes sobre la experiencia adquirida a través de sus interacciones con el mecanismo financiero, organizada de acuerdo con los criterios de ejecución establecidos en la sección D del presente mandato;</w:t>
      </w:r>
    </w:p>
    <w:p w14:paraId="61DB8985" w14:textId="77777777" w:rsidR="00312042" w:rsidRPr="00F567E1"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 xml:space="preserve">Los informes presentados a la Conferencia de las Partes por las entidades encargadas del funcionamiento del mecanismo financiero; </w:t>
      </w:r>
    </w:p>
    <w:p w14:paraId="3E379AA5" w14:textId="04D41975" w:rsidR="00312042" w:rsidRPr="00F567E1"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lastRenderedPageBreak/>
        <w:t xml:space="preserve">Otros informes facilitados por las entidades encargadas del funcionamiento del mecanismo financiero, incluidos, entre otros, los informes de la Oficina de Evaluación Independiente del Fondo para el Medio Ambiente Mundial, los informes del examen final y </w:t>
      </w:r>
      <w:r w:rsidR="00826B8B" w:rsidRPr="00F567E1">
        <w:rPr>
          <w:lang w:val="es-ES_tradnl"/>
        </w:rPr>
        <w:t xml:space="preserve">de </w:t>
      </w:r>
      <w:r w:rsidRPr="00F567E1">
        <w:rPr>
          <w:lang w:val="es-ES_tradnl"/>
        </w:rPr>
        <w:t>evaluación de los proyectos finalizados en el marco del Programa Internacional Específico y los informes de los proyectos en curso y finalizados en el marco del Programa Internacional Específico;</w:t>
      </w:r>
    </w:p>
    <w:p w14:paraId="763471EC" w14:textId="10C98545" w:rsidR="00312042" w:rsidRPr="00F567E1"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Los informes y la información pertinentes facilitados por organizaciones intergubernamentales y no gubernamentales; interesados; otras entidades que presten asistencia financiera y técnica a escala multilateral, regional y bilateral de conformidad con los párrafos 1 y 3 del</w:t>
      </w:r>
      <w:r w:rsidR="0090464C" w:rsidRPr="00F567E1">
        <w:rPr>
          <w:lang w:val="es-ES_tradnl"/>
        </w:rPr>
        <w:t> </w:t>
      </w:r>
      <w:r w:rsidRPr="00F567E1">
        <w:rPr>
          <w:lang w:val="es-ES_tradnl"/>
        </w:rPr>
        <w:t>artículo 13; el Programa especial de apoyo al fortalecimiento institucional a nivel nacional para la aplicación de los Convenios de Basilea, Estocolmo y Rotterdam, el Convenio de Minamata sobre el Mercurio, el Enfoque Estratégico para la Gestión de Productos Químicos a Nivel Internacional y el Marco Mundial sobre los Productos Químicos: por un Planeta Libre de los Daños derivados de los Productos Químicos y los Desechos (en relación con el principio de complementariedad y de evitar duplicaciones); el Fondo del Marco Mundial sobre los Productos Químicos, y la Asociación Mundial sobre el Mercurio (en relación con su interacción con el mecanismo financiero para impulsar la aplicación del Convenio de Minamata sobre el Mercurio);</w:t>
      </w:r>
    </w:p>
    <w:p w14:paraId="55035D99" w14:textId="77777777" w:rsidR="00312042" w:rsidRPr="00F567E1"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El informe de evaluación de mitad de período del Programa Internacional Específico;</w:t>
      </w:r>
    </w:p>
    <w:p w14:paraId="7D2AA1F3" w14:textId="4AFC247F" w:rsidR="00312042" w:rsidRPr="00F567E1" w:rsidRDefault="00312042" w:rsidP="00312042">
      <w:pPr>
        <w:pStyle w:val="Normalnumber"/>
        <w:numPr>
          <w:ilvl w:val="0"/>
          <w:numId w:val="54"/>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Los informes presentados por las Partes con arreglo al artículo 21.</w:t>
      </w:r>
    </w:p>
    <w:p w14:paraId="6793F2A4" w14:textId="34F0FDD8" w:rsidR="00312042" w:rsidRPr="00F567E1"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lang w:val="es-ES_tradnl"/>
        </w:rPr>
      </w:pPr>
      <w:r w:rsidRPr="00F567E1">
        <w:rPr>
          <w:lang w:val="es-ES_tradnl"/>
        </w:rPr>
        <w:t>De conformidad con el mandato, la Secretaría, en función de la disponibilidad de recursos:</w:t>
      </w:r>
    </w:p>
    <w:p w14:paraId="31D07816" w14:textId="1C47159F" w:rsidR="00312042" w:rsidRPr="00F567E1" w:rsidRDefault="00312042" w:rsidP="00312042">
      <w:pPr>
        <w:pStyle w:val="Normalnumber"/>
        <w:numPr>
          <w:ilvl w:val="0"/>
          <w:numId w:val="55"/>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Adoptará todas las disposiciones necesarias para que el tercer examen del mecanismo financiero se lleve a cabo de manera independiente, transparente, efectiva y eficiente;</w:t>
      </w:r>
    </w:p>
    <w:p w14:paraId="259BBD29" w14:textId="6E15398B" w:rsidR="00312042" w:rsidRPr="00F567E1" w:rsidRDefault="00312042" w:rsidP="00312042">
      <w:pPr>
        <w:pStyle w:val="Normalnumber"/>
        <w:numPr>
          <w:ilvl w:val="0"/>
          <w:numId w:val="55"/>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Contratará a un consultor para que prepare un proyecto de informe sobre la información recibida;</w:t>
      </w:r>
    </w:p>
    <w:p w14:paraId="62B48736" w14:textId="3F4D7FF5" w:rsidR="00312042" w:rsidRPr="00F567E1" w:rsidRDefault="00312042" w:rsidP="00312042">
      <w:pPr>
        <w:pStyle w:val="Normalnumber"/>
        <w:numPr>
          <w:ilvl w:val="0"/>
          <w:numId w:val="55"/>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Presentará el proyecto de informe sobre el examen a la Conferencia de las Partes para que esta lo examine en su séptima reunión.</w:t>
      </w:r>
    </w:p>
    <w:p w14:paraId="42B42119" w14:textId="1107D59B" w:rsidR="00312042" w:rsidRPr="00F567E1"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lang w:val="es-ES_tradnl"/>
        </w:rPr>
      </w:pPr>
      <w:r w:rsidRPr="00F567E1">
        <w:rPr>
          <w:lang w:val="es-ES_tradnl"/>
        </w:rPr>
        <w:t>Se solicita a las entidades encargadas del funcionamiento del mecanismo financiero que proporcionen, con la debida antelación, información de interés para la realización de este examen.</w:t>
      </w:r>
    </w:p>
    <w:p w14:paraId="136686F0" w14:textId="1B32BA97" w:rsidR="00312042" w:rsidRPr="00F567E1"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lang w:val="es-ES_tradnl"/>
        </w:rPr>
      </w:pPr>
      <w:r w:rsidRPr="00F567E1">
        <w:rPr>
          <w:lang w:val="es-ES_tradnl"/>
        </w:rPr>
        <w:t>Se solicita a las Partes que faciliten, lo antes posible y a más tardar el 30 de abril de 2026, información de conformidad con el párrafo 3 a) anterior.</w:t>
      </w:r>
    </w:p>
    <w:p w14:paraId="5F536A45" w14:textId="5BE481BA" w:rsidR="00312042" w:rsidRPr="00F567E1"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lang w:val="es-ES_tradnl"/>
        </w:rPr>
      </w:pPr>
      <w:r w:rsidRPr="00F567E1">
        <w:rPr>
          <w:lang w:val="es-ES_tradnl"/>
        </w:rPr>
        <w:t>Se solicita a las organizaciones intergubernamentales y no gubernamentales, los interesados, el</w:t>
      </w:r>
      <w:r w:rsidR="009A7E28" w:rsidRPr="00F567E1">
        <w:rPr>
          <w:lang w:val="es-ES_tradnl"/>
        </w:rPr>
        <w:t> </w:t>
      </w:r>
      <w:r w:rsidRPr="00F567E1">
        <w:rPr>
          <w:lang w:val="es-ES_tradnl"/>
        </w:rPr>
        <w:t>Programa Especial, el Fondo del Marco Mundial sobre los Productos Químicos, la Asociación Mundial sobre el Mercurio y las entidades competentes que prestan asistencia financiera y técnica a escala multilateral, regional y bilateral que suministren, lo antes posible y a más tardar el 30 de abril de 2026, información pertinente de conformidad con los objetivos del presente examen.</w:t>
      </w:r>
    </w:p>
    <w:p w14:paraId="1E20C50A" w14:textId="389881E4" w:rsidR="00312042" w:rsidRPr="00F567E1" w:rsidRDefault="005C1B0B" w:rsidP="002A18D9">
      <w:pPr>
        <w:pStyle w:val="CH2"/>
        <w:rPr>
          <w:lang w:val="es-ES_tradnl"/>
        </w:rPr>
      </w:pPr>
      <w:r w:rsidRPr="00F567E1">
        <w:rPr>
          <w:bCs/>
          <w:lang w:val="es-ES_tradnl"/>
        </w:rPr>
        <w:tab/>
      </w:r>
      <w:r w:rsidR="00312042" w:rsidRPr="00F567E1">
        <w:rPr>
          <w:bCs/>
          <w:lang w:val="es-ES_tradnl"/>
        </w:rPr>
        <w:t>C.</w:t>
      </w:r>
      <w:r w:rsidR="00312042" w:rsidRPr="00F567E1">
        <w:rPr>
          <w:lang w:val="es-ES_tradnl"/>
        </w:rPr>
        <w:tab/>
      </w:r>
      <w:r w:rsidR="00312042" w:rsidRPr="00F567E1">
        <w:rPr>
          <w:bCs/>
          <w:lang w:val="es-ES_tradnl"/>
        </w:rPr>
        <w:t>Informe</w:t>
      </w:r>
    </w:p>
    <w:p w14:paraId="6A33E0A7" w14:textId="6EC58197" w:rsidR="00312042" w:rsidRPr="00F567E1"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lang w:val="es-ES_tradnl"/>
        </w:rPr>
      </w:pPr>
      <w:r w:rsidRPr="00F567E1">
        <w:rPr>
          <w:lang w:val="es-ES_tradnl"/>
        </w:rPr>
        <w:t>En el informe sobre el tercer examen se incluirán los elementos siguientes:</w:t>
      </w:r>
    </w:p>
    <w:p w14:paraId="633E6692" w14:textId="2A097FA2" w:rsidR="00312042" w:rsidRPr="00F567E1"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Una reseña de los elementos a) a e) que figuran en el párrafo 1;</w:t>
      </w:r>
    </w:p>
    <w:p w14:paraId="6BF1CB33" w14:textId="7F96856B" w:rsidR="00312042" w:rsidRPr="00F567E1"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 xml:space="preserve">Un análisis de las enseñanzas extraídas de las actividades financiadas por el mecanismo financiero durante el período que abarca el examen; </w:t>
      </w:r>
    </w:p>
    <w:p w14:paraId="360D4D67" w14:textId="7BFAE7AB" w:rsidR="00312042" w:rsidRPr="00F567E1"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Una evaluación de los principios de costo adicional y beneficios ambientales mundiales del Fondo para el Medio Ambiente Mundial en lo que respecta a las actividades de aplicación de las obligaciones dimanantes del Convenio, junto con las lecciones aprendidas de los informes de evaluación de las actividades del Fondo para el Medio Ambiente Mundial y los informes del examen final y de evaluación de los proyectos finalizados en el marco del Programa Internacional Específico;</w:t>
      </w:r>
    </w:p>
    <w:p w14:paraId="375F3538" w14:textId="0501BFC9" w:rsidR="00312042" w:rsidRPr="00F567E1"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Evaluación de la sostenibilidad, transparencia y accesibilidad de la financiación proporcionada por el mecanismo financiero para la consecución del objetivo del Convenio;</w:t>
      </w:r>
    </w:p>
    <w:p w14:paraId="5A898626" w14:textId="2F273978" w:rsidR="00312042" w:rsidRPr="00F567E1"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Identificación de los recursos movilizados directamente por el mecanismo financiero, incluidas las contribuciones en especie y la cofinanciación y, en la medida de lo posible, evaluación cuantitativa o cualitativa de los recursos movilizados indirectamente a través de acciones emprendidas por el sector privado y otros interesados;</w:t>
      </w:r>
    </w:p>
    <w:p w14:paraId="68EC53B7" w14:textId="2669B42F" w:rsidR="00312042" w:rsidRPr="00F567E1"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lastRenderedPageBreak/>
        <w:t>Información sobre la medida en que se han seguido las recomendaciones para mejorar la eficacia del mecanismo financiero identificadas en el segundo examen del mecanismo financiero;</w:t>
      </w:r>
    </w:p>
    <w:p w14:paraId="4D54939B" w14:textId="53F111BA" w:rsidR="00312042" w:rsidRPr="00F567E1"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Las recomendaciones para mejorar la eficacia y eficiencia del mecanismo financiero en relación con el logro del objetivo del Convenio;</w:t>
      </w:r>
    </w:p>
    <w:p w14:paraId="40AF9260" w14:textId="6241E343" w:rsidR="00312042" w:rsidRPr="00F567E1" w:rsidRDefault="00312042" w:rsidP="00312042">
      <w:pPr>
        <w:pStyle w:val="Normalnumber"/>
        <w:numPr>
          <w:ilvl w:val="0"/>
          <w:numId w:val="56"/>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Evaluación con arreglo a los criterios de ejecución establecidos en el párrafo 9.</w:t>
      </w:r>
    </w:p>
    <w:p w14:paraId="2A8F4A63" w14:textId="4DBBEC4E" w:rsidR="00312042" w:rsidRPr="00F567E1" w:rsidRDefault="005C1B0B" w:rsidP="002A18D9">
      <w:pPr>
        <w:pStyle w:val="CH2"/>
        <w:rPr>
          <w:lang w:val="es-ES_tradnl"/>
        </w:rPr>
      </w:pPr>
      <w:r w:rsidRPr="00F567E1">
        <w:rPr>
          <w:bCs/>
          <w:lang w:val="es-ES_tradnl"/>
        </w:rPr>
        <w:tab/>
      </w:r>
      <w:r w:rsidR="00312042" w:rsidRPr="00F567E1">
        <w:rPr>
          <w:bCs/>
          <w:lang w:val="es-ES_tradnl"/>
        </w:rPr>
        <w:t>D.</w:t>
      </w:r>
      <w:r w:rsidR="00312042" w:rsidRPr="00F567E1">
        <w:rPr>
          <w:lang w:val="es-ES_tradnl"/>
        </w:rPr>
        <w:tab/>
      </w:r>
      <w:r w:rsidR="00312042" w:rsidRPr="00F567E1">
        <w:rPr>
          <w:bCs/>
          <w:lang w:val="es-ES_tradnl"/>
        </w:rPr>
        <w:t>Criterios de ejecución</w:t>
      </w:r>
      <w:r w:rsidR="00312042" w:rsidRPr="00F567E1">
        <w:rPr>
          <w:lang w:val="es-ES_tradnl"/>
        </w:rPr>
        <w:t xml:space="preserve"> </w:t>
      </w:r>
    </w:p>
    <w:p w14:paraId="562585D0" w14:textId="077E9B23" w:rsidR="00312042" w:rsidRPr="00F567E1" w:rsidRDefault="00312042" w:rsidP="00312042">
      <w:pPr>
        <w:pStyle w:val="Normalnumber"/>
        <w:numPr>
          <w:ilvl w:val="0"/>
          <w:numId w:val="52"/>
        </w:numPr>
        <w:tabs>
          <w:tab w:val="clear" w:pos="1247"/>
          <w:tab w:val="clear" w:pos="1814"/>
          <w:tab w:val="clear" w:pos="2381"/>
          <w:tab w:val="clear" w:pos="2948"/>
          <w:tab w:val="clear" w:pos="3515"/>
          <w:tab w:val="left" w:pos="624"/>
        </w:tabs>
        <w:ind w:left="1247" w:firstLine="0"/>
        <w:rPr>
          <w:rFonts w:asciiTheme="majorBidi" w:hAnsiTheme="majorBidi" w:cstheme="majorBidi"/>
          <w:lang w:val="es-ES_tradnl"/>
        </w:rPr>
      </w:pPr>
      <w:r w:rsidRPr="00F567E1">
        <w:rPr>
          <w:lang w:val="es-ES_tradnl"/>
        </w:rPr>
        <w:t>La eficacia y eficiencia del mecanismo financiero se evaluarán mediante la consideración, entre otras cosas, de los siguientes criterios:</w:t>
      </w:r>
    </w:p>
    <w:p w14:paraId="788B7232" w14:textId="10F7B434" w:rsidR="00312042" w:rsidRPr="00F567E1"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Capacidad de respuesta del Fondo para el Medio Ambiente Mundial y del Programa Internacional Específico a las orientaciones adoptadas o proporcionadas por la Conferencia de las</w:t>
      </w:r>
      <w:r w:rsidR="0090464C" w:rsidRPr="00F567E1">
        <w:rPr>
          <w:lang w:val="es-ES_tradnl"/>
        </w:rPr>
        <w:t> </w:t>
      </w:r>
      <w:r w:rsidRPr="00F567E1">
        <w:rPr>
          <w:lang w:val="es-ES_tradnl"/>
        </w:rPr>
        <w:t>Partes;</w:t>
      </w:r>
    </w:p>
    <w:p w14:paraId="18A8EF1D" w14:textId="14B86140" w:rsidR="00312042" w:rsidRPr="00F567E1"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Medida en que los proyectos financiados por el mecanismo financiero han reducido, o está previsto que reduzcan, el suministro, el uso, las emisiones y las liberaciones de mercurio, así como la medida en que aportan otros beneficios en términos de aplicación del Convenio;</w:t>
      </w:r>
    </w:p>
    <w:p w14:paraId="23E9E442" w14:textId="1F1253ED" w:rsidR="00312042" w:rsidRPr="00F567E1"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La transparencia y oportunidad de los procesos de aprobación de proyectos;</w:t>
      </w:r>
    </w:p>
    <w:p w14:paraId="5EE67EB5" w14:textId="1D2A71A5" w:rsidR="00312042" w:rsidRPr="00F567E1"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La simplicidad, flexibilidad y celeridad de los procedimientos de acceso a los fondos, y de ejecución de los proyectos y presentación de informes al respecto;</w:t>
      </w:r>
    </w:p>
    <w:p w14:paraId="4B97D193" w14:textId="744519B5" w:rsidR="00312042" w:rsidRPr="00F567E1"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Dotación de recursos adecuada;</w:t>
      </w:r>
    </w:p>
    <w:p w14:paraId="1A4FDCDB" w14:textId="19F821B4" w:rsidR="00312042" w:rsidRPr="00F567E1"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La titularidad nacional y la sostenibilidad de las actividades financiadas por el mecanismo financiero;</w:t>
      </w:r>
    </w:p>
    <w:p w14:paraId="04D878FB" w14:textId="5F31AE10" w:rsidR="00312042" w:rsidRPr="00F567E1"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El nivel de participación de los interesados;</w:t>
      </w:r>
    </w:p>
    <w:p w14:paraId="7FA5EA3B" w14:textId="3995B185" w:rsidR="00312042" w:rsidRPr="00F567E1"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pPr>
      <w:r w:rsidRPr="00F567E1">
        <w:rPr>
          <w:lang w:val="es-ES_tradnl"/>
        </w:rPr>
        <w:t>Medida en que los proyectos financiados por el mecanismo financiero han beneficiado a grupos en situación de vulnerabilidad;</w:t>
      </w:r>
    </w:p>
    <w:p w14:paraId="1B17CA5A" w14:textId="3EC7FF0D" w:rsidR="00312042" w:rsidRPr="00F567E1" w:rsidRDefault="00312042" w:rsidP="00312042">
      <w:pPr>
        <w:pStyle w:val="Normalnumber"/>
        <w:numPr>
          <w:ilvl w:val="0"/>
          <w:numId w:val="57"/>
        </w:numPr>
        <w:tabs>
          <w:tab w:val="clear" w:pos="1247"/>
          <w:tab w:val="clear" w:pos="1814"/>
          <w:tab w:val="clear" w:pos="2381"/>
          <w:tab w:val="clear" w:pos="2948"/>
          <w:tab w:val="clear" w:pos="3515"/>
          <w:tab w:val="left" w:pos="624"/>
        </w:tabs>
        <w:ind w:left="1247" w:firstLine="624"/>
        <w:rPr>
          <w:rFonts w:asciiTheme="majorBidi" w:hAnsiTheme="majorBidi" w:cstheme="majorBidi"/>
          <w:lang w:val="es-ES_tradnl"/>
        </w:rPr>
        <w:sectPr w:rsidR="00312042" w:rsidRPr="00F567E1" w:rsidSect="00E84D8D">
          <w:type w:val="continuous"/>
          <w:pgSz w:w="11906" w:h="16838" w:code="9"/>
          <w:pgMar w:top="907" w:right="992" w:bottom="1418" w:left="1418" w:header="539" w:footer="975" w:gutter="0"/>
          <w:cols w:space="539"/>
          <w:docGrid w:linePitch="360"/>
        </w:sectPr>
      </w:pPr>
      <w:r w:rsidRPr="00F567E1">
        <w:rPr>
          <w:lang w:val="es-ES_tradnl"/>
        </w:rPr>
        <w:t>Cualquier otra cuestión importante que planteen las Partes.</w:t>
      </w:r>
    </w:p>
    <w:p w14:paraId="66BF4307" w14:textId="77777777" w:rsidR="00312042" w:rsidRPr="00F567E1" w:rsidRDefault="00312042" w:rsidP="00312042">
      <w:pPr>
        <w:pStyle w:val="Normal-pool"/>
        <w:rPr>
          <w:lang w:val="es-ES_tradnl"/>
        </w:rPr>
      </w:pPr>
      <w:r w:rsidRPr="00F567E1">
        <w:rPr>
          <w:lang w:val="es-ES_tradnl"/>
        </w:rPr>
        <w:br w:type="page"/>
      </w:r>
    </w:p>
    <w:p w14:paraId="527B5476" w14:textId="5F06E84E" w:rsidR="00312042" w:rsidRPr="00F567E1" w:rsidRDefault="00312042" w:rsidP="002819FE">
      <w:pPr>
        <w:pStyle w:val="CH2"/>
        <w:outlineLvl w:val="0"/>
        <w:rPr>
          <w:rStyle w:val="eop"/>
          <w:lang w:val="es-ES_tradnl"/>
        </w:rPr>
      </w:pPr>
      <w:bookmarkStart w:id="49" w:name="_Toc213853069"/>
      <w:r w:rsidRPr="00F567E1">
        <w:rPr>
          <w:lang w:val="es-ES_tradnl"/>
        </w:rPr>
        <w:lastRenderedPageBreak/>
        <w:tab/>
      </w:r>
      <w:r w:rsidRPr="00F567E1">
        <w:rPr>
          <w:lang w:val="es-ES_tradnl"/>
        </w:rPr>
        <w:tab/>
      </w:r>
      <w:bookmarkStart w:id="50" w:name="_Toc223088517"/>
      <w:r w:rsidRPr="00F567E1">
        <w:rPr>
          <w:lang w:val="es-ES_tradnl"/>
        </w:rPr>
        <w:t>Decisión MC</w:t>
      </w:r>
      <w:r w:rsidRPr="00F567E1">
        <w:rPr>
          <w:lang w:val="es-ES_tradnl"/>
        </w:rPr>
        <w:noBreakHyphen/>
        <w:t xml:space="preserve">6/12: aplicación del artículo 14 del Convenio de Minamata sobre el Mercurio, relativo a la creación de capacidad, asistencia técnica y transferencia </w:t>
      </w:r>
      <w:bookmarkStart w:id="51" w:name="_Toc219712810"/>
      <w:bookmarkEnd w:id="49"/>
      <w:bookmarkEnd w:id="51"/>
      <w:r w:rsidR="00A1745C" w:rsidRPr="00F567E1">
        <w:rPr>
          <w:lang w:val="es-ES_tradnl"/>
        </w:rPr>
        <w:t>de tecnología</w:t>
      </w:r>
      <w:bookmarkEnd w:id="50"/>
    </w:p>
    <w:p w14:paraId="60640270" w14:textId="3E0E1E60" w:rsidR="00312042" w:rsidRPr="00F567E1" w:rsidRDefault="00312042" w:rsidP="00312042">
      <w:pPr>
        <w:pStyle w:val="NormalNonumber"/>
        <w:tabs>
          <w:tab w:val="clear" w:pos="1247"/>
        </w:tabs>
        <w:spacing w:before="240"/>
        <w:ind w:firstLine="624"/>
        <w:rPr>
          <w:i/>
          <w:iCs/>
          <w:lang w:val="es-ES_tradnl"/>
        </w:rPr>
      </w:pPr>
      <w:bookmarkStart w:id="52" w:name="_Toc213853070"/>
      <w:r w:rsidRPr="00F567E1">
        <w:rPr>
          <w:i/>
          <w:iCs/>
          <w:lang w:val="es-ES_tradnl"/>
        </w:rPr>
        <w:t>La Conferencia de las Partes,</w:t>
      </w:r>
    </w:p>
    <w:p w14:paraId="77BE7F24" w14:textId="10A3FE79" w:rsidR="00312042" w:rsidRPr="00F567E1" w:rsidRDefault="00312042" w:rsidP="00312042">
      <w:pPr>
        <w:pStyle w:val="NormalNonumber"/>
        <w:tabs>
          <w:tab w:val="clear" w:pos="1247"/>
        </w:tabs>
        <w:ind w:firstLine="624"/>
        <w:rPr>
          <w:lang w:val="es-ES_tradnl"/>
        </w:rPr>
      </w:pPr>
      <w:r w:rsidRPr="00F567E1">
        <w:rPr>
          <w:i/>
          <w:iCs/>
          <w:lang w:val="es-ES_tradnl"/>
        </w:rPr>
        <w:t>Recordando</w:t>
      </w:r>
      <w:r w:rsidRPr="00F567E1">
        <w:rPr>
          <w:lang w:val="es-ES_tradnl"/>
        </w:rPr>
        <w:t xml:space="preserve"> el artículo 14 del Convenio de Minamata sobre el Mercurio, relativo a la creación de capacidad, asistencia técnica y transferencia </w:t>
      </w:r>
      <w:r w:rsidR="00A1745C" w:rsidRPr="00F567E1">
        <w:rPr>
          <w:lang w:val="es-ES_tradnl"/>
        </w:rPr>
        <w:t>de tecnología</w:t>
      </w:r>
      <w:r w:rsidRPr="00F567E1">
        <w:rPr>
          <w:lang w:val="es-ES_tradnl"/>
        </w:rPr>
        <w:t>,</w:t>
      </w:r>
    </w:p>
    <w:p w14:paraId="62207CF7" w14:textId="37D87E80" w:rsidR="00312042" w:rsidRPr="00F567E1" w:rsidRDefault="00312042" w:rsidP="00312042">
      <w:pPr>
        <w:pStyle w:val="NormalNonumber"/>
        <w:tabs>
          <w:tab w:val="clear" w:pos="1247"/>
        </w:tabs>
        <w:ind w:firstLine="624"/>
        <w:rPr>
          <w:lang w:val="es-ES_tradnl"/>
        </w:rPr>
      </w:pPr>
      <w:r w:rsidRPr="00F567E1">
        <w:rPr>
          <w:i/>
          <w:iCs/>
          <w:lang w:val="es-ES_tradnl"/>
        </w:rPr>
        <w:t>Habiendo considerado</w:t>
      </w:r>
      <w:r w:rsidRPr="00F567E1">
        <w:rPr>
          <w:lang w:val="es-ES_tradnl"/>
        </w:rPr>
        <w:t xml:space="preserve"> la información sobre las iniciativas y los progresos realizados en relación con las tecnologías alternativas, y apreciando las enseñanzas extraídas de los estudios monográficos sobre los buenos resultados en el desarrollo, la transferencia y la difusión de tecnologías alternativas, presentados en su sexta reunión</w:t>
      </w:r>
      <w:r w:rsidRPr="00F567E1">
        <w:rPr>
          <w:rStyle w:val="FootnoteReference"/>
          <w:lang w:val="es-ES_tradnl"/>
        </w:rPr>
        <w:footnoteReference w:id="21"/>
      </w:r>
      <w:r w:rsidRPr="00F567E1">
        <w:rPr>
          <w:lang w:val="es-ES_tradnl"/>
        </w:rPr>
        <w:t>,</w:t>
      </w:r>
    </w:p>
    <w:p w14:paraId="1366F75C" w14:textId="0340A4C3" w:rsidR="00312042" w:rsidRPr="00F567E1" w:rsidRDefault="00312042" w:rsidP="00312042">
      <w:pPr>
        <w:pStyle w:val="NormalNonumber"/>
        <w:tabs>
          <w:tab w:val="clear" w:pos="1247"/>
        </w:tabs>
        <w:ind w:firstLine="624"/>
        <w:rPr>
          <w:lang w:val="es-ES_tradnl"/>
        </w:rPr>
      </w:pPr>
      <w:r w:rsidRPr="00F567E1">
        <w:rPr>
          <w:i/>
          <w:iCs/>
          <w:lang w:val="es-ES_tradnl"/>
        </w:rPr>
        <w:t>Haciendo notar</w:t>
      </w:r>
      <w:r w:rsidRPr="00F567E1">
        <w:rPr>
          <w:lang w:val="es-ES_tradnl"/>
        </w:rPr>
        <w:t xml:space="preserve"> la escasa disponibilidad de información sobre las necesidades de las Partes, en</w:t>
      </w:r>
      <w:r w:rsidR="007B3113" w:rsidRPr="00F567E1">
        <w:rPr>
          <w:lang w:val="es-ES_tradnl"/>
        </w:rPr>
        <w:t> </w:t>
      </w:r>
      <w:r w:rsidRPr="00F567E1">
        <w:rPr>
          <w:lang w:val="es-ES_tradnl"/>
        </w:rPr>
        <w:t>particular las Partes que son países en desarrollo, en lo referente a las tecnologías alternativas, y reconociendo al mismo tiempo las iniciativas actuales como paso hacia la resolución de las lagunas de</w:t>
      </w:r>
      <w:r w:rsidR="007B3113" w:rsidRPr="00F567E1">
        <w:rPr>
          <w:lang w:val="es-ES_tradnl"/>
        </w:rPr>
        <w:t> </w:t>
      </w:r>
      <w:r w:rsidRPr="00F567E1">
        <w:rPr>
          <w:lang w:val="es-ES_tradnl"/>
        </w:rPr>
        <w:t>información y la delimitación del enfoque de intervenciones concretas ulteriores en apoyo de las</w:t>
      </w:r>
      <w:r w:rsidR="009A7E28" w:rsidRPr="00F567E1">
        <w:rPr>
          <w:lang w:val="es-ES_tradnl"/>
        </w:rPr>
        <w:t> </w:t>
      </w:r>
      <w:r w:rsidRPr="00F567E1">
        <w:rPr>
          <w:lang w:val="es-ES_tradnl"/>
        </w:rPr>
        <w:t>Partes,</w:t>
      </w:r>
    </w:p>
    <w:p w14:paraId="702C3FEA" w14:textId="2B0AE010" w:rsidR="00312042" w:rsidRPr="00F567E1" w:rsidRDefault="00312042" w:rsidP="00312042">
      <w:pPr>
        <w:pStyle w:val="NormalNonumber"/>
        <w:tabs>
          <w:tab w:val="clear" w:pos="1247"/>
        </w:tabs>
        <w:ind w:firstLine="624"/>
        <w:rPr>
          <w:lang w:val="es-ES_tradnl"/>
        </w:rPr>
      </w:pPr>
      <w:r w:rsidRPr="00F567E1">
        <w:rPr>
          <w:i/>
          <w:iCs/>
          <w:lang w:val="es-ES_tradnl"/>
        </w:rPr>
        <w:t>Haciendo notar también</w:t>
      </w:r>
      <w:r w:rsidRPr="00F567E1">
        <w:rPr>
          <w:lang w:val="es-ES_tradnl"/>
        </w:rPr>
        <w:t xml:space="preserve"> las dificultades comunicadas por las Partes, en especial las Partes que</w:t>
      </w:r>
      <w:r w:rsidR="007B3113" w:rsidRPr="00F567E1">
        <w:rPr>
          <w:lang w:val="es-ES_tradnl"/>
        </w:rPr>
        <w:t> </w:t>
      </w:r>
      <w:r w:rsidRPr="00F567E1">
        <w:rPr>
          <w:lang w:val="es-ES_tradnl"/>
        </w:rPr>
        <w:t>son países en desarrollo, en sus informes nacionales presentados con arreglo al artículo 21, en lo</w:t>
      </w:r>
      <w:r w:rsidR="007B3113" w:rsidRPr="00F567E1">
        <w:rPr>
          <w:lang w:val="es-ES_tradnl"/>
        </w:rPr>
        <w:t> </w:t>
      </w:r>
      <w:r w:rsidRPr="00F567E1">
        <w:rPr>
          <w:lang w:val="es-ES_tradnl"/>
        </w:rPr>
        <w:t>referente a las tecnologías alternativas,</w:t>
      </w:r>
    </w:p>
    <w:p w14:paraId="6C9CD663" w14:textId="23EB52C0" w:rsidR="00312042" w:rsidRPr="00F567E1" w:rsidRDefault="004C1069" w:rsidP="00312042">
      <w:pPr>
        <w:pStyle w:val="NormalNonumber"/>
        <w:tabs>
          <w:tab w:val="clear" w:pos="1247"/>
        </w:tabs>
        <w:ind w:firstLine="624"/>
        <w:rPr>
          <w:lang w:val="es-ES_tradnl"/>
        </w:rPr>
      </w:pPr>
      <w:r w:rsidRPr="00F567E1">
        <w:rPr>
          <w:i/>
          <w:iCs/>
          <w:lang w:val="es-ES_tradnl"/>
        </w:rPr>
        <w:t>Expresando su agradecimiento</w:t>
      </w:r>
      <w:r w:rsidRPr="00F567E1">
        <w:rPr>
          <w:lang w:val="es-ES_tradnl"/>
        </w:rPr>
        <w:t xml:space="preserve"> por los sólidos fundamentos de la colaboración en materia de transferencia de tecnología entre la Secretaría y la Asociación Mundial sobre el Mercurio, el Convenio de Basilea sobre el Control de los Movimientos Transfronterizos de los Desechos Peligrosos y su Eliminación, el Convenio de Estocolmo sobre Contaminantes Orgánicos Persistentes y el Convenio de</w:t>
      </w:r>
      <w:r w:rsidR="007B3113" w:rsidRPr="00F567E1">
        <w:rPr>
          <w:lang w:val="es-ES_tradnl"/>
        </w:rPr>
        <w:t> </w:t>
      </w:r>
      <w:r w:rsidRPr="00F567E1">
        <w:rPr>
          <w:lang w:val="es-ES_tradnl"/>
        </w:rPr>
        <w:t>Rotterdam sobre el Procedimiento de Consentimiento Fundamentado Previo Aplicable a Ciertos Plaguicidas y Productos Químicos Peligrosos Objeto de Comercio Internacional, en particular los centros regionales de los Convenios de Basilea y Estocolmo,</w:t>
      </w:r>
    </w:p>
    <w:p w14:paraId="57D980D6" w14:textId="40E51D29" w:rsidR="00312042" w:rsidRPr="00F567E1"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F567E1">
        <w:rPr>
          <w:lang w:val="es-ES_tradnl"/>
        </w:rPr>
        <w:t xml:space="preserve"> </w:t>
      </w:r>
      <w:r w:rsidRPr="00F567E1">
        <w:rPr>
          <w:i/>
          <w:iCs/>
          <w:lang w:val="es-ES_tradnl"/>
        </w:rPr>
        <w:t>Insta</w:t>
      </w:r>
      <w:r w:rsidRPr="00F567E1">
        <w:rPr>
          <w:lang w:val="es-ES_tradnl"/>
        </w:rPr>
        <w:t xml:space="preserve"> a las Partes que son países desarrollados y otras Partes a que, en función de sus</w:t>
      </w:r>
      <w:r w:rsidR="007B3113" w:rsidRPr="00F567E1">
        <w:rPr>
          <w:lang w:val="es-ES_tradnl"/>
        </w:rPr>
        <w:t> </w:t>
      </w:r>
      <w:r w:rsidRPr="00F567E1">
        <w:rPr>
          <w:lang w:val="es-ES_tradnl"/>
        </w:rPr>
        <w:t>capacidades, tengan presentes los desafíos detectados en lo referente a la adopción de tecnologías alternativas, concretamente en la promoción y facilitación del desarrollo, la transferencia y la difusión de tecnologías alternativas ambientalmente racionales actualizadas a las Partes que son países en desarrollo, en particular las Partes que son países menos adelantados y pequeños Estados insulares en desarrollo, y las Partes con economías en transición, para reforzar su capacidad de aplicar con eficacia el Convenio de Minamata sobre el Mercurio;</w:t>
      </w:r>
    </w:p>
    <w:p w14:paraId="4E3068BC" w14:textId="017D188C" w:rsidR="00312042" w:rsidRPr="00F567E1"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F567E1">
        <w:rPr>
          <w:i/>
          <w:iCs/>
          <w:lang w:val="es-ES_tradnl"/>
        </w:rPr>
        <w:t>Alienta</w:t>
      </w:r>
      <w:r w:rsidRPr="00F567E1">
        <w:rPr>
          <w:lang w:val="es-ES_tradnl"/>
        </w:rPr>
        <w:t xml:space="preserve"> a las Partes a que, en sus informes nacionales presentados con arreglo al artículo 21, en particular sus segundos informes nacionales íntegros, incorporen información específica sobre el desarrollo, la transferencia y la difusión de tecnologías alternativas y el acceso a</w:t>
      </w:r>
      <w:r w:rsidR="007B3113" w:rsidRPr="00F567E1">
        <w:rPr>
          <w:lang w:val="es-ES_tradnl"/>
        </w:rPr>
        <w:t> </w:t>
      </w:r>
      <w:r w:rsidRPr="00F567E1">
        <w:rPr>
          <w:lang w:val="es-ES_tradnl"/>
        </w:rPr>
        <w:t>ellas, así como sobre las dificultades que hayan experimentado al acceder a la tecnología y al transferirla, a fin de contribuir a un futuro examen de las dificultades y los progresos realizados;</w:t>
      </w:r>
    </w:p>
    <w:p w14:paraId="322EC9B7" w14:textId="66168C06" w:rsidR="00312042" w:rsidRPr="00F567E1"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F567E1">
        <w:rPr>
          <w:i/>
          <w:iCs/>
          <w:lang w:val="es-ES_tradnl"/>
        </w:rPr>
        <w:t>Solicita</w:t>
      </w:r>
      <w:r w:rsidRPr="00F567E1">
        <w:rPr>
          <w:lang w:val="es-ES_tradnl"/>
        </w:rPr>
        <w:t xml:space="preserve"> a la Secretaría que, en función de la disponibilidad de recursos, de conformidad con el párrafo 4 del artículo 14 y en colaboración con la Asociación Mundial sobre el Mercurio, entre otros, siga recopilando y analizando información sobre las iniciativas existentes y los</w:t>
      </w:r>
      <w:r w:rsidR="007B3113" w:rsidRPr="00F567E1">
        <w:rPr>
          <w:lang w:val="es-ES_tradnl"/>
        </w:rPr>
        <w:t> </w:t>
      </w:r>
      <w:r w:rsidRPr="00F567E1">
        <w:rPr>
          <w:lang w:val="es-ES_tradnl"/>
        </w:rPr>
        <w:t>progresos realizados en relación con las tecnologías alternativas, así como las necesidades y dificultades conexas, empleando:</w:t>
      </w:r>
    </w:p>
    <w:p w14:paraId="47FD4E04" w14:textId="42067CAE" w:rsidR="00312042" w:rsidRPr="00F567E1" w:rsidRDefault="00312042" w:rsidP="00312042">
      <w:pPr>
        <w:pStyle w:val="Normalnumber"/>
        <w:numPr>
          <w:ilvl w:val="1"/>
          <w:numId w:val="59"/>
        </w:numPr>
        <w:tabs>
          <w:tab w:val="clear" w:pos="1247"/>
          <w:tab w:val="clear" w:pos="1814"/>
          <w:tab w:val="clear" w:pos="2381"/>
          <w:tab w:val="clear" w:pos="2948"/>
          <w:tab w:val="clear" w:pos="3515"/>
          <w:tab w:val="left" w:pos="624"/>
        </w:tabs>
        <w:rPr>
          <w:lang w:val="es-ES_tradnl"/>
        </w:rPr>
      </w:pPr>
      <w:r w:rsidRPr="00F567E1">
        <w:rPr>
          <w:lang w:val="es-ES_tradnl"/>
        </w:rPr>
        <w:t>La información de los futuros informes nacionales presentados con arreglo al artículo</w:t>
      </w:r>
      <w:r w:rsidR="00B02557" w:rsidRPr="00F567E1">
        <w:rPr>
          <w:lang w:val="es-ES_tradnl"/>
        </w:rPr>
        <w:t> </w:t>
      </w:r>
      <w:r w:rsidRPr="00F567E1">
        <w:rPr>
          <w:lang w:val="es-ES_tradnl"/>
        </w:rPr>
        <w:t>21;</w:t>
      </w:r>
    </w:p>
    <w:p w14:paraId="5BA6D5CE" w14:textId="0DE9E51F" w:rsidR="00312042" w:rsidRPr="00F567E1" w:rsidRDefault="00312042" w:rsidP="00312042">
      <w:pPr>
        <w:pStyle w:val="Normalnumber"/>
        <w:numPr>
          <w:ilvl w:val="1"/>
          <w:numId w:val="59"/>
        </w:numPr>
        <w:tabs>
          <w:tab w:val="clear" w:pos="1247"/>
          <w:tab w:val="clear" w:pos="1814"/>
          <w:tab w:val="clear" w:pos="2381"/>
          <w:tab w:val="clear" w:pos="2948"/>
          <w:tab w:val="clear" w:pos="3515"/>
          <w:tab w:val="left" w:pos="624"/>
        </w:tabs>
        <w:rPr>
          <w:lang w:val="es-ES_tradnl"/>
        </w:rPr>
      </w:pPr>
      <w:r w:rsidRPr="00F567E1">
        <w:rPr>
          <w:lang w:val="es-ES_tradnl"/>
        </w:rPr>
        <w:t>La información complementaria recopilada por medio de un estudio sobre las necesidades y dificultades en materia de tecnología;</w:t>
      </w:r>
    </w:p>
    <w:p w14:paraId="2A651E52" w14:textId="0EC37587" w:rsidR="00312042" w:rsidRPr="00F567E1" w:rsidRDefault="00312042" w:rsidP="00312042">
      <w:pPr>
        <w:pStyle w:val="Normalnumber"/>
        <w:numPr>
          <w:ilvl w:val="1"/>
          <w:numId w:val="59"/>
        </w:numPr>
        <w:tabs>
          <w:tab w:val="clear" w:pos="1247"/>
          <w:tab w:val="clear" w:pos="1814"/>
          <w:tab w:val="clear" w:pos="2381"/>
          <w:tab w:val="clear" w:pos="2948"/>
          <w:tab w:val="clear" w:pos="3515"/>
          <w:tab w:val="left" w:pos="624"/>
        </w:tabs>
        <w:rPr>
          <w:lang w:val="es-ES_tradnl"/>
        </w:rPr>
      </w:pPr>
      <w:r w:rsidRPr="00F567E1">
        <w:rPr>
          <w:lang w:val="es-ES_tradnl"/>
        </w:rPr>
        <w:t>Otra información disponible, en particular informes y evaluaciones de proyectos financiados por el Fondo para el Medio Ambiente Mundial y el Programa Internacional Específico para apoyar la creación de capacidad y la asistencia técnica;</w:t>
      </w:r>
    </w:p>
    <w:p w14:paraId="04490B81" w14:textId="35FE0786" w:rsidR="00312042" w:rsidRPr="00F567E1"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F567E1">
        <w:rPr>
          <w:i/>
          <w:iCs/>
          <w:lang w:val="es-ES_tradnl"/>
        </w:rPr>
        <w:t>Decide</w:t>
      </w:r>
      <w:r w:rsidRPr="00F567E1">
        <w:rPr>
          <w:lang w:val="es-ES_tradnl"/>
        </w:rPr>
        <w:t xml:space="preserve"> volver a examinar la cuestión de las tecnologías alternativas de conformidad con el párrafo 4 del artículo 14 en su octava reunión;</w:t>
      </w:r>
    </w:p>
    <w:p w14:paraId="014B13EE" w14:textId="38BF8D1E" w:rsidR="00312042" w:rsidRPr="00F567E1"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F567E1">
        <w:rPr>
          <w:i/>
          <w:iCs/>
          <w:lang w:val="es-ES_tradnl"/>
        </w:rPr>
        <w:lastRenderedPageBreak/>
        <w:t>Exhorta</w:t>
      </w:r>
      <w:r w:rsidRPr="00F567E1">
        <w:rPr>
          <w:lang w:val="es-ES_tradnl"/>
        </w:rPr>
        <w:t xml:space="preserve"> a las Partes, e invita a los Estados que no son Partes en el Convenio y a otras entidades que estén en condiciones de hacerlo, a que contribuyan al fondo fiduciario especial del Convenio de Minamata sobre el Mercurio para que puedan llevarse a cabo las actividades de creación de capacidad descritas en la ficha descriptiva del programa de trabajo y las actividades presupuestarias para el período de 2026 a 2027 en relación con la creación de capacidad y la asistencia técnica (actividad 4);</w:t>
      </w:r>
    </w:p>
    <w:p w14:paraId="3848508D" w14:textId="7873698F" w:rsidR="00312042" w:rsidRPr="00F567E1"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rPr>
          <w:lang w:val="es-ES_tradnl"/>
        </w:rPr>
      </w:pPr>
      <w:r w:rsidRPr="00F567E1">
        <w:rPr>
          <w:i/>
          <w:iCs/>
          <w:lang w:val="es-ES_tradnl"/>
        </w:rPr>
        <w:t>Reconoce con aprecio</w:t>
      </w:r>
      <w:r w:rsidRPr="00F567E1">
        <w:rPr>
          <w:lang w:val="es-ES_tradnl"/>
        </w:rPr>
        <w:t xml:space="preserve"> la labor de la Secretaría de desarrollo y difusión de herramientas y materiales formativos relacionados con el cumplimiento de las obligaciones de las Partes contraídas en virtud del Convenio;</w:t>
      </w:r>
    </w:p>
    <w:p w14:paraId="494708D1" w14:textId="0ED26BE7" w:rsidR="00312042" w:rsidRPr="00F567E1" w:rsidRDefault="00312042" w:rsidP="00312042">
      <w:pPr>
        <w:pStyle w:val="Normal-pool"/>
        <w:numPr>
          <w:ilvl w:val="0"/>
          <w:numId w:val="58"/>
        </w:numPr>
        <w:tabs>
          <w:tab w:val="clear" w:pos="1247"/>
          <w:tab w:val="clear" w:pos="1871"/>
          <w:tab w:val="clear" w:pos="2495"/>
          <w:tab w:val="clear" w:pos="3119"/>
          <w:tab w:val="clear" w:pos="3742"/>
          <w:tab w:val="clear" w:pos="4366"/>
          <w:tab w:val="clear" w:pos="4990"/>
        </w:tabs>
        <w:spacing w:after="120"/>
        <w:ind w:left="1247" w:firstLine="624"/>
        <w:rPr>
          <w:lang w:val="es-ES_tradnl"/>
        </w:rPr>
        <w:sectPr w:rsidR="00312042" w:rsidRPr="00F567E1" w:rsidSect="00E84D8D">
          <w:footnotePr>
            <w:numRestart w:val="eachSect"/>
          </w:footnotePr>
          <w:type w:val="continuous"/>
          <w:pgSz w:w="11906" w:h="16838" w:code="9"/>
          <w:pgMar w:top="907" w:right="992" w:bottom="1418" w:left="1418" w:header="539" w:footer="975" w:gutter="0"/>
          <w:cols w:space="539"/>
          <w:docGrid w:linePitch="360"/>
        </w:sectPr>
      </w:pPr>
      <w:r w:rsidRPr="00F567E1">
        <w:rPr>
          <w:i/>
          <w:iCs/>
          <w:lang w:val="es-ES_tradnl"/>
        </w:rPr>
        <w:t>Solicita</w:t>
      </w:r>
      <w:r w:rsidRPr="00F567E1">
        <w:rPr>
          <w:lang w:val="es-ES_tradnl"/>
        </w:rPr>
        <w:t xml:space="preserve"> a la Secretaría que, en función de la disponibilidad de recursos, siga prestando asistencia técnica y servicios de creación de capacidad a las Partes de conformidad con el párrafo 1 del artículo 14, en particular mediante una colaboración activa y constante con la Asociación Mundial sobre el Mercurio.</w:t>
      </w:r>
    </w:p>
    <w:p w14:paraId="452A05D4" w14:textId="77777777" w:rsidR="00312042" w:rsidRPr="00F567E1" w:rsidRDefault="00312042" w:rsidP="00312042">
      <w:pPr>
        <w:pStyle w:val="Normal-pool"/>
        <w:rPr>
          <w:lang w:val="es-ES_tradnl"/>
        </w:rPr>
      </w:pPr>
      <w:r w:rsidRPr="00F567E1">
        <w:rPr>
          <w:lang w:val="es-ES_tradnl"/>
        </w:rPr>
        <w:br w:type="page"/>
      </w:r>
    </w:p>
    <w:p w14:paraId="782E6FED" w14:textId="77777777" w:rsidR="00312042" w:rsidRPr="00F567E1" w:rsidRDefault="00312042" w:rsidP="002819FE">
      <w:pPr>
        <w:pStyle w:val="CH2"/>
        <w:outlineLvl w:val="0"/>
        <w:rPr>
          <w:lang w:val="es-ES_tradnl"/>
        </w:rPr>
      </w:pPr>
      <w:r w:rsidRPr="00F567E1">
        <w:rPr>
          <w:lang w:val="es-ES_tradnl"/>
        </w:rPr>
        <w:lastRenderedPageBreak/>
        <w:tab/>
      </w:r>
      <w:r w:rsidRPr="00F567E1">
        <w:rPr>
          <w:lang w:val="es-ES_tradnl"/>
        </w:rPr>
        <w:tab/>
      </w:r>
      <w:bookmarkStart w:id="53" w:name="_Toc223088518"/>
      <w:r w:rsidRPr="00F567E1">
        <w:rPr>
          <w:lang w:val="es-ES_tradnl"/>
        </w:rPr>
        <w:t>Decisión MC</w:t>
      </w:r>
      <w:r w:rsidRPr="00F567E1">
        <w:rPr>
          <w:lang w:val="es-ES_tradnl"/>
        </w:rPr>
        <w:noBreakHyphen/>
        <w:t>6/13: presentación de informes nacionales (artículo 21): segundos informes nacionales breves</w:t>
      </w:r>
      <w:bookmarkStart w:id="54" w:name="_Toc219712811"/>
      <w:bookmarkEnd w:id="52"/>
      <w:bookmarkEnd w:id="53"/>
      <w:bookmarkEnd w:id="54"/>
    </w:p>
    <w:p w14:paraId="2888D61A" w14:textId="301FF426" w:rsidR="00312042" w:rsidRPr="00F567E1" w:rsidRDefault="00312042" w:rsidP="00312042">
      <w:pPr>
        <w:pStyle w:val="NormalNonumber"/>
        <w:tabs>
          <w:tab w:val="clear" w:pos="1247"/>
        </w:tabs>
        <w:ind w:firstLine="624"/>
        <w:rPr>
          <w:i/>
          <w:iCs/>
          <w:noProof/>
          <w:lang w:val="es-ES_tradnl"/>
        </w:rPr>
      </w:pPr>
      <w:bookmarkStart w:id="55" w:name="_Toc213853071"/>
      <w:r w:rsidRPr="00F567E1">
        <w:rPr>
          <w:i/>
          <w:iCs/>
          <w:lang w:val="es-ES_tradnl"/>
        </w:rPr>
        <w:t>La Conferencia de las Partes,</w:t>
      </w:r>
    </w:p>
    <w:p w14:paraId="248A78CA" w14:textId="54E62DB2" w:rsidR="00312042" w:rsidRPr="00F567E1" w:rsidRDefault="00312042" w:rsidP="00312042">
      <w:pPr>
        <w:pStyle w:val="NormalNonumber"/>
        <w:tabs>
          <w:tab w:val="clear" w:pos="1247"/>
        </w:tabs>
        <w:ind w:firstLine="624"/>
        <w:rPr>
          <w:noProof/>
          <w:lang w:val="es-ES_tradnl"/>
        </w:rPr>
      </w:pPr>
      <w:r w:rsidRPr="00F567E1">
        <w:rPr>
          <w:i/>
          <w:iCs/>
          <w:lang w:val="es-ES_tradnl"/>
        </w:rPr>
        <w:t>Poniendo de relieve</w:t>
      </w:r>
      <w:r w:rsidRPr="00F567E1">
        <w:rPr>
          <w:lang w:val="es-ES_tradnl"/>
        </w:rPr>
        <w:t xml:space="preserve"> la importancia de la presentación de informes y recordando la obligación de las Partes de presentar sus informes nacionales de conformidad con el artículo 21 del Convenio de Minamata sobre el Mercurio,</w:t>
      </w:r>
    </w:p>
    <w:p w14:paraId="6F48B2F3" w14:textId="17346D50" w:rsidR="00312042" w:rsidRPr="00F567E1" w:rsidRDefault="00312042" w:rsidP="00312042">
      <w:pPr>
        <w:pStyle w:val="NormalNonumber"/>
        <w:tabs>
          <w:tab w:val="clear" w:pos="1247"/>
        </w:tabs>
        <w:ind w:firstLine="624"/>
        <w:rPr>
          <w:noProof/>
          <w:lang w:val="es-ES_tradnl"/>
        </w:rPr>
      </w:pPr>
      <w:r w:rsidRPr="00F567E1">
        <w:rPr>
          <w:i/>
          <w:iCs/>
          <w:lang w:val="es-ES_tradnl"/>
        </w:rPr>
        <w:t>Considerando</w:t>
      </w:r>
      <w:r w:rsidRPr="00F567E1">
        <w:rPr>
          <w:lang w:val="es-ES_tradnl"/>
        </w:rPr>
        <w:t xml:space="preserve"> el informe sobre la labor del Comité de Aplicación y Cumplimiento del Convenio en sus reuniones 6ª y 7ª, incluidas sus conclusiones sobre el desempeño de las Partes en materia de presentación de informes</w:t>
      </w:r>
      <w:r w:rsidRPr="00F567E1">
        <w:rPr>
          <w:rStyle w:val="FootnoteReference"/>
          <w:noProof/>
          <w:lang w:val="es-ES_tradnl"/>
        </w:rPr>
        <w:footnoteReference w:id="22"/>
      </w:r>
      <w:r w:rsidRPr="00F567E1">
        <w:rPr>
          <w:lang w:val="es-ES_tradnl"/>
        </w:rPr>
        <w:t>,</w:t>
      </w:r>
    </w:p>
    <w:p w14:paraId="5305FEC0" w14:textId="1F97F732" w:rsidR="00312042" w:rsidRPr="00F567E1" w:rsidRDefault="00312042" w:rsidP="00312042">
      <w:pPr>
        <w:pStyle w:val="NormalNonumber"/>
        <w:tabs>
          <w:tab w:val="clear" w:pos="1247"/>
        </w:tabs>
        <w:ind w:firstLine="624"/>
        <w:rPr>
          <w:noProof/>
          <w:lang w:val="es-ES_tradnl"/>
        </w:rPr>
      </w:pPr>
      <w:r w:rsidRPr="00F567E1">
        <w:rPr>
          <w:i/>
          <w:iCs/>
          <w:lang w:val="es-ES_tradnl"/>
        </w:rPr>
        <w:t>Reconociendo</w:t>
      </w:r>
      <w:r w:rsidRPr="00F567E1">
        <w:rPr>
          <w:lang w:val="es-ES_tradnl"/>
        </w:rPr>
        <w:t xml:space="preserve"> los retos que plantean para el cumplimiento de las obligaciones comerciales establecidas en el artículo 3 la extracción primaria informal o ilícita de mercurio y el comercio de mercurio que no se ajustan a las disposiciones del Convenio, incluidas la recopilación de datos y la presentación de informes sobre esas actividades, </w:t>
      </w:r>
    </w:p>
    <w:p w14:paraId="280AE9F0" w14:textId="7F23EC8C" w:rsidR="00312042" w:rsidRPr="00F567E1" w:rsidRDefault="00312042" w:rsidP="00312042">
      <w:pPr>
        <w:pStyle w:val="NormalNonumber"/>
        <w:tabs>
          <w:tab w:val="clear" w:pos="1247"/>
        </w:tabs>
        <w:ind w:firstLine="624"/>
        <w:rPr>
          <w:lang w:val="es-ES_tradnl"/>
        </w:rPr>
      </w:pPr>
      <w:r w:rsidRPr="00F567E1">
        <w:rPr>
          <w:i/>
          <w:iCs/>
          <w:lang w:val="es-ES_tradnl"/>
        </w:rPr>
        <w:t>Acogiendo con beneplácito</w:t>
      </w:r>
      <w:r w:rsidRPr="00F567E1">
        <w:rPr>
          <w:lang w:val="es-ES_tradnl"/>
        </w:rPr>
        <w:t xml:space="preserve"> los esfuerzos de las Partes por informar sobre la extracción primaria y el comercio de mercurio informales o ilícitos, incluso en lo que se refiere al sector de la extracción de oro artesanal y en pequeña escala,</w:t>
      </w:r>
    </w:p>
    <w:p w14:paraId="45BD5C07" w14:textId="28D1C6BB" w:rsidR="00312042" w:rsidRPr="00F567E1" w:rsidRDefault="00312042" w:rsidP="00312042">
      <w:pPr>
        <w:pStyle w:val="NormalNonumber"/>
        <w:tabs>
          <w:tab w:val="clear" w:pos="1247"/>
        </w:tabs>
        <w:ind w:firstLine="624"/>
        <w:rPr>
          <w:rStyle w:val="normaltextrun"/>
          <w:lang w:val="es-ES_tradnl"/>
        </w:rPr>
      </w:pPr>
      <w:r w:rsidRPr="00F567E1">
        <w:rPr>
          <w:i/>
          <w:iCs/>
          <w:lang w:val="es-ES_tradnl"/>
        </w:rPr>
        <w:t>Recordando</w:t>
      </w:r>
      <w:r w:rsidRPr="00F567E1">
        <w:rPr>
          <w:lang w:val="es-ES_tradnl"/>
        </w:rPr>
        <w:t xml:space="preserve"> el párrafo 2 de la decisión MC</w:t>
      </w:r>
      <w:r w:rsidRPr="00F567E1">
        <w:rPr>
          <w:lang w:val="es-ES_tradnl"/>
        </w:rPr>
        <w:noBreakHyphen/>
        <w:t>5/2, en el que se alentaba a las Partes que no habían recibido consentimiento para todas las exportaciones de mercurio desde el territorio de la Parte</w:t>
      </w:r>
      <w:r w:rsidR="007B3113" w:rsidRPr="00F567E1">
        <w:rPr>
          <w:lang w:val="es-ES_tradnl"/>
        </w:rPr>
        <w:t> </w:t>
      </w:r>
      <w:r w:rsidRPr="00F567E1">
        <w:rPr>
          <w:lang w:val="es-ES_tradnl"/>
        </w:rPr>
        <w:t>a que facilitasen más información, si la hubiese, en sus siguientes informes nacionales,</w:t>
      </w:r>
    </w:p>
    <w:p w14:paraId="0C804918" w14:textId="3D13B3A4" w:rsidR="00312042" w:rsidRPr="00F567E1"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i/>
          <w:iCs/>
          <w:lang w:val="es-ES_tradnl"/>
        </w:rPr>
        <w:t>Acoge con beneplácito</w:t>
      </w:r>
      <w:r w:rsidRPr="00F567E1">
        <w:rPr>
          <w:lang w:val="es-ES_tradnl"/>
        </w:rPr>
        <w:t xml:space="preserve"> la elevada tasa de presentación de informes (86 %) por las Partes en el caso de los segundos informes nacionales breves y reconoce que hay margen para seguir mejorando esa tasa;</w:t>
      </w:r>
    </w:p>
    <w:p w14:paraId="3080DB50" w14:textId="436D1168" w:rsidR="00312042" w:rsidRPr="00F567E1"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i/>
          <w:iCs/>
          <w:lang w:val="es-ES_tradnl"/>
        </w:rPr>
        <w:t>Invita</w:t>
      </w:r>
      <w:r w:rsidRPr="00F567E1">
        <w:rPr>
          <w:lang w:val="es-ES_tradnl"/>
        </w:rPr>
        <w:t xml:space="preserve"> a las Partes a alcanzar una tasa elevada de presentación de informes en el caso de sus segundos informes nacionales completos, que deben presentarse antes del 31 de diciembre de</w:t>
      </w:r>
      <w:r w:rsidR="008423AF" w:rsidRPr="00F567E1">
        <w:rPr>
          <w:lang w:val="es-ES_tradnl"/>
        </w:rPr>
        <w:t> </w:t>
      </w:r>
      <w:r w:rsidRPr="00F567E1">
        <w:rPr>
          <w:lang w:val="es-ES_tradnl"/>
        </w:rPr>
        <w:t>2025, y solicita a las Partes que presenten sus informes a su debido tiempo;</w:t>
      </w:r>
    </w:p>
    <w:p w14:paraId="5A6A4B60" w14:textId="263B40FD" w:rsidR="00312042" w:rsidRPr="00F567E1"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i/>
          <w:iCs/>
          <w:lang w:val="es-ES_tradnl"/>
        </w:rPr>
        <w:t>Reitera</w:t>
      </w:r>
      <w:r w:rsidRPr="00F567E1">
        <w:rPr>
          <w:lang w:val="es-ES_tradnl"/>
        </w:rPr>
        <w:t xml:space="preserve"> su llamamiento a las Partes que han recibido el consentimiento para exportar mercurio a Partes o Estados que no son Partes a que proporcionen a la Secretaría copias de los formularios de consentimiento utilizados u otra información adecuada en sus informes presentados de conformidad con el artículo 21 para demostrar que se han cumplido los requisitos pertinentes del artículo 3;</w:t>
      </w:r>
    </w:p>
    <w:p w14:paraId="3ADA8E5F" w14:textId="4A38F6DC" w:rsidR="00312042" w:rsidRPr="00F567E1"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i/>
          <w:iCs/>
          <w:lang w:val="es-ES_tradnl"/>
        </w:rPr>
        <w:t>Invita</w:t>
      </w:r>
      <w:r w:rsidRPr="00F567E1">
        <w:rPr>
          <w:lang w:val="es-ES_tradnl"/>
        </w:rPr>
        <w:t xml:space="preserve"> a las Partes a presentar sus planes de acción nacionales completos sobre la eliminación de la amalgama dental, ya sea junto con sus segundos informes nacionales completos, que deben presentarse antes del 31 de diciembre de 2025, o con sus terceros informes nacionales breves, que deben presentarse antes del 31 de diciembre de 2027;</w:t>
      </w:r>
    </w:p>
    <w:p w14:paraId="6D94ACF3" w14:textId="3A9B758A" w:rsidR="00312042" w:rsidRPr="00F567E1"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i/>
          <w:iCs/>
          <w:lang w:val="es-ES_tradnl"/>
        </w:rPr>
        <w:t xml:space="preserve">Toma nota </w:t>
      </w:r>
      <w:r w:rsidRPr="00F567E1">
        <w:rPr>
          <w:lang w:val="es-ES_tradnl"/>
        </w:rPr>
        <w:t>de las actualizaciones de la orientación para cumplimentar el formulario nacional de presentación de informes, conforme a lo solicitado en la decisión MC</w:t>
      </w:r>
      <w:r w:rsidRPr="00F567E1">
        <w:rPr>
          <w:lang w:val="es-ES_tradnl"/>
        </w:rPr>
        <w:noBreakHyphen/>
        <w:t>5/13</w:t>
      </w:r>
      <w:r w:rsidRPr="00F567E1">
        <w:rPr>
          <w:rStyle w:val="FootnoteReference"/>
          <w:lang w:val="es-ES_tradnl"/>
        </w:rPr>
        <w:footnoteReference w:id="23"/>
      </w:r>
      <w:r w:rsidRPr="00F567E1">
        <w:rPr>
          <w:lang w:val="es-ES_tradnl"/>
        </w:rPr>
        <w:t>, y alienta a las Partes a utilizar la orientación en la ronda de presentación de informes actual y en la siguiente;</w:t>
      </w:r>
    </w:p>
    <w:p w14:paraId="7BBBC954" w14:textId="77B344AB" w:rsidR="00312042" w:rsidRPr="00F567E1" w:rsidRDefault="00312042" w:rsidP="00312042">
      <w:pPr>
        <w:pStyle w:val="NormalNonumber"/>
        <w:numPr>
          <w:ilvl w:val="0"/>
          <w:numId w:val="60"/>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i/>
          <w:iCs/>
          <w:lang w:val="es-ES_tradnl"/>
        </w:rPr>
        <w:t>Solicita</w:t>
      </w:r>
      <w:r w:rsidRPr="00F567E1">
        <w:rPr>
          <w:lang w:val="es-ES_tradnl"/>
        </w:rPr>
        <w:t xml:space="preserve"> a la Secretaría que:</w:t>
      </w:r>
    </w:p>
    <w:p w14:paraId="6E27A0D0" w14:textId="42EC36A2" w:rsidR="00312042" w:rsidRPr="00F567E1"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lang w:val="es-ES_tradnl"/>
        </w:rPr>
        <w:t>Recopile información sobre las mejores prácticas para la presentación de informes sobre las actividades informales o ilícitas que no se ajustan a las disposiciones del Convenio, con vistas a identificar la información que sería útil para evaluar su escala y naturaleza, y explore la forma en que esa información podría servir de base a herramientas o elementos de la presentación de informes para apoyar a las Partes que se enfrentan a esos desafíos;</w:t>
      </w:r>
    </w:p>
    <w:p w14:paraId="01512ACD" w14:textId="47D34E57" w:rsidR="00312042" w:rsidRPr="00F567E1"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lang w:val="es-ES_tradnl"/>
        </w:rPr>
        <w:t>Siga evaluando, sobre la base de la determinación y la experiencia de las Partes en la elaboración de los segundos informes completos, los problemas importantes que puedan derivarse del formulario de presentación de informes, y, solo en la medida en que sea necesario, elabore propuestas para mejorar su facilidad de uso y claridad para el examen de la Conferencia de las Partes en sus futuras reuniones;</w:t>
      </w:r>
    </w:p>
    <w:p w14:paraId="21E3A8DB" w14:textId="77777777" w:rsidR="00312042" w:rsidRPr="00F567E1"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lang w:val="es-ES_tradnl"/>
        </w:rPr>
        <w:t xml:space="preserve">Integre las decisiones pertinentes adoptadas por la Conferencia de las Partes en la presente reunión y en reuniones futuras en la orientación para cumplimentar el formulario de </w:t>
      </w:r>
      <w:r w:rsidRPr="00F567E1">
        <w:rPr>
          <w:lang w:val="es-ES_tradnl"/>
        </w:rPr>
        <w:lastRenderedPageBreak/>
        <w:t>presentación de informes y vele por que los informes nacionales sigan siendo coherentes con los requisitos actualizados, para el examen de las Partes durante el período entre reuniones;</w:t>
      </w:r>
    </w:p>
    <w:p w14:paraId="35D19DBF" w14:textId="34326B7A" w:rsidR="00312042" w:rsidRPr="00F567E1"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lang w:val="es-ES_tradnl"/>
        </w:rPr>
      </w:pPr>
      <w:r w:rsidRPr="00F567E1">
        <w:rPr>
          <w:lang w:val="es-ES_tradnl"/>
        </w:rPr>
        <w:t>Prepare un proyecto de orientaciones sobre la elaboración de los planes de acción nacionales de eliminación de la amalgama dental, en función de la disponibilidad de recursos, para su examen por la Conferencia de las Partes en su séptima reunión;</w:t>
      </w:r>
    </w:p>
    <w:p w14:paraId="459D729A" w14:textId="77777777" w:rsidR="00312042" w:rsidRPr="00F567E1" w:rsidRDefault="00312042" w:rsidP="00312042">
      <w:pPr>
        <w:pStyle w:val="NormalNonumber"/>
        <w:numPr>
          <w:ilvl w:val="1"/>
          <w:numId w:val="61"/>
        </w:numPr>
        <w:tabs>
          <w:tab w:val="clear" w:pos="1247"/>
          <w:tab w:val="clear" w:pos="1871"/>
          <w:tab w:val="clear" w:pos="2495"/>
          <w:tab w:val="clear" w:pos="3119"/>
          <w:tab w:val="clear" w:pos="3742"/>
          <w:tab w:val="clear" w:pos="4366"/>
          <w:tab w:val="clear" w:pos="4990"/>
        </w:tabs>
        <w:ind w:left="1247" w:firstLine="624"/>
        <w:rPr>
          <w:noProof/>
          <w:lang w:val="es-ES_tradnl"/>
        </w:rPr>
        <w:sectPr w:rsidR="00312042" w:rsidRPr="00F567E1" w:rsidSect="00E84D8D">
          <w:footnotePr>
            <w:numRestart w:val="eachSect"/>
          </w:footnotePr>
          <w:type w:val="continuous"/>
          <w:pgSz w:w="11906" w:h="16838" w:code="9"/>
          <w:pgMar w:top="907" w:right="992" w:bottom="1418" w:left="1418" w:header="539" w:footer="975" w:gutter="0"/>
          <w:cols w:space="539"/>
          <w:docGrid w:linePitch="360"/>
        </w:sectPr>
      </w:pPr>
      <w:r w:rsidRPr="00F567E1">
        <w:rPr>
          <w:lang w:val="es-ES_tradnl"/>
        </w:rPr>
        <w:t>Rinda informe a la Conferencia de las Partes, en su séptima reunión, sobre la aplicación de la presente decisión.</w:t>
      </w:r>
    </w:p>
    <w:p w14:paraId="444267BE" w14:textId="77777777" w:rsidR="00312042" w:rsidRPr="00F567E1" w:rsidRDefault="00312042" w:rsidP="00312042">
      <w:pPr>
        <w:pStyle w:val="Normal-pool"/>
        <w:rPr>
          <w:lang w:val="es-ES_tradnl"/>
        </w:rPr>
      </w:pPr>
      <w:r w:rsidRPr="00F567E1">
        <w:rPr>
          <w:lang w:val="es-ES_tradnl"/>
        </w:rPr>
        <w:br w:type="page"/>
      </w:r>
    </w:p>
    <w:p w14:paraId="4292D025" w14:textId="77777777" w:rsidR="00312042" w:rsidRPr="00F567E1" w:rsidRDefault="00312042" w:rsidP="002819FE">
      <w:pPr>
        <w:pStyle w:val="CH2"/>
        <w:outlineLvl w:val="0"/>
        <w:rPr>
          <w:lang w:val="es-ES_tradnl"/>
        </w:rPr>
      </w:pPr>
      <w:r w:rsidRPr="00F567E1">
        <w:rPr>
          <w:lang w:val="es-ES_tradnl"/>
        </w:rPr>
        <w:lastRenderedPageBreak/>
        <w:tab/>
      </w:r>
      <w:r w:rsidRPr="00F567E1">
        <w:rPr>
          <w:lang w:val="es-ES_tradnl"/>
        </w:rPr>
        <w:tab/>
      </w:r>
      <w:bookmarkStart w:id="56" w:name="_Toc223088519"/>
      <w:r w:rsidRPr="00F567E1">
        <w:rPr>
          <w:lang w:val="es-ES_tradnl"/>
        </w:rPr>
        <w:t>Decisión MC</w:t>
      </w:r>
      <w:r w:rsidRPr="00F567E1">
        <w:rPr>
          <w:lang w:val="es-ES_tradnl"/>
        </w:rPr>
        <w:noBreakHyphen/>
        <w:t>6/14: marcha de los trabajos de la primera evaluación de la eficacia del Convenio de Minamata sobre el Mercurio</w:t>
      </w:r>
      <w:bookmarkStart w:id="57" w:name="_Toc219712812"/>
      <w:bookmarkEnd w:id="55"/>
      <w:bookmarkEnd w:id="56"/>
      <w:bookmarkEnd w:id="57"/>
    </w:p>
    <w:p w14:paraId="1547F968" w14:textId="77777777" w:rsidR="00312042" w:rsidRPr="00F567E1" w:rsidRDefault="00312042" w:rsidP="00312042">
      <w:pPr>
        <w:pStyle w:val="Normal-pool"/>
        <w:spacing w:after="120"/>
        <w:ind w:left="1247" w:firstLine="624"/>
        <w:rPr>
          <w:rFonts w:asciiTheme="majorBidi" w:eastAsia="Calibri" w:hAnsiTheme="majorBidi" w:cstheme="majorBidi"/>
          <w:i/>
          <w:iCs/>
          <w:lang w:val="es-ES_tradnl"/>
        </w:rPr>
      </w:pPr>
      <w:r w:rsidRPr="00F567E1">
        <w:rPr>
          <w:i/>
          <w:iCs/>
          <w:lang w:val="es-ES_tradnl"/>
        </w:rPr>
        <w:t>La Conferencia de las Partes,</w:t>
      </w:r>
      <w:r w:rsidRPr="00F567E1">
        <w:rPr>
          <w:lang w:val="es-ES_tradnl"/>
        </w:rPr>
        <w:t xml:space="preserve"> </w:t>
      </w:r>
    </w:p>
    <w:p w14:paraId="0537B5B8" w14:textId="77777777" w:rsidR="00312042" w:rsidRPr="00F567E1" w:rsidRDefault="00312042" w:rsidP="00312042">
      <w:pPr>
        <w:pStyle w:val="Normal-pool"/>
        <w:spacing w:after="120"/>
        <w:ind w:left="1247" w:firstLine="624"/>
        <w:rPr>
          <w:rFonts w:asciiTheme="majorBidi" w:eastAsia="Calibri" w:hAnsiTheme="majorBidi" w:cstheme="majorBidi"/>
          <w:lang w:val="es-ES_tradnl"/>
        </w:rPr>
      </w:pPr>
      <w:r w:rsidRPr="00F567E1">
        <w:rPr>
          <w:i/>
          <w:iCs/>
          <w:lang w:val="es-ES_tradnl"/>
        </w:rPr>
        <w:t>Recordando</w:t>
      </w:r>
      <w:r w:rsidRPr="00F567E1">
        <w:rPr>
          <w:lang w:val="es-ES_tradnl"/>
        </w:rPr>
        <w:t xml:space="preserve"> la decisión MC</w:t>
      </w:r>
      <w:r w:rsidRPr="00F567E1">
        <w:rPr>
          <w:lang w:val="es-ES_tradnl"/>
        </w:rPr>
        <w:noBreakHyphen/>
        <w:t>5/14, en la que acordó examinar el resultado de la primera evaluación de la eficacia del Convenio de Minamata sobre el Mercurio en su séptima reunión,</w:t>
      </w:r>
    </w:p>
    <w:p w14:paraId="45430A64" w14:textId="19E3BCA1" w:rsidR="00312042" w:rsidRPr="00F567E1" w:rsidRDefault="00312042" w:rsidP="00312042">
      <w:pPr>
        <w:pStyle w:val="Normal-pool"/>
        <w:numPr>
          <w:ilvl w:val="0"/>
          <w:numId w:val="62"/>
        </w:numPr>
        <w:tabs>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lang w:val="es-ES_tradnl"/>
        </w:rPr>
      </w:pPr>
      <w:r w:rsidRPr="00F567E1">
        <w:rPr>
          <w:i/>
          <w:iCs/>
          <w:lang w:val="es-ES_tradnl"/>
        </w:rPr>
        <w:t>Toma nota</w:t>
      </w:r>
      <w:r w:rsidRPr="00F567E1">
        <w:rPr>
          <w:lang w:val="es-ES_tradnl"/>
        </w:rPr>
        <w:t xml:space="preserve"> de los progresos alcanzados por el Grupo de Evaluación de la Eficacia y el Grupo Científico de composición abierta desde la quinta reunión y solicita a ambos grupos que prosigan su labor de apoyo a la Conferencia de las Partes en la primera evaluación de la eficacia de conformidad con sus respectivos mandatos;</w:t>
      </w:r>
    </w:p>
    <w:p w14:paraId="37F28129" w14:textId="6FECF1C9" w:rsidR="00312042" w:rsidRPr="00F567E1" w:rsidRDefault="00312042" w:rsidP="00312042">
      <w:pPr>
        <w:pStyle w:val="Normal-pool"/>
        <w:numPr>
          <w:ilvl w:val="0"/>
          <w:numId w:val="62"/>
        </w:numPr>
        <w:tabs>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lang w:val="es-ES_tradnl"/>
        </w:rPr>
      </w:pPr>
      <w:r w:rsidRPr="00F567E1">
        <w:rPr>
          <w:i/>
          <w:iCs/>
          <w:lang w:val="es-ES_tradnl"/>
        </w:rPr>
        <w:t>Reconoce con agradecimiento</w:t>
      </w:r>
      <w:r w:rsidRPr="00F567E1">
        <w:rPr>
          <w:lang w:val="es-ES_tradnl"/>
        </w:rPr>
        <w:t xml:space="preserve"> las aportaciones de las Partes y otros interesados en la evaluación de la eficacia, incluida la presentación de datos sobre vigilancia, emisiones y liberaciones y de observaciones sobre los proyectos de informe, e invita a las Partes a seguir contribuyendo con tales aportaciones, incluidas las observaciones relativas a los proyectos de documentos elaborados por el Grupo de Evaluación de la Eficacia y el Grupo Científico de Composición Abierta;</w:t>
      </w:r>
    </w:p>
    <w:p w14:paraId="6D51CBC5" w14:textId="742EA6CF" w:rsidR="00312042" w:rsidRPr="00F567E1" w:rsidRDefault="00312042" w:rsidP="00312042">
      <w:pPr>
        <w:pStyle w:val="Normal-pool"/>
        <w:numPr>
          <w:ilvl w:val="0"/>
          <w:numId w:val="62"/>
        </w:numPr>
        <w:tabs>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lang w:val="es-ES_tradnl"/>
        </w:rPr>
        <w:sectPr w:rsidR="00312042" w:rsidRPr="00F567E1" w:rsidSect="00E84D8D">
          <w:type w:val="continuous"/>
          <w:pgSz w:w="11906" w:h="16838" w:code="9"/>
          <w:pgMar w:top="907" w:right="992" w:bottom="1418" w:left="1418" w:header="539" w:footer="975" w:gutter="0"/>
          <w:cols w:space="539"/>
          <w:docGrid w:linePitch="360"/>
        </w:sectPr>
      </w:pPr>
      <w:r w:rsidRPr="00F567E1">
        <w:rPr>
          <w:i/>
          <w:iCs/>
          <w:lang w:val="es-ES_tradnl"/>
        </w:rPr>
        <w:t>Invita</w:t>
      </w:r>
      <w:r w:rsidRPr="00F567E1">
        <w:rPr>
          <w:lang w:val="es-ES_tradnl"/>
        </w:rPr>
        <w:t xml:space="preserve"> a las Partes a que presenten a la Secretaría sus informes nacionales completos en virtud del artículo 21 antes del 31 de diciembre de 2025, a fin de garantizar que en la primera evaluación de la eficacia se dispon</w:t>
      </w:r>
      <w:r w:rsidR="003B576C" w:rsidRPr="00F567E1">
        <w:rPr>
          <w:lang w:val="es-ES_tradnl"/>
        </w:rPr>
        <w:t>ga</w:t>
      </w:r>
      <w:r w:rsidRPr="00F567E1">
        <w:rPr>
          <w:lang w:val="es-ES_tradnl"/>
        </w:rPr>
        <w:t xml:space="preserve"> de la información más reciente.</w:t>
      </w:r>
    </w:p>
    <w:p w14:paraId="76034883" w14:textId="77777777" w:rsidR="00312042" w:rsidRPr="00F567E1" w:rsidRDefault="00312042" w:rsidP="00312042">
      <w:pPr>
        <w:pStyle w:val="Normal-pool"/>
        <w:rPr>
          <w:rFonts w:eastAsia="Calibri"/>
          <w:lang w:val="es-ES_tradnl"/>
        </w:rPr>
      </w:pPr>
      <w:r w:rsidRPr="00F567E1">
        <w:rPr>
          <w:rFonts w:eastAsia="Calibri"/>
          <w:lang w:val="es-ES_tradnl"/>
        </w:rPr>
        <w:br w:type="page"/>
      </w:r>
    </w:p>
    <w:p w14:paraId="7701C4D8" w14:textId="77777777" w:rsidR="00312042" w:rsidRPr="00F567E1" w:rsidRDefault="00312042" w:rsidP="002819FE">
      <w:pPr>
        <w:pStyle w:val="CH2"/>
        <w:outlineLvl w:val="0"/>
        <w:rPr>
          <w:lang w:val="es-ES_tradnl"/>
        </w:rPr>
      </w:pPr>
      <w:bookmarkStart w:id="58" w:name="_Toc213853072"/>
      <w:r w:rsidRPr="00F567E1">
        <w:rPr>
          <w:lang w:val="es-ES_tradnl"/>
        </w:rPr>
        <w:lastRenderedPageBreak/>
        <w:tab/>
      </w:r>
      <w:r w:rsidRPr="00F567E1">
        <w:rPr>
          <w:lang w:val="es-ES_tradnl"/>
        </w:rPr>
        <w:tab/>
      </w:r>
      <w:bookmarkStart w:id="59" w:name="_Toc223088520"/>
      <w:r w:rsidRPr="00F567E1">
        <w:rPr>
          <w:lang w:val="es-ES_tradnl"/>
        </w:rPr>
        <w:t>Decisión MC</w:t>
      </w:r>
      <w:r w:rsidRPr="00F567E1">
        <w:rPr>
          <w:lang w:val="es-ES_tradnl"/>
        </w:rPr>
        <w:noBreakHyphen/>
        <w:t>6/15: fortalecimiento de la cooperación efectiva con los Pueblos Indígenas, así como con las comunidades locales</w:t>
      </w:r>
      <w:bookmarkStart w:id="60" w:name="_Toc219712813"/>
      <w:bookmarkStart w:id="61" w:name="_Hlk213337772"/>
      <w:bookmarkEnd w:id="58"/>
      <w:bookmarkEnd w:id="59"/>
      <w:bookmarkEnd w:id="60"/>
      <w:bookmarkEnd w:id="61"/>
    </w:p>
    <w:p w14:paraId="19E98B08" w14:textId="77777777" w:rsidR="00312042" w:rsidRPr="00F567E1" w:rsidRDefault="00312042" w:rsidP="00312042">
      <w:pPr>
        <w:pStyle w:val="NormalNonumber"/>
        <w:tabs>
          <w:tab w:val="clear" w:pos="1247"/>
        </w:tabs>
        <w:ind w:firstLine="624"/>
        <w:rPr>
          <w:rFonts w:asciiTheme="majorBidi" w:hAnsiTheme="majorBidi" w:cstheme="majorBidi"/>
          <w:i/>
          <w:iCs/>
          <w:lang w:val="es-ES_tradnl"/>
        </w:rPr>
      </w:pPr>
      <w:r w:rsidRPr="00F567E1">
        <w:rPr>
          <w:i/>
          <w:iCs/>
          <w:lang w:val="es-ES_tradnl"/>
        </w:rPr>
        <w:t>La Conferencia de las Partes,</w:t>
      </w:r>
    </w:p>
    <w:p w14:paraId="2F876F6C" w14:textId="50C8334B" w:rsidR="00312042" w:rsidRPr="00F567E1" w:rsidRDefault="00312042" w:rsidP="00312042">
      <w:pPr>
        <w:pStyle w:val="NormalNonumber"/>
        <w:tabs>
          <w:tab w:val="clear" w:pos="1247"/>
        </w:tabs>
        <w:ind w:firstLine="624"/>
        <w:rPr>
          <w:rFonts w:asciiTheme="majorBidi" w:eastAsia="Calibri" w:hAnsiTheme="majorBidi" w:cstheme="majorBidi"/>
          <w:lang w:val="es-ES_tradnl"/>
        </w:rPr>
      </w:pPr>
      <w:r w:rsidRPr="00F567E1">
        <w:rPr>
          <w:i/>
          <w:iCs/>
          <w:lang w:val="es-ES_tradnl"/>
        </w:rPr>
        <w:t>Recordando</w:t>
      </w:r>
      <w:r w:rsidRPr="00F567E1">
        <w:rPr>
          <w:lang w:val="es-ES_tradnl"/>
        </w:rPr>
        <w:t xml:space="preserve"> los Derechos de los Pueblos Indígenas establecidos en la Declaración de las Naciones Unidas sobre los Derechos de los Pueblos Indígenas, y que tanto los Pueblos Indígenas como las comunidades locales sufren de forma desproporcionada los efectos de la contaminación por mercurio,</w:t>
      </w:r>
    </w:p>
    <w:p w14:paraId="79CA60F1" w14:textId="53A0B2B9"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Resaltando</w:t>
      </w:r>
      <w:r w:rsidRPr="00F567E1">
        <w:rPr>
          <w:lang w:val="es-ES_tradnl"/>
        </w:rPr>
        <w:t xml:space="preserve"> que tanto a los Pueblos Indígenas como a las comunidades locales debe corresponderles un papel importante en la aplicación del Convenio de Minamata sobre el Mercurio, y recalcando que su compromiso y cooperación plenos y efectivos en las reuniones y procesos en virtud del Convenio son esenciales para lograr el objetivo de este,</w:t>
      </w:r>
    </w:p>
    <w:p w14:paraId="63F5EE2B" w14:textId="51CEB899"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Tomando nota</w:t>
      </w:r>
      <w:r w:rsidRPr="00F567E1">
        <w:rPr>
          <w:lang w:val="es-ES_tradnl"/>
        </w:rPr>
        <w:t xml:space="preserve"> de los resultados de la encuesta sobre las necesidades y prioridades de los Pueblos Indígenas, así como de las comunidades locales, en relación con los efectos del mercurio sobre su salud, medios de vida, cultura y conocimientos, y reconociendo que el compromiso y la cooperación efectivos en la labor del Convenio son una gran prioridad para esos grupos a la hora de abordar la contaminación por mercurio,</w:t>
      </w:r>
    </w:p>
    <w:p w14:paraId="6CBEC1C2" w14:textId="028CA7BE"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Acogiendo con beneplácito</w:t>
      </w:r>
      <w:r w:rsidRPr="00F567E1">
        <w:rPr>
          <w:lang w:val="es-ES_tradnl"/>
        </w:rPr>
        <w:t xml:space="preserve"> los esfuerzos de la Secretaría por desarrollar la Plataforma de los Pueblos Indígenas, y alentando a las Partes y otros interesados pertinentes a que sigan promoviendo políticas que permitan a los Pueblos Indígenas, así como a las comunidades locales, beneficiarse de la difusión de información, la sensibilización y la educación sobre las emisiones y liberaciones de mercurio, y contribuir a esas actividades,</w:t>
      </w:r>
    </w:p>
    <w:p w14:paraId="6D1C1D05" w14:textId="690BD58D" w:rsidR="00312042" w:rsidRPr="00F567E1" w:rsidRDefault="00312042" w:rsidP="00A1197C">
      <w:pPr>
        <w:pStyle w:val="NormalNonumber"/>
        <w:tabs>
          <w:tab w:val="clear" w:pos="1247"/>
        </w:tabs>
        <w:ind w:firstLine="624"/>
        <w:rPr>
          <w:rFonts w:asciiTheme="majorBidi" w:hAnsiTheme="majorBidi" w:cstheme="majorBidi"/>
          <w:strike/>
          <w:lang w:val="es-ES_tradnl"/>
        </w:rPr>
      </w:pPr>
      <w:r w:rsidRPr="00F567E1">
        <w:rPr>
          <w:i/>
          <w:iCs/>
          <w:lang w:val="es-ES_tradnl"/>
        </w:rPr>
        <w:t>Recordando</w:t>
      </w:r>
      <w:r w:rsidRPr="00F567E1">
        <w:rPr>
          <w:lang w:val="es-ES_tradnl"/>
        </w:rPr>
        <w:t xml:space="preserve"> la decisión MC</w:t>
      </w:r>
      <w:r w:rsidRPr="00F567E1">
        <w:rPr>
          <w:lang w:val="es-ES_tradnl"/>
        </w:rPr>
        <w:noBreakHyphen/>
        <w:t>5/1, relativa a los efectos de la contaminación por mercurio en los Pueblos Indígenas y las comunidades locales,</w:t>
      </w:r>
    </w:p>
    <w:p w14:paraId="6A92383C" w14:textId="7EA94ABB" w:rsidR="00312042" w:rsidRPr="00F567E1" w:rsidRDefault="00312042" w:rsidP="00312042">
      <w:pPr>
        <w:pStyle w:val="NormalNonumber"/>
        <w:numPr>
          <w:ilvl w:val="0"/>
          <w:numId w:val="6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Insta</w:t>
      </w:r>
      <w:r w:rsidRPr="00F567E1">
        <w:rPr>
          <w:lang w:val="es-ES_tradnl"/>
        </w:rPr>
        <w:t xml:space="preserve"> a las Partes, e invita a los Estados que no son Partes en el Convenio de Minamata sobre el Mercurio, así como a las organizaciones gubernamentales, intergubernamentales y no gubernamentales y a otras entidades, a que presten apoyo a la participación efectiva de los Pueblos Indígenas, así como de las comunidades locales, según proceda, en particular los de las regiones desproporcionadamente afectadas por la contaminación por mercurio, en los trabajos y reuniones desarrollados en virtud del Convenio, en particular mediante contribuciones voluntarias al fondo fiduciario especial del Convenio;</w:t>
      </w:r>
    </w:p>
    <w:p w14:paraId="06843389" w14:textId="77777777" w:rsidR="00312042" w:rsidRPr="00F567E1" w:rsidRDefault="00312042" w:rsidP="00312042">
      <w:pPr>
        <w:pStyle w:val="NormalNonumber"/>
        <w:numPr>
          <w:ilvl w:val="0"/>
          <w:numId w:val="63"/>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es-ES_tradnl"/>
        </w:rPr>
      </w:pPr>
      <w:r w:rsidRPr="00F567E1">
        <w:rPr>
          <w:i/>
          <w:iCs/>
          <w:lang w:val="es-ES_tradnl"/>
        </w:rPr>
        <w:t>Solicita</w:t>
      </w:r>
      <w:r w:rsidRPr="00F567E1">
        <w:rPr>
          <w:lang w:val="es-ES_tradnl"/>
        </w:rPr>
        <w:t xml:space="preserve"> a la Secretaría que:</w:t>
      </w:r>
    </w:p>
    <w:p w14:paraId="18B9CB2A" w14:textId="6EFDE563" w:rsidR="00312042" w:rsidRPr="00F567E1" w:rsidRDefault="00312042" w:rsidP="00312042">
      <w:pPr>
        <w:pStyle w:val="NormalNonumber"/>
        <w:numPr>
          <w:ilvl w:val="0"/>
          <w:numId w:val="64"/>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es-ES_tradnl"/>
        </w:rPr>
      </w:pPr>
      <w:r w:rsidRPr="00F567E1">
        <w:rPr>
          <w:lang w:val="es-ES_tradnl"/>
        </w:rPr>
        <w:t>Recabe el asesoramiento de los Pueblos Indígenas, así como de las comunidades locales, a través de las organizaciones de Pueblos Indígenas acreditadas ante el Convenio, las organizaciones de comunidades locales acreditadas ante el Convenio y el Foro Internacional de Pueblos Indígenas sobre el Mercurio, en relación con las medidas que podrían adoptarse para fortalecer su cooperación efectiva en la labor del Convenio y con los próximos pasos propuestos;</w:t>
      </w:r>
    </w:p>
    <w:p w14:paraId="2AB3CD2C" w14:textId="75BBF5F0" w:rsidR="00312042" w:rsidRPr="00F567E1" w:rsidRDefault="00312042" w:rsidP="00312042">
      <w:pPr>
        <w:pStyle w:val="NormalNonumber"/>
        <w:numPr>
          <w:ilvl w:val="0"/>
          <w:numId w:val="64"/>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es-ES_tradnl"/>
        </w:rPr>
      </w:pPr>
      <w:r w:rsidRPr="00F567E1">
        <w:rPr>
          <w:lang w:val="es-ES_tradnl"/>
        </w:rPr>
        <w:t>Comunique las oportunidades de cooperación y apoyo en la Plataforma de los Pueblos Indígenas;</w:t>
      </w:r>
    </w:p>
    <w:p w14:paraId="4ED2CC54" w14:textId="77777777" w:rsidR="00312042" w:rsidRPr="00F567E1" w:rsidRDefault="00312042" w:rsidP="00312042">
      <w:pPr>
        <w:pStyle w:val="NormalNonumber"/>
        <w:numPr>
          <w:ilvl w:val="0"/>
          <w:numId w:val="64"/>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es-ES_tradnl"/>
        </w:rPr>
      </w:pPr>
      <w:r w:rsidRPr="00F567E1">
        <w:rPr>
          <w:lang w:val="es-ES_tradnl"/>
        </w:rPr>
        <w:t>Colabore con la Oficina del Alto Comisionado de las Naciones Unidas para los Derechos Humanos, la Secretaría del Convenio sobre la Diversidad Biológica y otras organizaciones e interesados pertinentes, según proceda, para seguir reforzando la cooperación efectiva en relación con la contaminación por mercurio;</w:t>
      </w:r>
    </w:p>
    <w:p w14:paraId="07F586F7" w14:textId="060C5E8A" w:rsidR="00312042" w:rsidRPr="00F567E1" w:rsidRDefault="00312042" w:rsidP="00312042">
      <w:pPr>
        <w:pStyle w:val="NormalNonumber"/>
        <w:numPr>
          <w:ilvl w:val="0"/>
          <w:numId w:val="64"/>
        </w:numPr>
        <w:tabs>
          <w:tab w:val="clear" w:pos="1247"/>
          <w:tab w:val="clear" w:pos="1871"/>
          <w:tab w:val="clear" w:pos="2495"/>
          <w:tab w:val="clear" w:pos="3119"/>
          <w:tab w:val="clear" w:pos="3742"/>
          <w:tab w:val="clear" w:pos="4366"/>
          <w:tab w:val="clear" w:pos="4990"/>
        </w:tabs>
        <w:ind w:left="1247" w:firstLine="624"/>
        <w:rPr>
          <w:rFonts w:asciiTheme="majorBidi" w:eastAsia="Calibri" w:hAnsiTheme="majorBidi" w:cstheme="majorBidi"/>
          <w:lang w:val="es-ES_tradnl"/>
        </w:rPr>
        <w:sectPr w:rsidR="00312042" w:rsidRPr="00F567E1" w:rsidSect="00E84D8D">
          <w:type w:val="continuous"/>
          <w:pgSz w:w="11906" w:h="16838" w:code="9"/>
          <w:pgMar w:top="907" w:right="992" w:bottom="1418" w:left="1418" w:header="539" w:footer="975" w:gutter="0"/>
          <w:cols w:space="539"/>
          <w:docGrid w:linePitch="360"/>
        </w:sectPr>
      </w:pPr>
      <w:r w:rsidRPr="00F567E1">
        <w:rPr>
          <w:lang w:val="es-ES_tradnl"/>
        </w:rPr>
        <w:t>Rinda informe a la Conferencia de las Partes, en su séptima reunión, sobre la aplicación de la presente decisión.</w:t>
      </w:r>
    </w:p>
    <w:p w14:paraId="71475A0A" w14:textId="77777777" w:rsidR="00312042" w:rsidRPr="00F567E1" w:rsidRDefault="00312042" w:rsidP="00312042">
      <w:pPr>
        <w:pStyle w:val="Normal-pool"/>
        <w:rPr>
          <w:lang w:val="es-ES_tradnl"/>
        </w:rPr>
      </w:pPr>
      <w:r w:rsidRPr="00F567E1">
        <w:rPr>
          <w:lang w:val="es-ES_tradnl"/>
        </w:rPr>
        <w:br w:type="page"/>
      </w:r>
    </w:p>
    <w:p w14:paraId="59562732" w14:textId="02621ED3" w:rsidR="00312042" w:rsidRPr="00F567E1" w:rsidRDefault="00312042" w:rsidP="002819FE">
      <w:pPr>
        <w:pStyle w:val="CH2"/>
        <w:outlineLvl w:val="0"/>
        <w:rPr>
          <w:lang w:val="es-ES_tradnl"/>
        </w:rPr>
      </w:pPr>
      <w:bookmarkStart w:id="62" w:name="_Toc213853073"/>
      <w:r w:rsidRPr="00F567E1">
        <w:rPr>
          <w:lang w:val="es-ES_tradnl"/>
        </w:rPr>
        <w:lastRenderedPageBreak/>
        <w:tab/>
      </w:r>
      <w:r w:rsidRPr="00F567E1">
        <w:rPr>
          <w:lang w:val="es-ES_tradnl"/>
        </w:rPr>
        <w:tab/>
      </w:r>
      <w:bookmarkStart w:id="63" w:name="_Toc223088521"/>
      <w:r w:rsidRPr="00F567E1">
        <w:rPr>
          <w:lang w:val="es-ES_tradnl"/>
        </w:rPr>
        <w:t>Decisión MC</w:t>
      </w:r>
      <w:r w:rsidRPr="00F567E1">
        <w:rPr>
          <w:lang w:val="es-ES_tradnl"/>
        </w:rPr>
        <w:noBreakHyphen/>
        <w:t>6/16: formas de abordar problemas de salud de las mujeres y los niños</w:t>
      </w:r>
      <w:bookmarkStart w:id="64" w:name="_Toc219712814"/>
      <w:bookmarkEnd w:id="62"/>
      <w:bookmarkEnd w:id="63"/>
      <w:bookmarkEnd w:id="64"/>
    </w:p>
    <w:p w14:paraId="592A82DA" w14:textId="77777777" w:rsidR="00312042" w:rsidRPr="00F567E1" w:rsidRDefault="00312042" w:rsidP="00312042">
      <w:pPr>
        <w:pStyle w:val="Normal-pool"/>
        <w:tabs>
          <w:tab w:val="clear" w:pos="1247"/>
        </w:tabs>
        <w:spacing w:after="120"/>
        <w:ind w:left="1247" w:firstLine="624"/>
        <w:rPr>
          <w:rFonts w:asciiTheme="majorBidi" w:hAnsiTheme="majorBidi" w:cstheme="majorBidi"/>
          <w:i/>
          <w:iCs/>
          <w:lang w:val="es-ES_tradnl"/>
        </w:rPr>
      </w:pPr>
      <w:r w:rsidRPr="00F567E1">
        <w:rPr>
          <w:i/>
          <w:iCs/>
          <w:lang w:val="es-ES_tradnl"/>
        </w:rPr>
        <w:t>La Conferencia de las Partes,</w:t>
      </w:r>
    </w:p>
    <w:p w14:paraId="4EEACF4B" w14:textId="274C3513" w:rsidR="00312042" w:rsidRPr="00F567E1"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 xml:space="preserve">Toma nota con aprecio </w:t>
      </w:r>
      <w:r w:rsidRPr="00F567E1">
        <w:rPr>
          <w:lang w:val="es-ES_tradnl"/>
        </w:rPr>
        <w:t>de las actividades realizadas por la Secretaría, las Partes y otros interesados durante el bienio 2024</w:t>
      </w:r>
      <w:r w:rsidR="009A7E28" w:rsidRPr="00F567E1">
        <w:rPr>
          <w:lang w:val="es-ES_tradnl"/>
        </w:rPr>
        <w:t>-</w:t>
      </w:r>
      <w:r w:rsidRPr="00F567E1">
        <w:rPr>
          <w:lang w:val="es-ES_tradnl"/>
        </w:rPr>
        <w:t>2025, como se sugiere en la decisión MC</w:t>
      </w:r>
      <w:r w:rsidRPr="00F567E1">
        <w:rPr>
          <w:lang w:val="es-ES_tradnl"/>
        </w:rPr>
        <w:noBreakHyphen/>
        <w:t>5/15, relativa al Plan de Acción sobre el Género, incluidas las actividades destinadas a abordar los problemas de salud de las mujeres y los niños;</w:t>
      </w:r>
    </w:p>
    <w:p w14:paraId="211F51E1" w14:textId="4F122AB1" w:rsidR="00312042" w:rsidRPr="00F567E1"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a que sigan aplicando la decisión MC</w:t>
      </w:r>
      <w:r w:rsidRPr="00F567E1">
        <w:rPr>
          <w:lang w:val="es-ES_tradnl"/>
        </w:rPr>
        <w:noBreakHyphen/>
        <w:t>5/15, relativa al Plan de Acción sobre el Género, también para abordar los problemas de salud de las mujeres y los niños durante el bienio 2026</w:t>
      </w:r>
      <w:r w:rsidR="009A7E28" w:rsidRPr="00F567E1">
        <w:rPr>
          <w:lang w:val="es-ES_tradnl"/>
        </w:rPr>
        <w:t>-</w:t>
      </w:r>
      <w:r w:rsidRPr="00F567E1">
        <w:rPr>
          <w:lang w:val="es-ES_tradnl"/>
        </w:rPr>
        <w:t>2027</w:t>
      </w:r>
      <w:r w:rsidRPr="00F567E1">
        <w:rPr>
          <w:rStyle w:val="FootnoteReference"/>
          <w:rFonts w:cstheme="majorBidi"/>
          <w:lang w:val="es-ES_tradnl"/>
        </w:rPr>
        <w:footnoteReference w:id="24"/>
      </w:r>
      <w:r w:rsidRPr="00F567E1">
        <w:rPr>
          <w:lang w:val="es-ES_tradnl"/>
        </w:rPr>
        <w:t>, y a que compartan con la Secretaría sus experiencias y buenas prácticas conexas;</w:t>
      </w:r>
    </w:p>
    <w:p w14:paraId="4994F237" w14:textId="01F2866C" w:rsidR="00312042" w:rsidRPr="00F567E1"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Invita también</w:t>
      </w:r>
      <w:r w:rsidRPr="00F567E1">
        <w:rPr>
          <w:lang w:val="es-ES_tradnl"/>
        </w:rPr>
        <w:t xml:space="preserve"> a las Partes a que formulen observaciones, según proceda, sobre actividades que podrían llevar a cabo la Secretaría, las Partes y otros interesados durante el bienio</w:t>
      </w:r>
      <w:r w:rsidR="005F504B" w:rsidRPr="00F567E1">
        <w:rPr>
          <w:lang w:val="es-ES_tradnl"/>
        </w:rPr>
        <w:t> </w:t>
      </w:r>
      <w:r w:rsidRPr="00F567E1">
        <w:rPr>
          <w:lang w:val="es-ES_tradnl"/>
        </w:rPr>
        <w:t>2028</w:t>
      </w:r>
      <w:r w:rsidR="009A7E28" w:rsidRPr="00F567E1">
        <w:rPr>
          <w:lang w:val="es-ES_tradnl"/>
        </w:rPr>
        <w:t>-</w:t>
      </w:r>
      <w:r w:rsidRPr="00F567E1">
        <w:rPr>
          <w:lang w:val="es-ES_tradnl"/>
        </w:rPr>
        <w:t>2029;</w:t>
      </w:r>
    </w:p>
    <w:p w14:paraId="721CFAC6" w14:textId="6D3F91B1" w:rsidR="00312042" w:rsidRPr="00F567E1"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que lleve a cabo actividades durante el bienio 2026</w:t>
      </w:r>
      <w:r w:rsidR="009A7E28" w:rsidRPr="00F567E1">
        <w:rPr>
          <w:lang w:val="es-ES_tradnl"/>
        </w:rPr>
        <w:t>-</w:t>
      </w:r>
      <w:r w:rsidRPr="00F567E1">
        <w:rPr>
          <w:lang w:val="es-ES_tradnl"/>
        </w:rPr>
        <w:t>2027</w:t>
      </w:r>
      <w:r w:rsidRPr="00F567E1">
        <w:rPr>
          <w:rStyle w:val="FootnoteReference"/>
          <w:rFonts w:asciiTheme="majorBidi" w:hAnsiTheme="majorBidi" w:cstheme="majorBidi"/>
          <w:lang w:val="es-ES_tradnl"/>
        </w:rPr>
        <w:footnoteReference w:id="25"/>
      </w:r>
      <w:r w:rsidRPr="00F567E1">
        <w:rPr>
          <w:lang w:val="es-ES_tradnl"/>
        </w:rPr>
        <w:t>, en función de la disponibilidad de recursos;</w:t>
      </w:r>
    </w:p>
    <w:p w14:paraId="5CCD731E" w14:textId="3A446E63" w:rsidR="00312042" w:rsidRPr="00F567E1" w:rsidRDefault="00312042" w:rsidP="00312042">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sectPr w:rsidR="00312042" w:rsidRPr="00F567E1" w:rsidSect="00E84D8D">
          <w:footnotePr>
            <w:numRestart w:val="eachSect"/>
          </w:footnotePr>
          <w:type w:val="continuous"/>
          <w:pgSz w:w="11906" w:h="16838" w:code="9"/>
          <w:pgMar w:top="907" w:right="992" w:bottom="1418" w:left="1418" w:header="539" w:footer="975" w:gutter="0"/>
          <w:cols w:space="539"/>
          <w:docGrid w:linePitch="360"/>
        </w:sectPr>
      </w:pPr>
      <w:r w:rsidRPr="00F567E1">
        <w:rPr>
          <w:i/>
          <w:iCs/>
          <w:lang w:val="es-ES_tradnl"/>
        </w:rPr>
        <w:t>Solicita también</w:t>
      </w:r>
      <w:r w:rsidRPr="00F567E1">
        <w:rPr>
          <w:lang w:val="es-ES_tradnl"/>
        </w:rPr>
        <w:t xml:space="preserve"> a la Secretaría que rinda informe a la Conferencia de las Partes sobre la aplicación de la presente decisión y proponga actividades que podrían realizar la Secretaría, las Partes y otros interesados durante el bienio 2028</w:t>
      </w:r>
      <w:r w:rsidR="009A7E28" w:rsidRPr="00F567E1">
        <w:rPr>
          <w:lang w:val="es-ES_tradnl"/>
        </w:rPr>
        <w:t>-</w:t>
      </w:r>
      <w:r w:rsidRPr="00F567E1">
        <w:rPr>
          <w:lang w:val="es-ES_tradnl"/>
        </w:rPr>
        <w:t>2029, según proceda, para que la Conferencia las examine en su séptima reunión.</w:t>
      </w:r>
    </w:p>
    <w:p w14:paraId="50C62309" w14:textId="77777777" w:rsidR="00312042" w:rsidRPr="00F567E1" w:rsidRDefault="00312042" w:rsidP="00312042">
      <w:pPr>
        <w:spacing w:after="160" w:line="278" w:lineRule="auto"/>
        <w:rPr>
          <w:rFonts w:asciiTheme="majorBidi" w:hAnsiTheme="majorBidi" w:cstheme="majorBidi"/>
          <w:lang w:val="es-ES_tradnl"/>
        </w:rPr>
      </w:pPr>
      <w:r w:rsidRPr="00F567E1">
        <w:rPr>
          <w:rFonts w:asciiTheme="majorBidi" w:hAnsiTheme="majorBidi" w:cstheme="majorBidi"/>
          <w:lang w:val="es-ES_tradnl"/>
        </w:rPr>
        <w:br w:type="page"/>
      </w:r>
    </w:p>
    <w:p w14:paraId="5C3AE1A4" w14:textId="42D70914" w:rsidR="00312042" w:rsidRPr="00F567E1" w:rsidRDefault="00312042" w:rsidP="002819FE">
      <w:pPr>
        <w:pStyle w:val="CH2"/>
        <w:outlineLvl w:val="0"/>
        <w:rPr>
          <w:lang w:val="es-ES_tradnl"/>
        </w:rPr>
      </w:pPr>
      <w:bookmarkStart w:id="65" w:name="_Toc213853074"/>
      <w:r w:rsidRPr="00F567E1">
        <w:rPr>
          <w:lang w:val="es-ES_tradnl"/>
        </w:rPr>
        <w:lastRenderedPageBreak/>
        <w:tab/>
      </w:r>
      <w:r w:rsidRPr="00F567E1">
        <w:rPr>
          <w:lang w:val="es-ES_tradnl"/>
        </w:rPr>
        <w:tab/>
      </w:r>
      <w:bookmarkStart w:id="66" w:name="_Toc223088522"/>
      <w:r w:rsidRPr="00F567E1">
        <w:rPr>
          <w:lang w:val="es-ES_tradnl"/>
        </w:rPr>
        <w:t>Decisión MC</w:t>
      </w:r>
      <w:r w:rsidRPr="00F567E1">
        <w:rPr>
          <w:lang w:val="es-ES_tradnl"/>
        </w:rPr>
        <w:noBreakHyphen/>
        <w:t>6/17: gestión del conocimiento y aplicación de la estrategia digital</w:t>
      </w:r>
      <w:bookmarkStart w:id="67" w:name="_Toc219712815"/>
      <w:bookmarkEnd w:id="65"/>
      <w:bookmarkEnd w:id="66"/>
      <w:bookmarkEnd w:id="67"/>
    </w:p>
    <w:p w14:paraId="59EF3475" w14:textId="77777777" w:rsidR="00312042" w:rsidRPr="00F567E1" w:rsidRDefault="00312042" w:rsidP="00312042">
      <w:pPr>
        <w:pStyle w:val="Normal-pool"/>
        <w:tabs>
          <w:tab w:val="clear" w:pos="1247"/>
        </w:tabs>
        <w:spacing w:after="120"/>
        <w:ind w:left="1247" w:firstLine="624"/>
        <w:rPr>
          <w:rFonts w:asciiTheme="majorBidi" w:hAnsiTheme="majorBidi" w:cstheme="majorBidi"/>
          <w:i/>
          <w:iCs/>
          <w:lang w:val="es-ES_tradnl"/>
        </w:rPr>
      </w:pPr>
      <w:r w:rsidRPr="00F567E1">
        <w:rPr>
          <w:i/>
          <w:iCs/>
          <w:lang w:val="es-ES_tradnl"/>
        </w:rPr>
        <w:t>La Conferencia de las Partes,</w:t>
      </w:r>
    </w:p>
    <w:p w14:paraId="48BC4B37" w14:textId="019B868B"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Recordando</w:t>
      </w:r>
      <w:r w:rsidRPr="00F567E1">
        <w:rPr>
          <w:lang w:val="es-ES_tradnl"/>
        </w:rPr>
        <w:t xml:space="preserve"> la estrategia digital de la Secretaría del Convenio de Minamata sobre el Mercurio</w:t>
      </w:r>
      <w:r w:rsidR="0036758B" w:rsidRPr="00F567E1">
        <w:rPr>
          <w:rStyle w:val="FootnoteReference"/>
          <w:rFonts w:cstheme="majorBidi"/>
          <w:lang w:val="es-ES_tradnl"/>
        </w:rPr>
        <w:footnoteReference w:id="26"/>
      </w:r>
      <w:r w:rsidRPr="00F567E1">
        <w:rPr>
          <w:lang w:val="es-ES_tradnl"/>
        </w:rPr>
        <w:t>, observada con aprecio en la decisión MC</w:t>
      </w:r>
      <w:r w:rsidRPr="00F567E1">
        <w:rPr>
          <w:lang w:val="es-ES_tradnl"/>
        </w:rPr>
        <w:noBreakHyphen/>
        <w:t>5/16, para guiar los trabajos de la Secretaría a la</w:t>
      </w:r>
      <w:r w:rsidR="009A7E28" w:rsidRPr="00F567E1">
        <w:rPr>
          <w:lang w:val="es-ES_tradnl"/>
        </w:rPr>
        <w:t> </w:t>
      </w:r>
      <w:r w:rsidRPr="00F567E1">
        <w:rPr>
          <w:lang w:val="es-ES_tradnl"/>
        </w:rPr>
        <w:t>hora de servirse de la tecnología y gestionar el conocimiento de forma eficaz para ayudar a aplicar el Convenio,</w:t>
      </w:r>
    </w:p>
    <w:p w14:paraId="7A9E473B" w14:textId="77777777"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Poniendo de relieve</w:t>
      </w:r>
      <w:r w:rsidRPr="00F567E1">
        <w:rPr>
          <w:lang w:val="es-ES_tradnl"/>
        </w:rPr>
        <w:t xml:space="preserve"> los beneficios de la digitalización en la gestión del conocimiento y la creación de capacidad para avanzar en la consecución del objetivo del Convenio, de acuerdo con la visión de futuro de la iniciativa Naciones Unidas 2.0 de fomentar la innovación, la colaboración y una cultura digital en todo el sistema de las Naciones Unidas,</w:t>
      </w:r>
    </w:p>
    <w:p w14:paraId="251FA2DD" w14:textId="73688F1D"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Reconociendo</w:t>
      </w:r>
      <w:r w:rsidRPr="00F567E1">
        <w:rPr>
          <w:lang w:val="es-ES_tradnl"/>
        </w:rPr>
        <w:t xml:space="preserve"> la necesidad de intercambiar información de conformidad con los artículos 17 y</w:t>
      </w:r>
      <w:r w:rsidR="007344B0" w:rsidRPr="00F567E1">
        <w:rPr>
          <w:lang w:val="es-ES_tradnl"/>
        </w:rPr>
        <w:t> </w:t>
      </w:r>
      <w:r w:rsidRPr="00F567E1">
        <w:rPr>
          <w:lang w:val="es-ES_tradnl"/>
        </w:rPr>
        <w:t>24 del Convenio para facilitar la cooperación en el intercambio de información entre las Partes y los interesados pertinentes,</w:t>
      </w:r>
    </w:p>
    <w:p w14:paraId="49B7B8A6" w14:textId="522F54ED"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lang w:val="es-ES_tradnl"/>
        </w:rPr>
        <w:t>1.</w:t>
      </w:r>
      <w:r w:rsidRPr="00F567E1">
        <w:rPr>
          <w:lang w:val="es-ES_tradnl"/>
        </w:rPr>
        <w:tab/>
      </w:r>
      <w:r w:rsidRPr="00F567E1">
        <w:rPr>
          <w:i/>
          <w:iCs/>
          <w:lang w:val="es-ES_tradnl"/>
        </w:rPr>
        <w:t>Acoge con beneplácito</w:t>
      </w:r>
      <w:r w:rsidRPr="00F567E1">
        <w:rPr>
          <w:lang w:val="es-ES_tradnl"/>
        </w:rPr>
        <w:t xml:space="preserve"> los progresos realizados por la Secretaría en la aplicación de la estrategia digital durante el bienio 2024–2025</w:t>
      </w:r>
      <w:r w:rsidR="00086C02" w:rsidRPr="00F567E1">
        <w:rPr>
          <w:rFonts w:asciiTheme="majorBidi" w:hAnsiTheme="majorBidi" w:cstheme="majorBidi"/>
          <w:shd w:val="clear" w:color="auto" w:fill="FFFFFF"/>
          <w:vertAlign w:val="superscript"/>
          <w:lang w:val="es-ES_tradnl"/>
        </w:rPr>
        <w:footnoteReference w:id="27"/>
      </w:r>
      <w:r w:rsidRPr="00F567E1">
        <w:rPr>
          <w:lang w:val="es-ES_tradnl"/>
        </w:rPr>
        <w:t>;</w:t>
      </w:r>
    </w:p>
    <w:p w14:paraId="28339345" w14:textId="77777777"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lang w:val="es-ES_tradnl"/>
        </w:rPr>
        <w:t>2.</w:t>
      </w:r>
      <w:r w:rsidRPr="00F567E1">
        <w:rPr>
          <w:lang w:val="es-ES_tradnl"/>
        </w:rPr>
        <w:tab/>
      </w:r>
      <w:r w:rsidRPr="00F567E1">
        <w:rPr>
          <w:i/>
          <w:iCs/>
          <w:lang w:val="es-ES_tradnl"/>
        </w:rPr>
        <w:t>Solicita</w:t>
      </w:r>
      <w:r w:rsidRPr="00F567E1">
        <w:rPr>
          <w:lang w:val="es-ES_tradnl"/>
        </w:rPr>
        <w:t xml:space="preserve"> a la Secretaría que continúe la aplicación de la estrategia digital de conformidad con el programa de trabajo y presupuesto del Convenio de Minamata sobre el Mercurio para el bienio 2026–2027 y que dé prioridad a las actividades pertinentes para el avance progresivo de la estrategia en futuros bienios, incluidas las posibilidades de empleo de la inteligencia artificial;</w:t>
      </w:r>
    </w:p>
    <w:p w14:paraId="5DA5852C" w14:textId="693CA163"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lang w:val="es-ES_tradnl"/>
        </w:rPr>
        <w:t>3.</w:t>
      </w:r>
      <w:r w:rsidRPr="00F567E1">
        <w:rPr>
          <w:lang w:val="es-ES_tradnl"/>
        </w:rPr>
        <w:tab/>
      </w:r>
      <w:r w:rsidRPr="00F567E1">
        <w:rPr>
          <w:i/>
          <w:iCs/>
          <w:lang w:val="es-ES_tradnl"/>
        </w:rPr>
        <w:t>Reconoce</w:t>
      </w:r>
      <w:r w:rsidRPr="00F567E1">
        <w:rPr>
          <w:lang w:val="es-ES_tradnl"/>
        </w:rPr>
        <w:t xml:space="preserve"> que el sitio web del Convenio es la principal fuente de información pública y de conocimiento sobre el Convenio, y solicita a la Secretaría que se ocupe de mantenerlo actualizado de conformidad con la estrategia digital;</w:t>
      </w:r>
    </w:p>
    <w:p w14:paraId="31F2D149" w14:textId="0DE8680B"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lang w:val="es-ES_tradnl"/>
        </w:rPr>
        <w:t>4.</w:t>
      </w:r>
      <w:r w:rsidRPr="00F567E1">
        <w:rPr>
          <w:lang w:val="es-ES_tradnl"/>
        </w:rPr>
        <w:tab/>
      </w:r>
      <w:r w:rsidRPr="00F567E1">
        <w:rPr>
          <w:i/>
          <w:iCs/>
          <w:lang w:val="es-ES_tradnl"/>
        </w:rPr>
        <w:t>Conviene</w:t>
      </w:r>
      <w:r w:rsidRPr="00F567E1">
        <w:rPr>
          <w:lang w:val="es-ES_tradnl"/>
        </w:rPr>
        <w:t xml:space="preserve"> en apoyar el desarrollo de la Plataforma de Intercambio del Convenio de Minamata como vehículo </w:t>
      </w:r>
      <w:proofErr w:type="spellStart"/>
      <w:r w:rsidRPr="00F567E1">
        <w:rPr>
          <w:lang w:val="es-ES_tradnl"/>
        </w:rPr>
        <w:t>costoeficiente</w:t>
      </w:r>
      <w:proofErr w:type="spellEnd"/>
      <w:r w:rsidRPr="00F567E1">
        <w:rPr>
          <w:lang w:val="es-ES_tradnl"/>
        </w:rPr>
        <w:t xml:space="preserve"> y transparente para intercambiar información de conformidad con los artículos 17 y 24, en función de la disponibilidad de recursos;</w:t>
      </w:r>
    </w:p>
    <w:p w14:paraId="4B53B15D" w14:textId="13D97EEE"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lang w:val="es-ES_tradnl"/>
        </w:rPr>
        <w:t>5.</w:t>
      </w:r>
      <w:r w:rsidRPr="00F567E1">
        <w:rPr>
          <w:lang w:val="es-ES_tradnl"/>
        </w:rPr>
        <w:tab/>
      </w:r>
      <w:r w:rsidRPr="00F567E1">
        <w:rPr>
          <w:i/>
          <w:iCs/>
          <w:lang w:val="es-ES_tradnl"/>
        </w:rPr>
        <w:t>Alienta</w:t>
      </w:r>
      <w:r w:rsidRPr="00F567E1">
        <w:rPr>
          <w:lang w:val="es-ES_tradnl"/>
        </w:rPr>
        <w:t xml:space="preserve"> a la Secretaría a que, en función de la disponibilidad de recursos, prosiga las actividades de cooperación y coordinación con la Asociación Mundial sobre el Mercurio para promover las iniciativas de conocimientos compartidos sobre cuestiones relacionadas con el mercurio, incluida la elaboración conjunta de productos de datos, herramientas de comunicación y plataformas de conocimientos, garantizando al mismo tiempo la complementariedad;</w:t>
      </w:r>
    </w:p>
    <w:p w14:paraId="64C82070" w14:textId="77777777"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lang w:val="es-ES_tradnl"/>
        </w:rPr>
        <w:t>6.</w:t>
      </w:r>
      <w:r w:rsidRPr="00F567E1">
        <w:rPr>
          <w:lang w:val="es-ES_tradnl"/>
        </w:rPr>
        <w:tab/>
      </w:r>
      <w:r w:rsidRPr="00F567E1">
        <w:rPr>
          <w:i/>
          <w:iCs/>
          <w:lang w:val="es-ES_tradnl"/>
        </w:rPr>
        <w:t>Solicita</w:t>
      </w:r>
      <w:r w:rsidRPr="00F567E1">
        <w:rPr>
          <w:lang w:val="es-ES_tradnl"/>
        </w:rPr>
        <w:t xml:space="preserve"> a la Secretaría que siga colaborando con las secretarías de otros acuerdos ambientales multilaterales y otros asociados, incluida la iniciativa Portal de Información de las Naciones Unidas sobre los Acuerdos Ambientales Multilaterales (</w:t>
      </w:r>
      <w:proofErr w:type="spellStart"/>
      <w:r w:rsidRPr="00F567E1">
        <w:rPr>
          <w:lang w:val="es-ES_tradnl"/>
        </w:rPr>
        <w:t>InforMEA</w:t>
      </w:r>
      <w:proofErr w:type="spellEnd"/>
      <w:r w:rsidRPr="00F567E1">
        <w:rPr>
          <w:lang w:val="es-ES_tradnl"/>
        </w:rPr>
        <w:t>), en la gestión del conocimiento, la digitalización y el intercambio de información;</w:t>
      </w:r>
    </w:p>
    <w:p w14:paraId="6C9158DA" w14:textId="77777777"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lang w:val="es-ES_tradnl"/>
        </w:rPr>
        <w:t>7.</w:t>
      </w:r>
      <w:r w:rsidRPr="00F567E1">
        <w:rPr>
          <w:lang w:val="es-ES_tradnl"/>
        </w:rPr>
        <w:tab/>
      </w:r>
      <w:r w:rsidRPr="00F567E1">
        <w:rPr>
          <w:i/>
          <w:iCs/>
          <w:lang w:val="es-ES_tradnl"/>
        </w:rPr>
        <w:t>Solicita también</w:t>
      </w:r>
      <w:r w:rsidRPr="00F567E1">
        <w:rPr>
          <w:lang w:val="es-ES_tradnl"/>
        </w:rPr>
        <w:t xml:space="preserve"> a la Secretaría que continúe su colaboración con la Secretaría del Convenio de Basilea sobre el Control de los Movimientos Transfronterizos de los Desechos Peligrosos y su Eliminación, el Convenio de Estocolmo sobre Contaminantes Orgánicos Persistentes y el Convenio de Rotterdam sobre el Procedimiento de Consentimiento Fundamentado Previo Aplicable a Ciertos Plaguicidas y Productos Químicos Peligrosos Objeto de Comercio Internacional a fin de intercambiar información y compartir experiencias y mejores prácticas relativas a la gestión del conocimiento y la digitalización;</w:t>
      </w:r>
    </w:p>
    <w:p w14:paraId="1F0AA02E" w14:textId="19E73F23"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sectPr w:rsidR="00312042" w:rsidRPr="00F567E1" w:rsidSect="00E84D8D">
          <w:footnotePr>
            <w:numRestart w:val="eachSect"/>
          </w:footnotePr>
          <w:type w:val="continuous"/>
          <w:pgSz w:w="11906" w:h="16838" w:code="9"/>
          <w:pgMar w:top="907" w:right="992" w:bottom="1418" w:left="1418" w:header="539" w:footer="975" w:gutter="0"/>
          <w:cols w:space="539"/>
          <w:docGrid w:linePitch="360"/>
        </w:sectPr>
      </w:pPr>
      <w:r w:rsidRPr="00F567E1">
        <w:rPr>
          <w:lang w:val="es-ES_tradnl"/>
        </w:rPr>
        <w:t>8.</w:t>
      </w:r>
      <w:r w:rsidRPr="00F567E1">
        <w:rPr>
          <w:lang w:val="es-ES_tradnl"/>
        </w:rPr>
        <w:tab/>
      </w:r>
      <w:r w:rsidRPr="00F567E1">
        <w:rPr>
          <w:i/>
          <w:iCs/>
          <w:lang w:val="es-ES_tradnl"/>
        </w:rPr>
        <w:t>Solicita además</w:t>
      </w:r>
      <w:r w:rsidRPr="00F567E1">
        <w:rPr>
          <w:lang w:val="es-ES_tradnl"/>
        </w:rPr>
        <w:t xml:space="preserve"> a la Secretaría que rinda informe de los progresos realizados en la aplicación de su estrategia digital a la Conferencia de las Partes en su 17ª reunión.</w:t>
      </w:r>
    </w:p>
    <w:p w14:paraId="75AFB749" w14:textId="77777777" w:rsidR="00312042" w:rsidRPr="00F567E1" w:rsidRDefault="00312042" w:rsidP="00312042">
      <w:pPr>
        <w:spacing w:after="160" w:line="278" w:lineRule="auto"/>
        <w:rPr>
          <w:rFonts w:asciiTheme="majorBidi" w:hAnsiTheme="majorBidi" w:cstheme="majorBidi"/>
          <w:lang w:val="es-ES_tradnl"/>
        </w:rPr>
      </w:pPr>
      <w:r w:rsidRPr="00F567E1">
        <w:rPr>
          <w:rFonts w:asciiTheme="majorBidi" w:hAnsiTheme="majorBidi" w:cstheme="majorBidi"/>
          <w:lang w:val="es-ES_tradnl"/>
        </w:rPr>
        <w:br w:type="page"/>
      </w:r>
    </w:p>
    <w:p w14:paraId="71175CA9" w14:textId="576DF0EA" w:rsidR="00312042" w:rsidRPr="00F567E1" w:rsidRDefault="00312042" w:rsidP="002819FE">
      <w:pPr>
        <w:pStyle w:val="CH2"/>
        <w:outlineLvl w:val="0"/>
        <w:rPr>
          <w:lang w:val="es-ES_tradnl"/>
        </w:rPr>
      </w:pPr>
      <w:bookmarkStart w:id="68" w:name="_Toc213853075"/>
      <w:r w:rsidRPr="00F567E1">
        <w:rPr>
          <w:lang w:val="es-ES_tradnl"/>
        </w:rPr>
        <w:lastRenderedPageBreak/>
        <w:tab/>
      </w:r>
      <w:r w:rsidRPr="00F567E1">
        <w:rPr>
          <w:lang w:val="es-ES_tradnl"/>
        </w:rPr>
        <w:tab/>
      </w:r>
      <w:bookmarkStart w:id="69" w:name="_Toc223088523"/>
      <w:r w:rsidRPr="00F567E1">
        <w:rPr>
          <w:lang w:val="es-ES_tradnl"/>
        </w:rPr>
        <w:t>Decisión MC</w:t>
      </w:r>
      <w:r w:rsidRPr="00F567E1">
        <w:rPr>
          <w:lang w:val="es-ES_tradnl"/>
        </w:rPr>
        <w:noBreakHyphen/>
        <w:t>6/18: hoja de ruta para aumentar los beneficios secundarios derivados de la aplicación del Convenio de Minamata sobre el Mercurio y el Marco Mundial de Biodiversidad de Kunming</w:t>
      </w:r>
      <w:r w:rsidRPr="00F567E1">
        <w:rPr>
          <w:lang w:val="es-ES_tradnl"/>
        </w:rPr>
        <w:noBreakHyphen/>
        <w:t>Montreal</w:t>
      </w:r>
      <w:bookmarkStart w:id="70" w:name="_Toc219712816"/>
      <w:bookmarkEnd w:id="68"/>
      <w:bookmarkEnd w:id="69"/>
      <w:bookmarkEnd w:id="70"/>
    </w:p>
    <w:p w14:paraId="284AA406" w14:textId="2FC01AA0" w:rsidR="00312042" w:rsidRPr="00F567E1" w:rsidRDefault="00312042" w:rsidP="00312042">
      <w:pPr>
        <w:tabs>
          <w:tab w:val="left" w:pos="624"/>
          <w:tab w:val="left" w:pos="1871"/>
          <w:tab w:val="left" w:pos="2495"/>
          <w:tab w:val="left" w:pos="3119"/>
          <w:tab w:val="left" w:pos="3742"/>
          <w:tab w:val="left" w:pos="4366"/>
          <w:tab w:val="left" w:pos="4990"/>
        </w:tabs>
        <w:spacing w:after="120"/>
        <w:ind w:left="1247" w:firstLine="624"/>
        <w:rPr>
          <w:rFonts w:asciiTheme="majorBidi" w:hAnsiTheme="majorBidi" w:cstheme="majorBidi"/>
          <w:i/>
          <w:iCs/>
          <w:shd w:val="clear" w:color="auto" w:fill="FFFFFF"/>
          <w:lang w:val="es-ES_tradnl"/>
        </w:rPr>
      </w:pPr>
      <w:r w:rsidRPr="00F567E1">
        <w:rPr>
          <w:i/>
          <w:iCs/>
          <w:lang w:val="es-ES_tradnl"/>
        </w:rPr>
        <w:t>La Conferencia de las Partes,</w:t>
      </w:r>
    </w:p>
    <w:p w14:paraId="528351EB" w14:textId="32EA7B3A" w:rsidR="00312042" w:rsidRPr="00F567E1" w:rsidRDefault="00312042" w:rsidP="00312042">
      <w:pPr>
        <w:tabs>
          <w:tab w:val="left" w:pos="624"/>
        </w:tabs>
        <w:spacing w:after="120"/>
        <w:ind w:left="1247" w:firstLine="624"/>
        <w:rPr>
          <w:rFonts w:asciiTheme="majorBidi" w:hAnsiTheme="majorBidi" w:cstheme="majorBidi"/>
          <w:lang w:val="es-ES_tradnl"/>
        </w:rPr>
      </w:pPr>
      <w:r w:rsidRPr="00F567E1">
        <w:rPr>
          <w:i/>
          <w:iCs/>
          <w:lang w:val="es-ES_tradnl"/>
        </w:rPr>
        <w:t>Reconociendo con aprecio</w:t>
      </w:r>
      <w:r w:rsidRPr="00F567E1">
        <w:rPr>
          <w:lang w:val="es-ES_tradnl"/>
        </w:rPr>
        <w:t xml:space="preserve"> la labor realizada por la Secretaría en respuesta a la decisión</w:t>
      </w:r>
      <w:r w:rsidR="00B242D1" w:rsidRPr="00F567E1">
        <w:rPr>
          <w:lang w:val="es-ES_tradnl"/>
        </w:rPr>
        <w:t> </w:t>
      </w:r>
      <w:r w:rsidRPr="00F567E1">
        <w:rPr>
          <w:lang w:val="es-ES_tradnl"/>
        </w:rPr>
        <w:t>MC</w:t>
      </w:r>
      <w:r w:rsidRPr="00F567E1">
        <w:rPr>
          <w:lang w:val="es-ES_tradnl"/>
        </w:rPr>
        <w:noBreakHyphen/>
        <w:t>5/17 sobre el mercurio y el Marco Mundial de Biodiversidad de Kunming</w:t>
      </w:r>
      <w:r w:rsidRPr="00F567E1">
        <w:rPr>
          <w:lang w:val="es-ES_tradnl"/>
        </w:rPr>
        <w:noBreakHyphen/>
        <w:t>Montreal, incluida la aportación preparada en respuesta a los llamamientos de la Secretaria Ejecutiva del Convenio sobre la Diversidad Biológica sobre indicadores, que se comunicó a la Conferencia de</w:t>
      </w:r>
      <w:r w:rsidR="00B242D1" w:rsidRPr="00F567E1">
        <w:rPr>
          <w:lang w:val="es-ES_tradnl"/>
        </w:rPr>
        <w:t> </w:t>
      </w:r>
      <w:r w:rsidRPr="00F567E1">
        <w:rPr>
          <w:lang w:val="es-ES_tradnl"/>
        </w:rPr>
        <w:t>las</w:t>
      </w:r>
      <w:r w:rsidR="00B242D1" w:rsidRPr="00F567E1">
        <w:rPr>
          <w:lang w:val="es-ES_tradnl"/>
        </w:rPr>
        <w:t> </w:t>
      </w:r>
      <w:r w:rsidRPr="00F567E1">
        <w:rPr>
          <w:lang w:val="es-ES_tradnl"/>
        </w:rPr>
        <w:t>Partes en el Convenio de Minamata sobre el Mercurio en su sexta reunión,</w:t>
      </w:r>
    </w:p>
    <w:p w14:paraId="12EA991D" w14:textId="1E6B8DC6" w:rsidR="00312042" w:rsidRPr="00F567E1" w:rsidRDefault="00312042" w:rsidP="00312042">
      <w:pPr>
        <w:tabs>
          <w:tab w:val="left" w:pos="624"/>
        </w:tabs>
        <w:spacing w:after="120"/>
        <w:ind w:left="1247" w:firstLine="624"/>
        <w:rPr>
          <w:rFonts w:asciiTheme="majorBidi" w:hAnsiTheme="majorBidi" w:cstheme="majorBidi"/>
          <w:shd w:val="clear" w:color="auto" w:fill="FFFFFF"/>
          <w:lang w:val="es-ES_tradnl"/>
        </w:rPr>
      </w:pPr>
      <w:r w:rsidRPr="00F567E1">
        <w:rPr>
          <w:i/>
          <w:iCs/>
          <w:lang w:val="es-ES_tradnl"/>
        </w:rPr>
        <w:t>Reconociendo</w:t>
      </w:r>
      <w:r w:rsidRPr="00F567E1">
        <w:rPr>
          <w:lang w:val="es-ES_tradnl"/>
        </w:rPr>
        <w:t xml:space="preserve"> la invitación formulada por la Conferencia de las Partes en el Convenio sobre la</w:t>
      </w:r>
      <w:r w:rsidR="00B242D1" w:rsidRPr="00F567E1">
        <w:rPr>
          <w:lang w:val="es-ES_tradnl"/>
        </w:rPr>
        <w:t> </w:t>
      </w:r>
      <w:r w:rsidRPr="00F567E1">
        <w:rPr>
          <w:lang w:val="es-ES_tradnl"/>
        </w:rPr>
        <w:t>Diversidad Biológica, en su decisión 16/35, a la Conferencia de las Partes en el Convenio de Minamata sobre el Mercurio, junto con los órganos rectores de los demás convenios sobre productos químicos y desechos, la Organización de las Naciones Unidas para la Alimentación y la Agricultura y</w:t>
      </w:r>
      <w:r w:rsidR="00B242D1" w:rsidRPr="00F567E1">
        <w:rPr>
          <w:lang w:val="es-ES_tradnl"/>
        </w:rPr>
        <w:t> </w:t>
      </w:r>
      <w:r w:rsidRPr="00F567E1">
        <w:rPr>
          <w:lang w:val="es-ES_tradnl"/>
        </w:rPr>
        <w:t>otros convenios y organizaciones pertinentes, incluido el Marco Mundial sobre los Productos Químicos: por un Planeta Libre de los Daños derivados de los Productos Químicos y los Desechos, para que colabore con las tres convenciones de Río en la meta 7 del Marco relativa a reducir la contaminación a niveles que no sean perjudiciales para la diversidad biológica,</w:t>
      </w:r>
    </w:p>
    <w:p w14:paraId="4D00A0DC" w14:textId="66F3F101" w:rsidR="00312042" w:rsidRPr="00F567E1" w:rsidRDefault="00312042" w:rsidP="00312042">
      <w:pPr>
        <w:tabs>
          <w:tab w:val="left" w:pos="624"/>
        </w:tabs>
        <w:spacing w:after="120"/>
        <w:ind w:left="1247" w:firstLine="624"/>
        <w:rPr>
          <w:rFonts w:asciiTheme="majorBidi" w:hAnsiTheme="majorBidi" w:cstheme="majorBidi"/>
          <w:lang w:val="es-ES_tradnl"/>
        </w:rPr>
      </w:pPr>
      <w:r w:rsidRPr="00F567E1">
        <w:rPr>
          <w:i/>
          <w:iCs/>
          <w:lang w:val="es-ES_tradnl"/>
        </w:rPr>
        <w:t>Reconociendo con aprecio</w:t>
      </w:r>
      <w:r w:rsidRPr="00F567E1">
        <w:rPr>
          <w:lang w:val="es-ES_tradnl"/>
        </w:rPr>
        <w:t xml:space="preserve"> el trabajo facilitado por el Programa de las Naciones Unidas para el Medio Ambiente en el marco del proceso de Berna, incluidos los resultados de la tercera conferencia celebrada en el marco de ese proceso</w:t>
      </w:r>
      <w:r w:rsidR="00A820C4" w:rsidRPr="00F567E1">
        <w:rPr>
          <w:rStyle w:val="FootnoteReference"/>
          <w:rFonts w:cstheme="majorBidi"/>
          <w:lang w:val="es-ES_tradnl"/>
        </w:rPr>
        <w:footnoteReference w:id="28"/>
      </w:r>
      <w:r w:rsidRPr="00F567E1">
        <w:rPr>
          <w:lang w:val="es-ES_tradnl"/>
        </w:rPr>
        <w:t>,</w:t>
      </w:r>
    </w:p>
    <w:p w14:paraId="2C280206" w14:textId="72BAC27D" w:rsidR="00312042" w:rsidRPr="00F567E1"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cstheme="majorBidi"/>
          <w:spacing w:val="-2"/>
          <w:shd w:val="clear" w:color="auto" w:fill="FFFFFF"/>
          <w:lang w:val="es-ES_tradnl"/>
        </w:rPr>
      </w:pPr>
      <w:r w:rsidRPr="00F567E1">
        <w:rPr>
          <w:i/>
          <w:iCs/>
          <w:spacing w:val="-2"/>
          <w:lang w:val="es-ES_tradnl"/>
        </w:rPr>
        <w:t>Acoge con beneplácito</w:t>
      </w:r>
      <w:r w:rsidRPr="00F567E1">
        <w:rPr>
          <w:spacing w:val="-2"/>
          <w:lang w:val="es-ES_tradnl"/>
        </w:rPr>
        <w:t xml:space="preserve"> la hoja de ruta para aumentar los beneficios secundarios derivados de la aplicación del Convenio de Minamata sobre el Mercurio y el Marco Mundial de Biodiversidad de Kunming</w:t>
      </w:r>
      <w:r w:rsidRPr="00F567E1">
        <w:rPr>
          <w:spacing w:val="-2"/>
          <w:lang w:val="es-ES_tradnl"/>
        </w:rPr>
        <w:noBreakHyphen/>
        <w:t>Montreal para 2030</w:t>
      </w:r>
      <w:r w:rsidRPr="00F567E1">
        <w:rPr>
          <w:rFonts w:cstheme="majorBidi"/>
          <w:spacing w:val="-2"/>
          <w:shd w:val="clear" w:color="auto" w:fill="FFFFFF"/>
          <w:vertAlign w:val="superscript"/>
          <w:lang w:val="es-ES_tradnl"/>
        </w:rPr>
        <w:footnoteReference w:id="29"/>
      </w:r>
      <w:r w:rsidRPr="00F567E1">
        <w:rPr>
          <w:spacing w:val="-2"/>
          <w:lang w:val="es-ES_tradnl"/>
        </w:rPr>
        <w:t>, elaborada por la Secretaría de conformidad con la decisión MC</w:t>
      </w:r>
      <w:r w:rsidRPr="00F567E1">
        <w:rPr>
          <w:spacing w:val="-2"/>
          <w:lang w:val="es-ES_tradnl"/>
        </w:rPr>
        <w:noBreakHyphen/>
        <w:t>5/17;</w:t>
      </w:r>
    </w:p>
    <w:p w14:paraId="15E25B73" w14:textId="6653ED7C" w:rsidR="00312042" w:rsidRPr="00F567E1"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lang w:val="es-ES_tradnl"/>
        </w:rPr>
      </w:pPr>
      <w:r w:rsidRPr="00F567E1">
        <w:rPr>
          <w:i/>
          <w:iCs/>
          <w:lang w:val="es-ES_tradnl"/>
        </w:rPr>
        <w:t>Alienta</w:t>
      </w:r>
      <w:r w:rsidRPr="00F567E1">
        <w:rPr>
          <w:lang w:val="es-ES_tradnl"/>
        </w:rPr>
        <w:t xml:space="preserve"> a las Partes y otros interesados pertinentes, según proceda, a que lleven a cabo las medidas sugeridas en la hoja de ruta, de forma voluntaria, en consonancia con las prioridades, circunstancias y capacidades nacionales, y bajo la dirección de los gobiernos nacionales;</w:t>
      </w:r>
    </w:p>
    <w:p w14:paraId="27DB1841" w14:textId="40F1CD46" w:rsidR="00312042" w:rsidRPr="00F567E1"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lang w:val="es-ES_tradnl"/>
        </w:rPr>
      </w:pPr>
      <w:r w:rsidRPr="00F567E1">
        <w:rPr>
          <w:i/>
          <w:iCs/>
          <w:lang w:val="es-ES_tradnl"/>
        </w:rPr>
        <w:t>Alienta</w:t>
      </w:r>
      <w:r w:rsidRPr="00F567E1">
        <w:rPr>
          <w:lang w:val="es-ES_tradnl"/>
        </w:rPr>
        <w:t xml:space="preserve"> a las Partes, e invita a otros Gobiernos que hayan presentado notificaciones de conformidad con el párrafo 3 del artículo 7 sobre la extracción de oro artesanal y en pequeña escala, a</w:t>
      </w:r>
      <w:r w:rsidR="00B242D1" w:rsidRPr="00F567E1">
        <w:rPr>
          <w:lang w:val="es-ES_tradnl"/>
        </w:rPr>
        <w:t> </w:t>
      </w:r>
      <w:r w:rsidRPr="00F567E1">
        <w:rPr>
          <w:lang w:val="es-ES_tradnl"/>
        </w:rPr>
        <w:t>que utilicen el documento de apoyo técnico preparado por la Secretaría sobre la integración de medidas para reducir la contaminación por mercurio procedente de la extracción de oro artesanal y en pequeña escala en las estrategias y planes de acción nacionales en materia de diversidad biológica en consonancia con el Marco Mundial de Biodiversidad de Kunming-Montreal</w:t>
      </w:r>
      <w:r w:rsidR="004627CE" w:rsidRPr="00F567E1">
        <w:rPr>
          <w:rStyle w:val="FootnoteReference"/>
          <w:rFonts w:cstheme="majorBidi"/>
          <w:lang w:val="es-ES_tradnl"/>
        </w:rPr>
        <w:footnoteReference w:id="30"/>
      </w:r>
      <w:r w:rsidRPr="00F567E1">
        <w:rPr>
          <w:lang w:val="es-ES_tradnl"/>
        </w:rPr>
        <w:t>, según proceda y sin perjuicio de las circunstancias y los marcos normativos nacionales;</w:t>
      </w:r>
    </w:p>
    <w:p w14:paraId="1B3E4869" w14:textId="01C436F7" w:rsidR="00312042" w:rsidRPr="00F567E1"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lang w:val="es-ES_tradnl"/>
        </w:rPr>
      </w:pPr>
      <w:r w:rsidRPr="00F567E1">
        <w:rPr>
          <w:i/>
          <w:iCs/>
          <w:lang w:val="es-ES_tradnl"/>
        </w:rPr>
        <w:t>Acoge con beneplácito</w:t>
      </w:r>
      <w:r w:rsidRPr="00F567E1">
        <w:rPr>
          <w:lang w:val="es-ES_tradnl"/>
        </w:rPr>
        <w:t xml:space="preserve"> la decisión de la Conferencia de las Partes en el Convenio sobre la Diversidad Biológica de invitar a la Plataforma Intergubernamental Científico</w:t>
      </w:r>
      <w:r w:rsidRPr="00F567E1">
        <w:rPr>
          <w:lang w:val="es-ES_tradnl"/>
        </w:rPr>
        <w:noBreakHyphen/>
        <w:t>Normativa sobre Diversidad Biológica y Servicios de los Ecosistemas a que estudie la posibilidad de añadir una evaluación de la contaminación y la diversidad biológica a su programa de trabajo renovable</w:t>
      </w:r>
      <w:r w:rsidRPr="00F567E1">
        <w:rPr>
          <w:rFonts w:asciiTheme="majorBidi" w:hAnsiTheme="majorBidi" w:cstheme="majorBidi"/>
          <w:shd w:val="clear" w:color="auto" w:fill="FFFFFF"/>
          <w:vertAlign w:val="superscript"/>
          <w:lang w:val="es-ES_tradnl"/>
        </w:rPr>
        <w:footnoteReference w:id="31"/>
      </w:r>
      <w:r w:rsidRPr="00F567E1">
        <w:rPr>
          <w:lang w:val="es-ES_tradnl"/>
        </w:rPr>
        <w:t xml:space="preserve"> y solicita a la Secretaría que inicie la cooperación con la Secretaría de la Plataforma, sin duplicación del trabajo existente en el marco del Convenio de Minamata, con miras a estudiar posibles formas en que la labor de la Plataforma podría apoyar la aplicación del Convenio de Minamata sobre el Mercurio;</w:t>
      </w:r>
    </w:p>
    <w:p w14:paraId="3F6CB2F8" w14:textId="5F7D5774" w:rsidR="00312042" w:rsidRPr="00F567E1"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pacing w:val="-6"/>
          <w:lang w:val="es-ES_tradnl"/>
        </w:rPr>
      </w:pPr>
      <w:r w:rsidRPr="00F567E1">
        <w:rPr>
          <w:i/>
          <w:iCs/>
          <w:spacing w:val="-6"/>
          <w:lang w:val="es-ES_tradnl"/>
        </w:rPr>
        <w:t>Alienta</w:t>
      </w:r>
      <w:r w:rsidRPr="00F567E1">
        <w:rPr>
          <w:spacing w:val="-6"/>
          <w:lang w:val="es-ES_tradnl"/>
        </w:rPr>
        <w:t xml:space="preserve"> a las Partes a que participen en el proceso de Berna y promuevan activamente la cooperación y la coherencia en materia de políticas entre los acuerdos ambientales multilaterales a escala nacional, teniendo en cuenta las circunstancias, necesidades y prioridades nacionales, y respetando plenamente la soberanía y el margen normativo nacionales, a través, según proceda, de un enfoque </w:t>
      </w:r>
      <w:proofErr w:type="spellStart"/>
      <w:r w:rsidRPr="00F567E1">
        <w:rPr>
          <w:spacing w:val="-6"/>
          <w:lang w:val="es-ES_tradnl"/>
        </w:rPr>
        <w:t>pangubernamental</w:t>
      </w:r>
      <w:proofErr w:type="spellEnd"/>
      <w:r w:rsidRPr="00F567E1">
        <w:rPr>
          <w:spacing w:val="-6"/>
          <w:lang w:val="es-ES_tradnl"/>
        </w:rPr>
        <w:t xml:space="preserve"> y </w:t>
      </w:r>
      <w:proofErr w:type="spellStart"/>
      <w:r w:rsidRPr="00F567E1">
        <w:rPr>
          <w:spacing w:val="-6"/>
          <w:lang w:val="es-ES_tradnl"/>
        </w:rPr>
        <w:t>pansocial</w:t>
      </w:r>
      <w:proofErr w:type="spellEnd"/>
      <w:r w:rsidRPr="00F567E1">
        <w:rPr>
          <w:spacing w:val="-6"/>
          <w:lang w:val="es-ES_tradnl"/>
        </w:rPr>
        <w:t>, al tiempo que eviten añadir cargas innecesarias a la labor de presentación de informes;</w:t>
      </w:r>
    </w:p>
    <w:p w14:paraId="481AB13B" w14:textId="05A90EFA" w:rsidR="00312042" w:rsidRPr="00F567E1" w:rsidRDefault="00312042" w:rsidP="00312042">
      <w:pPr>
        <w:numPr>
          <w:ilvl w:val="0"/>
          <w:numId w:val="77"/>
        </w:numPr>
        <w:tabs>
          <w:tab w:val="clear" w:pos="1247"/>
          <w:tab w:val="clear" w:pos="1814"/>
          <w:tab w:val="clear" w:pos="2381"/>
          <w:tab w:val="clear" w:pos="2948"/>
          <w:tab w:val="clear" w:pos="3515"/>
          <w:tab w:val="left" w:pos="624"/>
        </w:tabs>
        <w:spacing w:after="120"/>
        <w:ind w:left="1247" w:firstLine="624"/>
        <w:rPr>
          <w:rFonts w:asciiTheme="majorBidi" w:hAnsiTheme="majorBidi" w:cstheme="majorBidi"/>
          <w:shd w:val="clear" w:color="auto" w:fill="FFFFFF"/>
          <w:lang w:val="es-ES_tradnl"/>
        </w:rPr>
        <w:sectPr w:rsidR="00312042" w:rsidRPr="00F567E1" w:rsidSect="00E84D8D">
          <w:footnotePr>
            <w:numRestart w:val="eachSect"/>
          </w:footnotePr>
          <w:type w:val="continuous"/>
          <w:pgSz w:w="11906" w:h="16838" w:code="9"/>
          <w:pgMar w:top="907" w:right="992" w:bottom="1418" w:left="1418" w:header="539" w:footer="975" w:gutter="0"/>
          <w:cols w:space="539"/>
          <w:docGrid w:linePitch="360"/>
        </w:sectPr>
      </w:pPr>
      <w:r w:rsidRPr="00F567E1">
        <w:rPr>
          <w:i/>
          <w:iCs/>
          <w:lang w:val="es-ES_tradnl"/>
        </w:rPr>
        <w:t>Solicita</w:t>
      </w:r>
      <w:r w:rsidRPr="00F567E1">
        <w:rPr>
          <w:lang w:val="es-ES_tradnl"/>
        </w:rPr>
        <w:t xml:space="preserve"> a la Secretaría que, en función de la disponibilidad de recursos, contribuya a la aplicación de la hoja de ruta y continúe participando en el proceso de Berna, en colaboración con otros acuerdos ambientales multilaterales y el Programa de las Naciones Unidas para el Medio Ambiente, sin crear nuevas obligaciones para las Partes y con sujeción a un apoyo financiero y técnico adecuado, en particular para los países en desarrollo.</w:t>
      </w:r>
    </w:p>
    <w:p w14:paraId="099BC3B8" w14:textId="77777777" w:rsidR="00312042" w:rsidRPr="00F567E1" w:rsidRDefault="00312042" w:rsidP="002819FE">
      <w:pPr>
        <w:pStyle w:val="CH2"/>
        <w:outlineLvl w:val="0"/>
        <w:rPr>
          <w:lang w:val="es-ES_tradnl"/>
        </w:rPr>
      </w:pPr>
      <w:bookmarkStart w:id="71" w:name="_Toc213853076"/>
      <w:r w:rsidRPr="00F567E1">
        <w:rPr>
          <w:lang w:val="es-ES_tradnl"/>
        </w:rPr>
        <w:lastRenderedPageBreak/>
        <w:tab/>
      </w:r>
      <w:r w:rsidRPr="00F567E1">
        <w:rPr>
          <w:lang w:val="es-ES_tradnl"/>
        </w:rPr>
        <w:tab/>
      </w:r>
      <w:bookmarkStart w:id="72" w:name="_Toc223088524"/>
      <w:r w:rsidRPr="00F567E1">
        <w:rPr>
          <w:lang w:val="es-ES_tradnl"/>
        </w:rPr>
        <w:t>Decisión MC</w:t>
      </w:r>
      <w:r w:rsidRPr="00F567E1">
        <w:rPr>
          <w:lang w:val="es-ES_tradnl"/>
        </w:rPr>
        <w:noBreakHyphen/>
        <w:t>6/19: cooperación y coordinación internacionales</w:t>
      </w:r>
      <w:bookmarkStart w:id="73" w:name="_Toc219712817"/>
      <w:bookmarkEnd w:id="71"/>
      <w:bookmarkEnd w:id="72"/>
      <w:bookmarkEnd w:id="73"/>
    </w:p>
    <w:p w14:paraId="37B02231" w14:textId="77777777" w:rsidR="00312042" w:rsidRPr="00F567E1" w:rsidRDefault="00312042" w:rsidP="00312042">
      <w:pPr>
        <w:tabs>
          <w:tab w:val="left" w:pos="624"/>
        </w:tabs>
        <w:spacing w:after="120"/>
        <w:ind w:left="1247" w:firstLine="624"/>
        <w:rPr>
          <w:rFonts w:asciiTheme="majorBidi" w:hAnsiTheme="majorBidi" w:cstheme="majorBidi"/>
          <w:i/>
          <w:iCs/>
          <w:lang w:val="es-ES_tradnl"/>
        </w:rPr>
      </w:pPr>
      <w:r w:rsidRPr="00F567E1">
        <w:rPr>
          <w:i/>
          <w:iCs/>
          <w:lang w:val="es-ES_tradnl"/>
        </w:rPr>
        <w:t>La Conferencia de las Partes,</w:t>
      </w:r>
    </w:p>
    <w:p w14:paraId="7B1C7C0D" w14:textId="79F41110" w:rsidR="00312042" w:rsidRPr="00F567E1" w:rsidRDefault="00312042" w:rsidP="00312042">
      <w:pPr>
        <w:tabs>
          <w:tab w:val="left" w:pos="624"/>
        </w:tabs>
        <w:spacing w:after="120"/>
        <w:ind w:left="1247" w:firstLine="624"/>
        <w:rPr>
          <w:rFonts w:asciiTheme="majorBidi" w:hAnsiTheme="majorBidi" w:cstheme="majorBidi"/>
          <w:spacing w:val="-2"/>
          <w:lang w:val="es-ES_tradnl"/>
        </w:rPr>
      </w:pPr>
      <w:r w:rsidRPr="00F567E1">
        <w:rPr>
          <w:i/>
          <w:iCs/>
          <w:spacing w:val="-2"/>
          <w:lang w:val="es-ES_tradnl"/>
        </w:rPr>
        <w:t>Recordando</w:t>
      </w:r>
      <w:r w:rsidRPr="00F567E1">
        <w:rPr>
          <w:spacing w:val="-2"/>
          <w:lang w:val="es-ES_tradnl"/>
        </w:rPr>
        <w:t xml:space="preserve"> el párrafo 5 b) del artículo 23 del Convenio de Minamata sobre el Mercurio, en el que se establece que la Conferencia de las Partes y la Secretaría cooperarán, cuando proceda, con las organizaciones internacionales y los organismos intergubernamentales y no gubernamentales pertinentes,</w:t>
      </w:r>
    </w:p>
    <w:p w14:paraId="0ECFFF27" w14:textId="038283B0" w:rsidR="00312042" w:rsidRPr="00F567E1" w:rsidRDefault="00312042" w:rsidP="00312042">
      <w:pPr>
        <w:tabs>
          <w:tab w:val="left" w:pos="624"/>
        </w:tabs>
        <w:spacing w:after="120"/>
        <w:ind w:left="1247" w:firstLine="624"/>
        <w:rPr>
          <w:rFonts w:asciiTheme="majorBidi" w:hAnsiTheme="majorBidi" w:cstheme="majorBidi"/>
          <w:lang w:val="es-ES_tradnl"/>
        </w:rPr>
      </w:pPr>
      <w:r w:rsidRPr="00F567E1">
        <w:rPr>
          <w:i/>
          <w:iCs/>
          <w:lang w:val="es-ES_tradnl"/>
        </w:rPr>
        <w:t>Expresando su reconocimiento</w:t>
      </w:r>
      <w:r w:rsidRPr="00F567E1">
        <w:rPr>
          <w:lang w:val="es-ES_tradnl"/>
        </w:rPr>
        <w:t xml:space="preserve"> a las organizaciones e iniciativas internacionales que emprendieron actividades en 2024 y 2025 para fomentar la ratificación y aplicación del Convenio, tal</w:t>
      </w:r>
      <w:r w:rsidR="00B242D1" w:rsidRPr="00F567E1">
        <w:rPr>
          <w:lang w:val="es-ES_tradnl"/>
        </w:rPr>
        <w:t> </w:t>
      </w:r>
      <w:r w:rsidRPr="00F567E1">
        <w:rPr>
          <w:lang w:val="es-ES_tradnl"/>
        </w:rPr>
        <w:t>como se informó a la Conferencia de las Partes en su sexta reunión, por el emprendimiento de esas</w:t>
      </w:r>
      <w:r w:rsidR="00B242D1" w:rsidRPr="00F567E1">
        <w:rPr>
          <w:lang w:val="es-ES_tradnl"/>
        </w:rPr>
        <w:t> </w:t>
      </w:r>
      <w:r w:rsidRPr="00F567E1">
        <w:rPr>
          <w:lang w:val="es-ES_tradnl"/>
        </w:rPr>
        <w:t>actividades;</w:t>
      </w:r>
    </w:p>
    <w:p w14:paraId="5C7C3B88" w14:textId="76B9683C" w:rsidR="00312042" w:rsidRPr="00F567E1" w:rsidRDefault="00312042" w:rsidP="00312042">
      <w:pPr>
        <w:tabs>
          <w:tab w:val="left" w:pos="624"/>
        </w:tabs>
        <w:spacing w:after="120"/>
        <w:ind w:left="1247" w:firstLine="624"/>
        <w:rPr>
          <w:rFonts w:asciiTheme="majorBidi" w:hAnsiTheme="majorBidi" w:cstheme="majorBidi"/>
          <w:lang w:val="es-ES_tradnl"/>
        </w:rPr>
      </w:pPr>
      <w:r w:rsidRPr="00F567E1">
        <w:rPr>
          <w:i/>
          <w:iCs/>
          <w:lang w:val="es-ES_tradnl"/>
        </w:rPr>
        <w:t>Acogiendo con beneplácito</w:t>
      </w:r>
      <w:r w:rsidRPr="00F567E1">
        <w:rPr>
          <w:lang w:val="es-ES_tradnl"/>
        </w:rPr>
        <w:t xml:space="preserve"> la cooperación entre la Secretaría y el Fondo de las Naciones</w:t>
      </w:r>
      <w:r w:rsidR="00B242D1" w:rsidRPr="00F567E1">
        <w:rPr>
          <w:lang w:val="es-ES_tradnl"/>
        </w:rPr>
        <w:t> </w:t>
      </w:r>
      <w:r w:rsidRPr="00F567E1">
        <w:rPr>
          <w:lang w:val="es-ES_tradnl"/>
        </w:rPr>
        <w:t>Unidas para la Infancia en una publicación conjunta sobre el riesgo que supone el mercurio</w:t>
      </w:r>
      <w:r w:rsidR="00B242D1" w:rsidRPr="00F567E1">
        <w:rPr>
          <w:lang w:val="es-ES_tradnl"/>
        </w:rPr>
        <w:t> </w:t>
      </w:r>
      <w:r w:rsidRPr="00F567E1">
        <w:rPr>
          <w:lang w:val="es-ES_tradnl"/>
        </w:rPr>
        <w:t>para los niños,</w:t>
      </w:r>
    </w:p>
    <w:p w14:paraId="2504AB5F" w14:textId="06DC958A" w:rsidR="00312042" w:rsidRPr="00F567E1"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lang w:val="es-ES_tradnl"/>
        </w:rPr>
      </w:pPr>
      <w:r w:rsidRPr="00F567E1">
        <w:rPr>
          <w:i/>
          <w:iCs/>
          <w:lang w:val="es-ES_tradnl"/>
        </w:rPr>
        <w:t>Acoge con beneplácito</w:t>
      </w:r>
      <w:r w:rsidRPr="00F567E1">
        <w:rPr>
          <w:lang w:val="es-ES_tradnl"/>
        </w:rPr>
        <w:t xml:space="preserve"> la aprobación, por la Asamblea de las Naciones Unidas sobre el Medio Ambiente, en su sexto período de sesiones</w:t>
      </w:r>
      <w:r w:rsidRPr="00F567E1">
        <w:rPr>
          <w:rFonts w:asciiTheme="majorBidi" w:eastAsia="Calibri" w:hAnsiTheme="majorBidi" w:cstheme="majorBidi"/>
          <w:vertAlign w:val="superscript"/>
          <w:lang w:val="es-ES_tradnl"/>
        </w:rPr>
        <w:footnoteReference w:id="32"/>
      </w:r>
      <w:r w:rsidRPr="00F567E1">
        <w:rPr>
          <w:lang w:val="es-ES_tradnl"/>
        </w:rPr>
        <w:t>, de resoluciones sobre cuestiones relacionadas con el Convenio de Minamata sobre el Mercurio, y solicita a la Secretaría que contribuya a la aplicación de esas resoluciones, según proceda;</w:t>
      </w:r>
    </w:p>
    <w:p w14:paraId="3F2F229E" w14:textId="042FFD97" w:rsidR="00312042" w:rsidRPr="00F567E1"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spacing w:val="-2"/>
          <w:lang w:val="es-ES_tradnl"/>
        </w:rPr>
      </w:pPr>
      <w:r w:rsidRPr="00F567E1">
        <w:rPr>
          <w:i/>
          <w:iCs/>
          <w:spacing w:val="-2"/>
          <w:lang w:val="es-ES_tradnl"/>
        </w:rPr>
        <w:t>Acoge con beneplácito también</w:t>
      </w:r>
      <w:r w:rsidRPr="00F567E1">
        <w:rPr>
          <w:spacing w:val="-2"/>
          <w:lang w:val="es-ES_tradnl"/>
        </w:rPr>
        <w:t xml:space="preserve"> la creación del Grupo Intergubernamental Científico</w:t>
      </w:r>
      <w:r w:rsidRPr="00F567E1">
        <w:rPr>
          <w:spacing w:val="-2"/>
          <w:lang w:val="es-ES_tradnl"/>
        </w:rPr>
        <w:noBreakHyphen/>
        <w:t>Normativo sobre los Productos Químicos, los Desechos y la Contaminación en Punta del Este (Uruguay) el 20 de junio de 2025, expresa su interés en establecer una asociación con el Grupo a fin de promover la labor encaminada a alcanzar el objetivo del Convenio, y solicita a la Secretaría del Convenio que coopere con la Secretaría del Grupo y solicite la condición de observadora en el Plenario del Grupo;</w:t>
      </w:r>
    </w:p>
    <w:p w14:paraId="0E4FEFB4" w14:textId="25DF64EE" w:rsidR="00312042" w:rsidRPr="00F567E1"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spacing w:val="-4"/>
          <w:lang w:val="es-ES_tradnl"/>
        </w:rPr>
      </w:pPr>
      <w:r w:rsidRPr="00F567E1">
        <w:rPr>
          <w:i/>
          <w:iCs/>
          <w:spacing w:val="-4"/>
          <w:lang w:val="es-ES_tradnl"/>
        </w:rPr>
        <w:t>Solicita</w:t>
      </w:r>
      <w:r w:rsidRPr="00F567E1">
        <w:rPr>
          <w:spacing w:val="-4"/>
          <w:lang w:val="es-ES_tradnl"/>
        </w:rPr>
        <w:t xml:space="preserve"> a la Secretaría del Convenio que, en función de la disponibilidad de recursos, lleve</w:t>
      </w:r>
      <w:r w:rsidR="00B242D1" w:rsidRPr="00F567E1">
        <w:rPr>
          <w:spacing w:val="-4"/>
          <w:lang w:val="es-ES_tradnl"/>
        </w:rPr>
        <w:t> </w:t>
      </w:r>
      <w:r w:rsidRPr="00F567E1">
        <w:rPr>
          <w:spacing w:val="-4"/>
          <w:lang w:val="es-ES_tradnl"/>
        </w:rPr>
        <w:t>a cabo un estudio preliminar sobre posibles ámbitos en los que el fortalecimiento de la interfaz científico</w:t>
      </w:r>
      <w:r w:rsidRPr="00F567E1">
        <w:rPr>
          <w:spacing w:val="-4"/>
          <w:lang w:val="es-ES_tradnl"/>
        </w:rPr>
        <w:noBreakHyphen/>
        <w:t>normativa permitiría avanzar en la aplicación del Convenio, con aportaciones de las Partes y</w:t>
      </w:r>
      <w:r w:rsidR="00B242D1" w:rsidRPr="00F567E1">
        <w:rPr>
          <w:spacing w:val="-4"/>
          <w:lang w:val="es-ES_tradnl"/>
        </w:rPr>
        <w:t> </w:t>
      </w:r>
      <w:r w:rsidRPr="00F567E1">
        <w:rPr>
          <w:spacing w:val="-4"/>
          <w:lang w:val="es-ES_tradnl"/>
        </w:rPr>
        <w:t>otros, así como de expertos que colaboren en el marco de la Conferencia Internacional sobre el Mercurio como Contaminante Mundial, para su examen por la Conferencia de las Partes en su séptima</w:t>
      </w:r>
      <w:r w:rsidR="00B242D1" w:rsidRPr="00F567E1">
        <w:rPr>
          <w:spacing w:val="-4"/>
          <w:lang w:val="es-ES_tradnl"/>
        </w:rPr>
        <w:t> </w:t>
      </w:r>
      <w:r w:rsidRPr="00F567E1">
        <w:rPr>
          <w:spacing w:val="-4"/>
          <w:lang w:val="es-ES_tradnl"/>
        </w:rPr>
        <w:t>reunión;</w:t>
      </w:r>
    </w:p>
    <w:p w14:paraId="2BAB79E0" w14:textId="4BDF7ED2" w:rsidR="00312042" w:rsidRPr="00F567E1"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lang w:val="es-ES_tradnl"/>
        </w:rPr>
      </w:pPr>
      <w:r w:rsidRPr="00F567E1">
        <w:rPr>
          <w:i/>
          <w:iCs/>
          <w:lang w:val="es-ES_tradnl"/>
        </w:rPr>
        <w:t>Acoge con beneplácito</w:t>
      </w:r>
      <w:r w:rsidRPr="00F567E1">
        <w:rPr>
          <w:lang w:val="es-ES_tradnl"/>
        </w:rPr>
        <w:t xml:space="preserve"> la propuesta de actividades que beneficien de manera mutua a la aplicación del Convenio y el Marco Mundial sobre los Productos Químicos: por un Planeta Libre de los Daños derivados de los Productos Químicos y los Desechos</w:t>
      </w:r>
      <w:r w:rsidRPr="00F567E1">
        <w:rPr>
          <w:rFonts w:asciiTheme="majorBidi" w:eastAsia="Calibri" w:hAnsiTheme="majorBidi" w:cstheme="majorBidi"/>
          <w:vertAlign w:val="superscript"/>
          <w:lang w:val="es-ES_tradnl"/>
        </w:rPr>
        <w:footnoteReference w:id="33"/>
      </w:r>
      <w:r w:rsidRPr="00F567E1">
        <w:rPr>
          <w:lang w:val="es-ES_tradnl"/>
        </w:rPr>
        <w:t>, y solicita a la Secretaría que lleve a cabo esas actividades y continúe y siga mejorando la cooperación y la coordinación con la Secretaría del Marco Mundial sobre los Productos Químicos;</w:t>
      </w:r>
    </w:p>
    <w:p w14:paraId="6C6F43AA" w14:textId="1EE0A5C7" w:rsidR="00312042" w:rsidRPr="00F567E1"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lang w:val="es-ES_tradnl"/>
        </w:rPr>
      </w:pPr>
      <w:r w:rsidRPr="00F567E1">
        <w:rPr>
          <w:i/>
          <w:iCs/>
          <w:lang w:val="es-ES_tradnl"/>
        </w:rPr>
        <w:t>Solicita</w:t>
      </w:r>
      <w:r w:rsidRPr="00F567E1">
        <w:rPr>
          <w:lang w:val="es-ES_tradnl"/>
        </w:rPr>
        <w:t xml:space="preserve"> a la Secretaria Ejecutiva que adopte las medidas necesarias para la adhesión al</w:t>
      </w:r>
      <w:r w:rsidR="00B242D1" w:rsidRPr="00F567E1">
        <w:rPr>
          <w:lang w:val="es-ES_tradnl"/>
        </w:rPr>
        <w:t> </w:t>
      </w:r>
      <w:r w:rsidRPr="00F567E1">
        <w:rPr>
          <w:lang w:val="es-ES_tradnl"/>
        </w:rPr>
        <w:t xml:space="preserve">Convenio y la participación de la Secretaría del Convenio en el Programa Interinstitucional para la Gestión Racional de los Productos Químicos, e invita a la Secretaría a seguir trabajando en estrecha cooperación con el Programa; </w:t>
      </w:r>
    </w:p>
    <w:p w14:paraId="0383C0EE" w14:textId="42161756" w:rsidR="00312042" w:rsidRPr="00F567E1"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strike/>
          <w:spacing w:val="-2"/>
          <w:lang w:val="es-ES_tradnl"/>
        </w:rPr>
      </w:pPr>
      <w:r w:rsidRPr="00F567E1">
        <w:rPr>
          <w:i/>
          <w:iCs/>
          <w:spacing w:val="-2"/>
          <w:lang w:val="es-ES_tradnl"/>
        </w:rPr>
        <w:t>Solicita</w:t>
      </w:r>
      <w:r w:rsidRPr="00F567E1">
        <w:rPr>
          <w:spacing w:val="-2"/>
          <w:lang w:val="es-ES_tradnl"/>
        </w:rPr>
        <w:t xml:space="preserve"> a la Secretaría que, en función de la disponibilidad de recursos, continúe la cooperación y la coordinación con la Asociación Mundial sobre el Mercurio, la Convención de las Naciones Unidas de Lucha contra la Desertificación en los Países Afectados por Sequía Grave o Desertificación, en Particular en África, la Convención Marco de las Naciones Unidas sobre el Cambio Climático, el Convenio sobre la Diversidad Biológica, el Fondo de las Naciones Unidas para la Infancia y el Organismo Internacional de Energía Atómica en cuestiones de interés común, y con otros órganos internacionales en esferas de interés para el Convenio de Minamata sobre el Mercurio, en particular en los ámbitos y con las organizaciones que se recogen en el documento UNEP/MC/COP.5/INF/28;</w:t>
      </w:r>
    </w:p>
    <w:p w14:paraId="708D1AC9" w14:textId="48D08EB1" w:rsidR="00312042" w:rsidRPr="00F567E1" w:rsidRDefault="00312042" w:rsidP="00312042">
      <w:pPr>
        <w:numPr>
          <w:ilvl w:val="0"/>
          <w:numId w:val="26"/>
        </w:numPr>
        <w:tabs>
          <w:tab w:val="clear" w:pos="1247"/>
          <w:tab w:val="clear" w:pos="1814"/>
          <w:tab w:val="clear" w:pos="2381"/>
          <w:tab w:val="clear" w:pos="2948"/>
          <w:tab w:val="clear" w:pos="3515"/>
          <w:tab w:val="left" w:pos="624"/>
        </w:tabs>
        <w:spacing w:after="120"/>
        <w:ind w:left="1247" w:firstLine="624"/>
        <w:rPr>
          <w:rFonts w:asciiTheme="majorBidi" w:eastAsia="Calibri" w:hAnsiTheme="majorBidi" w:cstheme="majorBidi"/>
          <w:lang w:val="es-ES_tradnl"/>
        </w:rPr>
        <w:sectPr w:rsidR="00312042" w:rsidRPr="00F567E1" w:rsidSect="00E84D8D">
          <w:footnotePr>
            <w:numRestart w:val="eachSect"/>
          </w:footnotePr>
          <w:type w:val="continuous"/>
          <w:pgSz w:w="11906" w:h="16838" w:code="9"/>
          <w:pgMar w:top="907" w:right="992" w:bottom="1418" w:left="1418" w:header="539" w:footer="975" w:gutter="0"/>
          <w:cols w:space="539"/>
          <w:docGrid w:linePitch="360"/>
        </w:sectPr>
      </w:pPr>
      <w:r w:rsidRPr="00F567E1">
        <w:rPr>
          <w:i/>
          <w:iCs/>
          <w:lang w:val="es-ES_tradnl"/>
        </w:rPr>
        <w:t>Solicita también</w:t>
      </w:r>
      <w:r w:rsidRPr="00F567E1">
        <w:rPr>
          <w:lang w:val="es-ES_tradnl"/>
        </w:rPr>
        <w:t xml:space="preserve"> a la Secretaría que informe a la Conferencia de las Partes en su séptima reunión acerca de la aplicación de la presente decisión, según proceda.</w:t>
      </w:r>
    </w:p>
    <w:p w14:paraId="523DDEE7" w14:textId="77777777" w:rsidR="00312042" w:rsidRPr="00F567E1" w:rsidRDefault="00312042" w:rsidP="002819FE">
      <w:pPr>
        <w:pStyle w:val="CH2"/>
        <w:outlineLvl w:val="0"/>
        <w:rPr>
          <w:lang w:val="es-ES_tradnl"/>
        </w:rPr>
      </w:pPr>
      <w:bookmarkStart w:id="74" w:name="_Toc213853077"/>
      <w:r w:rsidRPr="00F567E1">
        <w:rPr>
          <w:lang w:val="es-ES_tradnl"/>
        </w:rPr>
        <w:lastRenderedPageBreak/>
        <w:tab/>
      </w:r>
      <w:r w:rsidRPr="00F567E1">
        <w:rPr>
          <w:lang w:val="es-ES_tradnl"/>
        </w:rPr>
        <w:tab/>
      </w:r>
      <w:bookmarkStart w:id="75" w:name="_Toc223088525"/>
      <w:r w:rsidRPr="00F567E1">
        <w:rPr>
          <w:lang w:val="es-ES_tradnl"/>
        </w:rPr>
        <w:t>Decisión MC</w:t>
      </w:r>
      <w:r w:rsidRPr="00F567E1">
        <w:rPr>
          <w:lang w:val="es-ES_tradnl"/>
        </w:rPr>
        <w:noBreakHyphen/>
        <w:t>6/20: cooperación y coordinación entre la Secretaría del Convenio de Minamata sobre el Mercurio y la Secretaría de los Convenios de Basilea, Estocolmo y Rotterdam</w:t>
      </w:r>
      <w:bookmarkStart w:id="76" w:name="_Toc219712818"/>
      <w:bookmarkEnd w:id="74"/>
      <w:bookmarkEnd w:id="75"/>
      <w:bookmarkEnd w:id="76"/>
    </w:p>
    <w:p w14:paraId="2A9D28D9" w14:textId="77777777" w:rsidR="00312042" w:rsidRPr="00F567E1" w:rsidRDefault="00312042" w:rsidP="00312042">
      <w:pPr>
        <w:pStyle w:val="Normal-pool"/>
        <w:tabs>
          <w:tab w:val="clear" w:pos="1247"/>
        </w:tabs>
        <w:spacing w:after="120"/>
        <w:ind w:left="1247" w:firstLine="624"/>
        <w:rPr>
          <w:rFonts w:asciiTheme="majorBidi" w:eastAsia="Calibri" w:hAnsiTheme="majorBidi" w:cstheme="majorBidi"/>
          <w:i/>
          <w:iCs/>
          <w:lang w:val="es-ES_tradnl"/>
        </w:rPr>
      </w:pPr>
      <w:r w:rsidRPr="00F567E1">
        <w:rPr>
          <w:i/>
          <w:iCs/>
          <w:lang w:val="es-ES_tradnl"/>
        </w:rPr>
        <w:t>La Conferencia de las Partes,</w:t>
      </w:r>
    </w:p>
    <w:p w14:paraId="6A34DA02" w14:textId="2827F00E"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Reconociendo</w:t>
      </w:r>
      <w:r w:rsidRPr="00F567E1">
        <w:rPr>
          <w:lang w:val="es-ES_tradnl"/>
        </w:rPr>
        <w:t xml:space="preserve"> que el intercambio de servicios dentro de un marco estable permitirá mejorar la</w:t>
      </w:r>
      <w:r w:rsidR="004A73A4" w:rsidRPr="00F567E1">
        <w:rPr>
          <w:lang w:val="es-ES_tradnl"/>
        </w:rPr>
        <w:t> </w:t>
      </w:r>
      <w:r w:rsidRPr="00F567E1">
        <w:rPr>
          <w:lang w:val="es-ES_tradnl"/>
        </w:rPr>
        <w:t>cooperación y la coordinación sobre la base de la experiencia y la proximidad, y puede favorecer la</w:t>
      </w:r>
      <w:r w:rsidR="004A73A4" w:rsidRPr="00F567E1">
        <w:rPr>
          <w:lang w:val="es-ES_tradnl"/>
        </w:rPr>
        <w:t> </w:t>
      </w:r>
      <w:r w:rsidRPr="00F567E1">
        <w:rPr>
          <w:lang w:val="es-ES_tradnl"/>
        </w:rPr>
        <w:t>aplicación eficaz del Convenio de Minamata sobre el Mercurio, el Convenio de Basilea sobre el</w:t>
      </w:r>
      <w:r w:rsidR="004A73A4" w:rsidRPr="00F567E1">
        <w:rPr>
          <w:lang w:val="es-ES_tradnl"/>
        </w:rPr>
        <w:t> </w:t>
      </w:r>
      <w:r w:rsidRPr="00F567E1">
        <w:rPr>
          <w:lang w:val="es-ES_tradnl"/>
        </w:rPr>
        <w:t>Control de los Movimientos Transfronterizos de los Desechos Peligrosos y su Eliminación, el Convenio de Estocolmo sobre Contaminantes Orgánicos Persistentes y el Convenio de Rotterdam sobre el Procedimiento de Consentimiento Fundamentado Previo Aplicable a Ciertos Plaguicidas y Productos Químicos Peligrosos Objeto de Comercio Internacional, sin menoscabar la autonomía de las</w:t>
      </w:r>
      <w:r w:rsidR="004A73A4" w:rsidRPr="00F567E1">
        <w:rPr>
          <w:lang w:val="es-ES_tradnl"/>
        </w:rPr>
        <w:t> </w:t>
      </w:r>
      <w:r w:rsidRPr="00F567E1">
        <w:rPr>
          <w:lang w:val="es-ES_tradnl"/>
        </w:rPr>
        <w:t>Secretarías ni la rendición de cuentas de su dirección ejecutiva,</w:t>
      </w:r>
    </w:p>
    <w:p w14:paraId="089C5C04" w14:textId="68C242E7"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Recordando</w:t>
      </w:r>
      <w:r w:rsidRPr="00F567E1">
        <w:rPr>
          <w:lang w:val="es-ES_tradnl"/>
        </w:rPr>
        <w:t xml:space="preserve"> las decisiones MC</w:t>
      </w:r>
      <w:r w:rsidRPr="00F567E1">
        <w:rPr>
          <w:lang w:val="es-ES_tradnl"/>
        </w:rPr>
        <w:noBreakHyphen/>
        <w:t>3/11, MC</w:t>
      </w:r>
      <w:r w:rsidRPr="00F567E1">
        <w:rPr>
          <w:lang w:val="es-ES_tradnl"/>
        </w:rPr>
        <w:noBreakHyphen/>
        <w:t>4/9 y MC</w:t>
      </w:r>
      <w:r w:rsidRPr="00F567E1">
        <w:rPr>
          <w:lang w:val="es-ES_tradnl"/>
        </w:rPr>
        <w:noBreakHyphen/>
        <w:t xml:space="preserve">5/19, sobre cooperación y coordinación con la Secretaría de los Convenios de Basilea, Estocolmo y Rotterdam, </w:t>
      </w:r>
    </w:p>
    <w:p w14:paraId="7182BE65" w14:textId="37DCB4E3" w:rsidR="00312042" w:rsidRPr="00F567E1" w:rsidRDefault="00312042" w:rsidP="00312042">
      <w:pPr>
        <w:pStyle w:val="Normal-pool"/>
        <w:numPr>
          <w:ilvl w:val="6"/>
          <w:numId w:val="67"/>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Cs/>
          <w:lang w:val="es-ES_tradnl"/>
        </w:rPr>
      </w:pPr>
      <w:r w:rsidRPr="00F567E1">
        <w:rPr>
          <w:i/>
          <w:iCs/>
          <w:lang w:val="es-ES_tradnl"/>
        </w:rPr>
        <w:t>Toma nota</w:t>
      </w:r>
      <w:r w:rsidRPr="00F567E1">
        <w:rPr>
          <w:lang w:val="es-ES_tradnl"/>
        </w:rPr>
        <w:t xml:space="preserve"> del informe conjunto sobre cooperación y coordinación entre la Secretaría del Convenio de Minamata sobre el Mercurio y la Secretaría de los Convenios de Basilea, Estocolmo y Rotterdam</w:t>
      </w:r>
      <w:r w:rsidRPr="00F567E1">
        <w:rPr>
          <w:rFonts w:asciiTheme="majorBidi" w:hAnsiTheme="majorBidi" w:cstheme="majorBidi"/>
          <w:iCs/>
          <w:vertAlign w:val="superscript"/>
          <w:lang w:val="es-ES_tradnl"/>
        </w:rPr>
        <w:footnoteReference w:id="34"/>
      </w:r>
      <w:r w:rsidRPr="00F567E1">
        <w:rPr>
          <w:lang w:val="es-ES_tradnl"/>
        </w:rPr>
        <w:t xml:space="preserve"> y de la reseña de las actividades de cooperación previstas, en particular para intercambiar y adquirir los servicios pertinentes, entre las dos Secretarías para el bienio 2026</w:t>
      </w:r>
      <w:r w:rsidR="004A73A4" w:rsidRPr="00F567E1">
        <w:rPr>
          <w:lang w:val="es-ES_tradnl"/>
        </w:rPr>
        <w:t>-</w:t>
      </w:r>
      <w:r w:rsidRPr="00F567E1">
        <w:rPr>
          <w:lang w:val="es-ES_tradnl"/>
        </w:rPr>
        <w:t>2027</w:t>
      </w:r>
      <w:r w:rsidRPr="00F567E1">
        <w:rPr>
          <w:rFonts w:asciiTheme="majorBidi" w:hAnsiTheme="majorBidi" w:cstheme="majorBidi"/>
          <w:iCs/>
          <w:vertAlign w:val="superscript"/>
          <w:lang w:val="es-ES_tradnl"/>
        </w:rPr>
        <w:footnoteReference w:id="35"/>
      </w:r>
      <w:r w:rsidRPr="00F567E1">
        <w:rPr>
          <w:lang w:val="es-ES_tradnl"/>
        </w:rPr>
        <w:t>;</w:t>
      </w:r>
    </w:p>
    <w:p w14:paraId="3FCF2AB1" w14:textId="26687C7B" w:rsidR="00312042" w:rsidRPr="00F567E1" w:rsidRDefault="00312042" w:rsidP="00312042">
      <w:pPr>
        <w:pStyle w:val="Normal-pool"/>
        <w:numPr>
          <w:ilvl w:val="6"/>
          <w:numId w:val="67"/>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Reafirma</w:t>
      </w:r>
      <w:r w:rsidRPr="00F567E1">
        <w:rPr>
          <w:lang w:val="es-ES_tradnl"/>
        </w:rPr>
        <w:t xml:space="preserve"> la importancia de la cooperación continua sobre sinergias programáticas, de la utilización del equipo de tareas entre las dos Secretarías y la Subdivisión de Productos Químicos y Salud del Programa de las Naciones Unidas para el Medio Ambiente, y de la posibilidad de que la Secretaría del Convenio de Minamata sobre el Mercurio preste apoyo de secretaría a los Convenios de</w:t>
      </w:r>
      <w:r w:rsidR="000865BE" w:rsidRPr="00F567E1">
        <w:rPr>
          <w:lang w:val="es-ES_tradnl"/>
        </w:rPr>
        <w:t> </w:t>
      </w:r>
      <w:r w:rsidRPr="00F567E1">
        <w:rPr>
          <w:lang w:val="es-ES_tradnl"/>
        </w:rPr>
        <w:t>Basilea, Estocolmo y Rotterdam en régimen de recuperación de costos, de conformidad con los programas de trabajo y los presupuestos de los Convenios para cada bienio;</w:t>
      </w:r>
      <w:bookmarkStart w:id="77" w:name="_Hlk38284587"/>
      <w:bookmarkEnd w:id="77"/>
    </w:p>
    <w:p w14:paraId="09A5A7D7" w14:textId="41B7D729" w:rsidR="00312042" w:rsidRPr="00F567E1" w:rsidRDefault="00312042" w:rsidP="00312042">
      <w:pPr>
        <w:pStyle w:val="Normal-pool"/>
        <w:numPr>
          <w:ilvl w:val="6"/>
          <w:numId w:val="67"/>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Acoge con beneplácito</w:t>
      </w:r>
      <w:r w:rsidRPr="00F567E1">
        <w:rPr>
          <w:lang w:val="es-ES_tradnl"/>
        </w:rPr>
        <w:t xml:space="preserve"> la cooperación entre la Secretaría del Convenio de Minamata sobre el Mercurio y la Secretaría de los Convenios de Basilea, Estocolmo y Rotterdam en materia de formación de posibles presidentes y negociadores para las reuniones de los órganos, y solicita a la Secretaría del Convenio de Minamata sobre el Mercurio que, en función de la disponibilidad de recursos, siga contribuyendo a que se imparta esa formación;</w:t>
      </w:r>
    </w:p>
    <w:p w14:paraId="332486EC" w14:textId="44C6153D" w:rsidR="00312042" w:rsidRPr="00F567E1" w:rsidRDefault="00312042" w:rsidP="00312042">
      <w:pPr>
        <w:pStyle w:val="Normal-pool"/>
        <w:numPr>
          <w:ilvl w:val="6"/>
          <w:numId w:val="67"/>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Secretaria Ejecutiva que:</w:t>
      </w:r>
    </w:p>
    <w:p w14:paraId="1B58DED5" w14:textId="12F05445" w:rsidR="00312042" w:rsidRPr="00F567E1" w:rsidRDefault="00312042" w:rsidP="00312042">
      <w:pPr>
        <w:pStyle w:val="Normalnumber"/>
        <w:numPr>
          <w:ilvl w:val="0"/>
          <w:numId w:val="66"/>
        </w:numPr>
        <w:tabs>
          <w:tab w:val="clear" w:pos="1247"/>
          <w:tab w:val="clear" w:pos="1814"/>
          <w:tab w:val="clear" w:pos="2381"/>
          <w:tab w:val="clear" w:pos="2948"/>
          <w:tab w:val="clear" w:pos="3515"/>
          <w:tab w:val="left" w:pos="624"/>
        </w:tabs>
        <w:adjustRightInd w:val="0"/>
        <w:snapToGrid w:val="0"/>
        <w:spacing w:after="110"/>
        <w:ind w:left="1247" w:firstLine="624"/>
        <w:rPr>
          <w:rFonts w:asciiTheme="majorBidi" w:hAnsiTheme="majorBidi" w:cstheme="majorBidi"/>
          <w:lang w:val="es-ES_tradnl"/>
        </w:rPr>
      </w:pPr>
      <w:r w:rsidRPr="00F567E1">
        <w:rPr>
          <w:lang w:val="es-ES_tradnl"/>
        </w:rPr>
        <w:t>Siga cooperando con la Secretaría del Convenio de Minamata sobre el Mercurio, bajo</w:t>
      </w:r>
      <w:r w:rsidR="004A73A4" w:rsidRPr="00F567E1">
        <w:rPr>
          <w:lang w:val="es-ES_tradnl"/>
        </w:rPr>
        <w:t> </w:t>
      </w:r>
      <w:r w:rsidRPr="00F567E1">
        <w:rPr>
          <w:lang w:val="es-ES_tradnl"/>
        </w:rPr>
        <w:t>la orientación general del equipo de tareas, según proceda, en lo que respecta a las cuestiones administrativas, programáticas, científicas, técnicas y de asistencia técnica pertinentes, de conformidad con el programa de trabajo y presupuesto, y busque la forma de seguir estrechando la cooperación y la colaboración con los Convenios de Basilea, Estocolmo y Rotterdam;</w:t>
      </w:r>
    </w:p>
    <w:p w14:paraId="3B6955B7" w14:textId="65CF97DF" w:rsidR="00312042" w:rsidRPr="00F567E1" w:rsidRDefault="00312042" w:rsidP="00312042">
      <w:pPr>
        <w:pStyle w:val="Normalnumber"/>
        <w:numPr>
          <w:ilvl w:val="0"/>
          <w:numId w:val="66"/>
        </w:numPr>
        <w:tabs>
          <w:tab w:val="clear" w:pos="1247"/>
          <w:tab w:val="clear" w:pos="1814"/>
          <w:tab w:val="clear" w:pos="2381"/>
          <w:tab w:val="clear" w:pos="2948"/>
          <w:tab w:val="clear" w:pos="3515"/>
          <w:tab w:val="left" w:pos="624"/>
        </w:tabs>
        <w:adjustRightInd w:val="0"/>
        <w:snapToGrid w:val="0"/>
        <w:spacing w:after="110"/>
        <w:ind w:left="1247" w:firstLine="624"/>
        <w:rPr>
          <w:rFonts w:asciiTheme="majorBidi" w:hAnsiTheme="majorBidi" w:cstheme="majorBidi"/>
          <w:lang w:val="es-ES_tradnl"/>
        </w:rPr>
      </w:pPr>
      <w:r w:rsidRPr="00F567E1">
        <w:rPr>
          <w:lang w:val="es-ES_tradnl"/>
        </w:rPr>
        <w:t>Siga con la aplicación del intercambio de servicios y la adquisición de los servicios pertinentes con la Secretaría de los Convenios de Basilea, Estocolmo y Rotterdam en régimen de recuperación de costos, según proceda y de conformidad con el programa de trabajo y presupuesto de</w:t>
      </w:r>
      <w:r w:rsidR="000865BE" w:rsidRPr="00F567E1">
        <w:rPr>
          <w:lang w:val="es-ES_tradnl"/>
        </w:rPr>
        <w:t> </w:t>
      </w:r>
      <w:r w:rsidRPr="00F567E1">
        <w:rPr>
          <w:lang w:val="es-ES_tradnl"/>
        </w:rPr>
        <w:t>cada bienio;</w:t>
      </w:r>
    </w:p>
    <w:p w14:paraId="530A1A22" w14:textId="56F7D121" w:rsidR="00312042" w:rsidRPr="00F567E1" w:rsidRDefault="00312042" w:rsidP="007B1491">
      <w:pPr>
        <w:pStyle w:val="Normalnumber"/>
        <w:numPr>
          <w:ilvl w:val="0"/>
          <w:numId w:val="66"/>
        </w:numPr>
        <w:tabs>
          <w:tab w:val="clear" w:pos="1247"/>
          <w:tab w:val="clear" w:pos="1814"/>
          <w:tab w:val="clear" w:pos="2381"/>
          <w:tab w:val="clear" w:pos="2948"/>
          <w:tab w:val="clear" w:pos="3515"/>
          <w:tab w:val="left" w:pos="624"/>
        </w:tabs>
        <w:adjustRightInd w:val="0"/>
        <w:snapToGrid w:val="0"/>
        <w:spacing w:after="110"/>
        <w:ind w:left="1247" w:firstLine="624"/>
        <w:rPr>
          <w:rFonts w:asciiTheme="majorBidi" w:hAnsiTheme="majorBidi" w:cstheme="majorBidi"/>
          <w:lang w:val="es-ES_tradnl"/>
        </w:rPr>
        <w:sectPr w:rsidR="00312042" w:rsidRPr="00F567E1" w:rsidSect="00E84D8D">
          <w:footnotePr>
            <w:numRestart w:val="eachSect"/>
          </w:footnotePr>
          <w:type w:val="continuous"/>
          <w:pgSz w:w="11906" w:h="16838" w:code="9"/>
          <w:pgMar w:top="907" w:right="992" w:bottom="1418" w:left="1418" w:header="539" w:footer="975" w:gutter="0"/>
          <w:cols w:space="539"/>
          <w:docGrid w:linePitch="360"/>
        </w:sectPr>
      </w:pPr>
      <w:r w:rsidRPr="00F567E1">
        <w:rPr>
          <w:lang w:val="es-ES_tradnl"/>
        </w:rPr>
        <w:t>Rinda informe sobre la aplicación de la presente decisión, en especial sobre la creación de un marco estable de cooperación e intercambio de servicios, mediante una reseña de las actividades de cooperación previstas en ese marco para el bienio 2028</w:t>
      </w:r>
      <w:r w:rsidR="009A7E28" w:rsidRPr="00F567E1">
        <w:rPr>
          <w:lang w:val="es-ES_tradnl"/>
        </w:rPr>
        <w:t>-</w:t>
      </w:r>
      <w:r w:rsidRPr="00F567E1">
        <w:rPr>
          <w:lang w:val="es-ES_tradnl"/>
        </w:rPr>
        <w:t>2029, a fin de que la Conferencia de las Partes lo examine y, si es necesario, proporcione más orientaciones en su próxima reunión.</w:t>
      </w:r>
    </w:p>
    <w:p w14:paraId="45995D39" w14:textId="77777777" w:rsidR="00312042" w:rsidRPr="00F567E1" w:rsidRDefault="00312042" w:rsidP="00312042">
      <w:pPr>
        <w:spacing w:after="160" w:line="278" w:lineRule="auto"/>
        <w:rPr>
          <w:rFonts w:asciiTheme="majorBidi" w:hAnsiTheme="majorBidi" w:cstheme="majorBidi"/>
          <w:lang w:val="es-ES_tradnl"/>
        </w:rPr>
      </w:pPr>
      <w:r w:rsidRPr="00F567E1">
        <w:rPr>
          <w:rFonts w:asciiTheme="majorBidi" w:hAnsiTheme="majorBidi" w:cstheme="majorBidi"/>
          <w:lang w:val="es-ES_tradnl"/>
        </w:rPr>
        <w:br w:type="page"/>
      </w:r>
    </w:p>
    <w:p w14:paraId="279A2980" w14:textId="5130586B" w:rsidR="00312042" w:rsidRPr="00F567E1" w:rsidRDefault="00312042" w:rsidP="002819FE">
      <w:pPr>
        <w:pStyle w:val="CH2"/>
        <w:outlineLvl w:val="0"/>
        <w:rPr>
          <w:lang w:val="es-ES_tradnl"/>
        </w:rPr>
      </w:pPr>
      <w:bookmarkStart w:id="78" w:name="_Toc213853078"/>
      <w:r w:rsidRPr="00F567E1">
        <w:rPr>
          <w:lang w:val="es-ES_tradnl"/>
        </w:rPr>
        <w:lastRenderedPageBreak/>
        <w:tab/>
      </w:r>
      <w:r w:rsidRPr="00F567E1">
        <w:rPr>
          <w:lang w:val="es-ES_tradnl"/>
        </w:rPr>
        <w:tab/>
      </w:r>
      <w:bookmarkStart w:id="79" w:name="_Toc223088526"/>
      <w:r w:rsidRPr="00F567E1">
        <w:rPr>
          <w:lang w:val="es-ES_tradnl"/>
        </w:rPr>
        <w:t>Decisión MC-6/21: programa de trabajo y presupuesto para el bienio</w:t>
      </w:r>
      <w:r w:rsidR="008C47FE" w:rsidRPr="00F567E1">
        <w:rPr>
          <w:lang w:val="es-ES_tradnl"/>
        </w:rPr>
        <w:t> </w:t>
      </w:r>
      <w:r w:rsidRPr="00F567E1">
        <w:rPr>
          <w:lang w:val="es-ES_tradnl"/>
        </w:rPr>
        <w:t>2026</w:t>
      </w:r>
      <w:r w:rsidR="00D273F9" w:rsidRPr="00F567E1">
        <w:rPr>
          <w:lang w:val="es-ES_tradnl"/>
        </w:rPr>
        <w:t>-</w:t>
      </w:r>
      <w:r w:rsidRPr="00F567E1">
        <w:rPr>
          <w:lang w:val="es-ES_tradnl"/>
        </w:rPr>
        <w:t>2027</w:t>
      </w:r>
      <w:bookmarkStart w:id="80" w:name="_Toc219712819"/>
      <w:bookmarkEnd w:id="78"/>
      <w:bookmarkEnd w:id="79"/>
      <w:bookmarkEnd w:id="80"/>
    </w:p>
    <w:p w14:paraId="6036EC83" w14:textId="77777777" w:rsidR="00312042" w:rsidRPr="00F567E1" w:rsidRDefault="00312042" w:rsidP="00312042">
      <w:pPr>
        <w:pStyle w:val="NormalNonumber"/>
        <w:tabs>
          <w:tab w:val="clear" w:pos="1247"/>
        </w:tabs>
        <w:ind w:firstLine="624"/>
        <w:rPr>
          <w:rFonts w:asciiTheme="majorBidi" w:hAnsiTheme="majorBidi" w:cstheme="majorBidi"/>
          <w:i/>
          <w:iCs/>
          <w:lang w:val="es-ES_tradnl"/>
        </w:rPr>
      </w:pPr>
      <w:r w:rsidRPr="00F567E1">
        <w:rPr>
          <w:i/>
          <w:iCs/>
          <w:lang w:val="es-ES_tradnl"/>
        </w:rPr>
        <w:t>La Conferencia de las Partes,</w:t>
      </w:r>
    </w:p>
    <w:p w14:paraId="361C55B3" w14:textId="0FA27DB3"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Recordando</w:t>
      </w:r>
      <w:r w:rsidRPr="00F567E1">
        <w:rPr>
          <w:lang w:val="es-ES_tradnl"/>
        </w:rPr>
        <w:t xml:space="preserve"> su decisión MC</w:t>
      </w:r>
      <w:r w:rsidRPr="00F567E1">
        <w:rPr>
          <w:lang w:val="es-ES_tradnl"/>
        </w:rPr>
        <w:noBreakHyphen/>
        <w:t>5/20 sobre el programa de trabajo y presupuesto para el bienio 2024</w:t>
      </w:r>
      <w:r w:rsidR="009A7E28" w:rsidRPr="00F567E1">
        <w:rPr>
          <w:lang w:val="es-ES_tradnl"/>
        </w:rPr>
        <w:t>-</w:t>
      </w:r>
      <w:r w:rsidRPr="00F567E1">
        <w:rPr>
          <w:lang w:val="es-ES_tradnl"/>
        </w:rPr>
        <w:t>2025,</w:t>
      </w:r>
    </w:p>
    <w:p w14:paraId="78109462" w14:textId="1A585146"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Acogiendo con beneplácito</w:t>
      </w:r>
      <w:r w:rsidRPr="00F567E1">
        <w:rPr>
          <w:lang w:val="es-ES_tradnl"/>
        </w:rPr>
        <w:t xml:space="preserve"> la contribución anual de Suiza, país anfitrión de la Secretaría, de</w:t>
      </w:r>
      <w:r w:rsidR="001605E1" w:rsidRPr="00F567E1">
        <w:rPr>
          <w:lang w:val="es-ES_tradnl"/>
        </w:rPr>
        <w:t> </w:t>
      </w:r>
      <w:r w:rsidRPr="00F567E1">
        <w:rPr>
          <w:lang w:val="es-ES_tradnl"/>
        </w:rPr>
        <w:t>1</w:t>
      </w:r>
      <w:r w:rsidR="001605E1" w:rsidRPr="00F567E1">
        <w:rPr>
          <w:lang w:val="es-ES_tradnl"/>
        </w:rPr>
        <w:t> </w:t>
      </w:r>
      <w:r w:rsidRPr="00F567E1">
        <w:rPr>
          <w:lang w:val="es-ES_tradnl"/>
        </w:rPr>
        <w:t>millón de francos suizos, el 60 % de los cuales se asigna al fondo fiduciario general y el 40 % al fondo fiduciario especial del Convenio de Minamata sobre el Mercurio, destinados en forma prioritaria a apoyar la participación de los representantes de países en desarrollo en las reuniones de la Conferencia de las Partes,</w:t>
      </w:r>
    </w:p>
    <w:p w14:paraId="2F196412" w14:textId="223A5AEA"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Tomando nota</w:t>
      </w:r>
      <w:r w:rsidRPr="00F567E1">
        <w:rPr>
          <w:lang w:val="es-ES_tradnl"/>
        </w:rPr>
        <w:t xml:space="preserve"> de las contribuciones abonadas por las Partes al fondo fiduciario general,</w:t>
      </w:r>
    </w:p>
    <w:p w14:paraId="7C20D2BD" w14:textId="5C2F8A06"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Observando</w:t>
      </w:r>
      <w:r w:rsidRPr="00F567E1">
        <w:rPr>
          <w:lang w:val="es-ES_tradnl"/>
        </w:rPr>
        <w:t xml:space="preserve"> que la totalidad de la reserva operacional del Convenio en el fondo fiduciario general se estableció en 2018, y reafirmando que la reserva operacional se mantiene al nivel del 15 % del presupuesto anual,</w:t>
      </w:r>
    </w:p>
    <w:p w14:paraId="12419273" w14:textId="0C514C75"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Reconociendo con aprecio</w:t>
      </w:r>
      <w:r w:rsidRPr="00F567E1">
        <w:rPr>
          <w:lang w:val="es-ES_tradnl"/>
        </w:rPr>
        <w:t xml:space="preserve"> las contribuciones y promesas de contribuciones al fondo fiduciario especial hechas por el Canadá, España, el Japón, el Reino de los Países Bajos y Suecia en el bienio</w:t>
      </w:r>
      <w:r w:rsidR="009A7E28" w:rsidRPr="00F567E1">
        <w:rPr>
          <w:lang w:val="es-ES_tradnl"/>
        </w:rPr>
        <w:t> </w:t>
      </w:r>
      <w:r w:rsidRPr="00F567E1">
        <w:rPr>
          <w:lang w:val="es-ES_tradnl"/>
        </w:rPr>
        <w:t>2024</w:t>
      </w:r>
      <w:r w:rsidR="009A7E28" w:rsidRPr="00F567E1">
        <w:rPr>
          <w:lang w:val="es-ES_tradnl"/>
        </w:rPr>
        <w:t>-</w:t>
      </w:r>
      <w:r w:rsidRPr="00F567E1">
        <w:rPr>
          <w:lang w:val="es-ES_tradnl"/>
        </w:rPr>
        <w:t>2025,</w:t>
      </w:r>
    </w:p>
    <w:p w14:paraId="789C0DEE" w14:textId="47425224"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 xml:space="preserve">Reconociendo con aprecio también </w:t>
      </w:r>
      <w:r w:rsidRPr="00F567E1">
        <w:rPr>
          <w:lang w:val="es-ES_tradnl"/>
        </w:rPr>
        <w:t>las contribuciones y promesas de contribuciones hechas por Alemania, Austria, Dinamarca, los Estados Unidos de América, Francia, Noruega, el Reino de los Países Bajos, el Reino Unido de Gran Bretaña e Irlanda del Norte, Suecia y Suiza para sufragar actividades en el marco del fondo fiduciario específico del Programa Internacional Específico para apoyar la creación de capacidad y la asistencia técnica de cara a la cuarta ronda de solicitudes,</w:t>
      </w:r>
    </w:p>
    <w:p w14:paraId="15CF6098" w14:textId="77777777" w:rsidR="00312042" w:rsidRPr="00F567E1" w:rsidRDefault="00312042" w:rsidP="00312042">
      <w:pPr>
        <w:pStyle w:val="CH2"/>
        <w:ind w:firstLine="0"/>
        <w:jc w:val="center"/>
        <w:rPr>
          <w:rFonts w:asciiTheme="majorBidi" w:hAnsiTheme="majorBidi" w:cstheme="majorBidi"/>
          <w:sz w:val="20"/>
          <w:szCs w:val="20"/>
          <w:lang w:val="es-ES_tradnl"/>
        </w:rPr>
      </w:pPr>
      <w:bookmarkStart w:id="81" w:name="_Toc216165217"/>
      <w:bookmarkStart w:id="82" w:name="_Toc219712820"/>
      <w:r w:rsidRPr="00F567E1">
        <w:rPr>
          <w:bCs/>
          <w:sz w:val="20"/>
          <w:szCs w:val="20"/>
          <w:lang w:val="es-ES_tradnl"/>
        </w:rPr>
        <w:t>I</w:t>
      </w:r>
      <w:bookmarkEnd w:id="81"/>
      <w:bookmarkEnd w:id="82"/>
    </w:p>
    <w:p w14:paraId="4FB967E2" w14:textId="77777777" w:rsidR="00312042" w:rsidRPr="00F567E1" w:rsidRDefault="00312042" w:rsidP="00312042">
      <w:pPr>
        <w:pStyle w:val="CH2"/>
        <w:keepNext w:val="0"/>
        <w:keepLines w:val="0"/>
        <w:spacing w:before="120"/>
        <w:ind w:firstLine="0"/>
        <w:jc w:val="center"/>
        <w:rPr>
          <w:rFonts w:asciiTheme="majorBidi" w:hAnsiTheme="majorBidi" w:cstheme="majorBidi"/>
          <w:sz w:val="20"/>
          <w:szCs w:val="20"/>
          <w:lang w:val="es-ES_tradnl"/>
        </w:rPr>
      </w:pPr>
      <w:bookmarkStart w:id="83" w:name="_Toc216165218"/>
      <w:bookmarkStart w:id="84" w:name="_Toc219712821"/>
      <w:r w:rsidRPr="00F567E1">
        <w:rPr>
          <w:bCs/>
          <w:sz w:val="20"/>
          <w:szCs w:val="20"/>
          <w:lang w:val="es-ES_tradnl"/>
        </w:rPr>
        <w:t>Fondo fiduciario general del Convenio de Minamata sobre el Mercurio</w:t>
      </w:r>
      <w:bookmarkEnd w:id="83"/>
      <w:bookmarkEnd w:id="84"/>
    </w:p>
    <w:p w14:paraId="16D31994" w14:textId="087B7277"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Toma nota</w:t>
      </w:r>
      <w:r w:rsidRPr="00F567E1">
        <w:rPr>
          <w:lang w:val="es-ES_tradnl"/>
        </w:rPr>
        <w:t xml:space="preserve"> del proyecto de programa de trabajo y presupuesto para el </w:t>
      </w:r>
      <w:r w:rsidR="00551AE7" w:rsidRPr="00F567E1">
        <w:rPr>
          <w:lang w:val="es-ES_tradnl"/>
        </w:rPr>
        <w:br/>
      </w:r>
      <w:r w:rsidRPr="00F567E1">
        <w:rPr>
          <w:lang w:val="es-ES_tradnl"/>
        </w:rPr>
        <w:t>bienio</w:t>
      </w:r>
      <w:r w:rsidR="00551AE7" w:rsidRPr="00F567E1">
        <w:rPr>
          <w:lang w:val="es-ES_tradnl"/>
        </w:rPr>
        <w:t xml:space="preserve"> </w:t>
      </w:r>
      <w:r w:rsidRPr="00F567E1">
        <w:rPr>
          <w:lang w:val="es-ES_tradnl"/>
        </w:rPr>
        <w:t>2026</w:t>
      </w:r>
      <w:r w:rsidR="009A7E28" w:rsidRPr="00F567E1">
        <w:rPr>
          <w:lang w:val="es-ES_tradnl"/>
        </w:rPr>
        <w:t>-</w:t>
      </w:r>
      <w:r w:rsidRPr="00F567E1">
        <w:rPr>
          <w:lang w:val="es-ES_tradnl"/>
        </w:rPr>
        <w:t>2027</w:t>
      </w:r>
      <w:r w:rsidRPr="00F567E1">
        <w:rPr>
          <w:rStyle w:val="FootnoteReference"/>
          <w:rFonts w:asciiTheme="majorBidi" w:hAnsiTheme="majorBidi" w:cstheme="majorBidi"/>
          <w:lang w:val="es-ES_tradnl"/>
        </w:rPr>
        <w:footnoteReference w:id="36"/>
      </w:r>
      <w:r w:rsidRPr="00F567E1">
        <w:rPr>
          <w:lang w:val="es-ES_tradnl"/>
        </w:rPr>
        <w:t>, de la información sobre cuestiones financieras, incluidos el informe sobre gastos</w:t>
      </w:r>
      <w:r w:rsidRPr="00F567E1">
        <w:rPr>
          <w:rStyle w:val="FootnoteReference"/>
          <w:rFonts w:asciiTheme="majorBidi" w:hAnsiTheme="majorBidi" w:cstheme="majorBidi"/>
          <w:lang w:val="es-ES_tradnl"/>
        </w:rPr>
        <w:footnoteReference w:id="37"/>
      </w:r>
      <w:r w:rsidRPr="00F567E1">
        <w:rPr>
          <w:lang w:val="es-ES_tradnl"/>
        </w:rPr>
        <w:t xml:space="preserve"> y las fichas descriptivas de las actividades presupuestarias</w:t>
      </w:r>
      <w:r w:rsidRPr="00F567E1">
        <w:rPr>
          <w:rStyle w:val="FootnoteReference"/>
          <w:rFonts w:asciiTheme="majorBidi" w:hAnsiTheme="majorBidi" w:cstheme="majorBidi"/>
          <w:lang w:val="es-ES_tradnl"/>
        </w:rPr>
        <w:footnoteReference w:id="38"/>
      </w:r>
      <w:r w:rsidRPr="00F567E1">
        <w:rPr>
          <w:lang w:val="es-ES_tradnl"/>
        </w:rPr>
        <w:t>, y del informe facilitado por la Secretaría sobre los progresos realizados en la ejecución del programa de trabajo de 2024</w:t>
      </w:r>
      <w:r w:rsidR="00D273F9" w:rsidRPr="00F567E1">
        <w:rPr>
          <w:lang w:val="es-ES_tradnl"/>
        </w:rPr>
        <w:t>-</w:t>
      </w:r>
      <w:r w:rsidRPr="00F567E1">
        <w:rPr>
          <w:lang w:val="es-ES_tradnl"/>
        </w:rPr>
        <w:t>2025</w:t>
      </w:r>
      <w:r w:rsidRPr="00F567E1">
        <w:rPr>
          <w:rStyle w:val="FootnoteReference"/>
          <w:rFonts w:asciiTheme="majorBidi" w:hAnsiTheme="majorBidi" w:cstheme="majorBidi"/>
          <w:lang w:val="es-ES_tradnl"/>
        </w:rPr>
        <w:footnoteReference w:id="39"/>
      </w:r>
      <w:r w:rsidRPr="00F567E1">
        <w:rPr>
          <w:lang w:val="es-ES_tradnl"/>
        </w:rPr>
        <w:t>;</w:t>
      </w:r>
    </w:p>
    <w:p w14:paraId="3B88F964" w14:textId="4E0B1CF6"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Aprueba</w:t>
      </w:r>
      <w:r w:rsidRPr="00F567E1">
        <w:rPr>
          <w:lang w:val="es-ES_tradnl"/>
        </w:rPr>
        <w:t xml:space="preserve"> el presupuesto del fondo fiduciario general para el bienio 2026</w:t>
      </w:r>
      <w:r w:rsidR="00D273F9" w:rsidRPr="00F567E1">
        <w:rPr>
          <w:lang w:val="es-ES_tradnl"/>
        </w:rPr>
        <w:t>-</w:t>
      </w:r>
      <w:r w:rsidRPr="00F567E1">
        <w:rPr>
          <w:lang w:val="es-ES_tradnl"/>
        </w:rPr>
        <w:t>2027 por valor de 8.431.553 dólares de los Estados Unidos;</w:t>
      </w:r>
    </w:p>
    <w:p w14:paraId="10D434C4" w14:textId="626975AF"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Autoriza</w:t>
      </w:r>
      <w:r w:rsidRPr="00F567E1">
        <w:rPr>
          <w:lang w:val="es-ES_tradnl"/>
        </w:rPr>
        <w:t xml:space="preserve"> a la Secretaria Ejecutiva a retirar del superávit disponible estimado del fondo fiduciario general la suma de 96.050 dólares de los Estados Unidos para financiar una reunión del Grupo de Evaluación de la Eficacia; </w:t>
      </w:r>
    </w:p>
    <w:p w14:paraId="37F908F6" w14:textId="106003A6"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Aprueba</w:t>
      </w:r>
      <w:r w:rsidRPr="00F567E1">
        <w:rPr>
          <w:lang w:val="es-ES_tradnl"/>
        </w:rPr>
        <w:t xml:space="preserve"> la plantilla para la Secretaría correspondiente al bienio 2026</w:t>
      </w:r>
      <w:r w:rsidR="009A7E28" w:rsidRPr="00F567E1">
        <w:rPr>
          <w:lang w:val="es-ES_tradnl"/>
        </w:rPr>
        <w:t>-</w:t>
      </w:r>
      <w:r w:rsidRPr="00F567E1">
        <w:rPr>
          <w:lang w:val="es-ES_tradnl"/>
        </w:rPr>
        <w:t>2027 que se ha utilizado para calcular los costos a fin de establecer el presupuesto general, que se reproduce en el cuadro 3 del anexo de la presente decisión;</w:t>
      </w:r>
    </w:p>
    <w:p w14:paraId="67D9A353" w14:textId="03154549"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Autoriza</w:t>
      </w:r>
      <w:r w:rsidRPr="00F567E1">
        <w:rPr>
          <w:lang w:val="es-ES_tradnl"/>
        </w:rPr>
        <w:t xml:space="preserve"> a la Secretaria Ejecutiva, con carácter excepcional y como último recurso, a que retire fondos adicionales que no excedan los 541.749 dólares de los Estados Unidos del saldo neto del fondo fiduciario general para cubrir cualquier déficit de la plantilla aprobada para el </w:t>
      </w:r>
      <w:r w:rsidR="00194013" w:rsidRPr="00F567E1">
        <w:rPr>
          <w:lang w:val="es-ES_tradnl"/>
        </w:rPr>
        <w:br/>
      </w:r>
      <w:r w:rsidRPr="00F567E1">
        <w:rPr>
          <w:lang w:val="es-ES_tradnl"/>
        </w:rPr>
        <w:t>bienio 2026</w:t>
      </w:r>
      <w:r w:rsidR="009A7E28" w:rsidRPr="00F567E1">
        <w:rPr>
          <w:lang w:val="es-ES_tradnl"/>
        </w:rPr>
        <w:t>-</w:t>
      </w:r>
      <w:r w:rsidRPr="00F567E1">
        <w:rPr>
          <w:lang w:val="es-ES_tradnl"/>
        </w:rPr>
        <w:t>2027, en caso de que no sea adecuado el incremento anual aplicado a los gastos reales de personal y usado para determinar el costo presupuestado correspondiente a la dotación de personal, siempre y cuando el saldo neto no se reduzca por debajo de la reserva operacional;</w:t>
      </w:r>
    </w:p>
    <w:p w14:paraId="235B9ED1" w14:textId="3A20CC08"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Aprueba</w:t>
      </w:r>
      <w:r w:rsidRPr="00F567E1">
        <w:rPr>
          <w:lang w:val="es-ES_tradnl"/>
        </w:rPr>
        <w:t xml:space="preserve"> la escala indicativa de cuotas para el prorrateo de los gastos correspondientes a 2026</w:t>
      </w:r>
      <w:r w:rsidR="00D273F9" w:rsidRPr="00F567E1">
        <w:rPr>
          <w:lang w:val="es-ES_tradnl"/>
        </w:rPr>
        <w:t>-</w:t>
      </w:r>
      <w:r w:rsidRPr="00F567E1">
        <w:rPr>
          <w:lang w:val="es-ES_tradnl"/>
        </w:rPr>
        <w:t>2027 que figura en el cuadro 2 del anexo de la presente decisión y autoriza a la Secretaria Ejecutiva, de conformidad con el Reglamento Financiero y Reglamentación Financiera Detallada de las Naciones Unidas, a que ajuste la escala de manera que se incluya a todas las Partes para las cuales el Convenio entrará en vigor antes del 1 de enero de 2026;</w:t>
      </w:r>
    </w:p>
    <w:p w14:paraId="0CE86E7A" w14:textId="2CE46781"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lastRenderedPageBreak/>
        <w:t>Recuerda</w:t>
      </w:r>
      <w:r w:rsidRPr="00F567E1">
        <w:rPr>
          <w:lang w:val="es-ES_tradnl"/>
        </w:rPr>
        <w:t xml:space="preserve"> que las contribuciones al fondo fiduciario general han de abonarse antes del</w:t>
      </w:r>
      <w:r w:rsidR="00716B65" w:rsidRPr="00F567E1">
        <w:rPr>
          <w:lang w:val="es-ES_tradnl"/>
        </w:rPr>
        <w:t> </w:t>
      </w:r>
      <w:r w:rsidRPr="00F567E1">
        <w:rPr>
          <w:lang w:val="es-ES_tradnl"/>
        </w:rPr>
        <w:t>1 de enero del año para el que se hayan presupuestado, y a más tardar el 31 de diciembre de ese año, y solicita a las Partes que paguen sus contribuciones lo antes posible para que la Secretaría pueda llevar a cabo su labor;</w:t>
      </w:r>
    </w:p>
    <w:p w14:paraId="4BE2FAC9" w14:textId="550D65EB"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a hacer todo lo posible para pagar las contribuciones pendientes lo antes posible y solicita a la Secretaría que informe a la Conferencia de las Partes en su séptima reunión sobre los progresos realizados gracias al esfuerzo contributivo de las Partes;</w:t>
      </w:r>
    </w:p>
    <w:p w14:paraId="5DBBE143" w14:textId="63909648"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que contacte directamente con las misiones permanentes, los ministerios de relaciones exteriores y los coordinadores de las Partes que se encuentren en esa situación para que abonen íntegramente sus cuotas pendientes lo antes posible, y que informe, en las reuniones pertinentes, sobre la situación del momento en cuanto a las cuotas pendientes y sus consecuencias;</w:t>
      </w:r>
    </w:p>
    <w:p w14:paraId="0BBDA4EE" w14:textId="77777777" w:rsidR="00312042" w:rsidRPr="00F567E1" w:rsidRDefault="00312042" w:rsidP="00312042">
      <w:pPr>
        <w:pStyle w:val="CH2"/>
        <w:ind w:firstLine="0"/>
        <w:jc w:val="center"/>
        <w:rPr>
          <w:rFonts w:asciiTheme="majorBidi" w:hAnsiTheme="majorBidi" w:cstheme="majorBidi"/>
          <w:sz w:val="20"/>
          <w:szCs w:val="20"/>
          <w:lang w:val="es-ES_tradnl"/>
        </w:rPr>
      </w:pPr>
      <w:bookmarkStart w:id="85" w:name="_Toc216165219"/>
      <w:bookmarkStart w:id="86" w:name="_Toc219712822"/>
      <w:r w:rsidRPr="00F567E1">
        <w:rPr>
          <w:bCs/>
          <w:sz w:val="20"/>
          <w:szCs w:val="20"/>
          <w:lang w:val="es-ES_tradnl"/>
        </w:rPr>
        <w:t>II</w:t>
      </w:r>
      <w:bookmarkEnd w:id="85"/>
      <w:bookmarkEnd w:id="86"/>
    </w:p>
    <w:p w14:paraId="056CECEC" w14:textId="77777777" w:rsidR="00312042" w:rsidRPr="00F567E1" w:rsidRDefault="00312042" w:rsidP="00312042">
      <w:pPr>
        <w:pStyle w:val="CH2"/>
        <w:spacing w:before="120"/>
        <w:ind w:firstLine="0"/>
        <w:jc w:val="center"/>
        <w:rPr>
          <w:rFonts w:asciiTheme="majorBidi" w:hAnsiTheme="majorBidi" w:cstheme="majorBidi"/>
          <w:sz w:val="20"/>
          <w:szCs w:val="20"/>
          <w:lang w:val="es-ES_tradnl"/>
        </w:rPr>
      </w:pPr>
      <w:bookmarkStart w:id="87" w:name="_Toc216165220"/>
      <w:bookmarkStart w:id="88" w:name="_Toc219712823"/>
      <w:r w:rsidRPr="00F567E1">
        <w:rPr>
          <w:bCs/>
          <w:sz w:val="20"/>
          <w:szCs w:val="20"/>
          <w:lang w:val="es-ES_tradnl"/>
        </w:rPr>
        <w:t>Fondo fiduciario especial del Convenio de Minamata sobre el Mercurio</w:t>
      </w:r>
      <w:bookmarkEnd w:id="87"/>
      <w:bookmarkEnd w:id="88"/>
    </w:p>
    <w:p w14:paraId="3EC9BE86" w14:textId="3C32F97B"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Toma nota</w:t>
      </w:r>
      <w:r w:rsidRPr="00F567E1">
        <w:rPr>
          <w:lang w:val="es-ES_tradnl"/>
        </w:rPr>
        <w:t xml:space="preserve"> del informe presentado por la Secretaria Ejecutiva sobre las actividades y</w:t>
      </w:r>
      <w:r w:rsidR="009A7E28" w:rsidRPr="00F567E1">
        <w:rPr>
          <w:lang w:val="es-ES_tradnl"/>
        </w:rPr>
        <w:t> </w:t>
      </w:r>
      <w:r w:rsidRPr="00F567E1">
        <w:rPr>
          <w:lang w:val="es-ES_tradnl"/>
        </w:rPr>
        <w:t>los gastos de 2024</w:t>
      </w:r>
      <w:r w:rsidR="00D273F9" w:rsidRPr="00F567E1">
        <w:rPr>
          <w:lang w:val="es-ES_tradnl"/>
        </w:rPr>
        <w:t>-</w:t>
      </w:r>
      <w:r w:rsidRPr="00F567E1">
        <w:rPr>
          <w:lang w:val="es-ES_tradnl"/>
        </w:rPr>
        <w:t>2025 financiados con cargo al fondo fiduciario especial, que figura en la información sobre cuestiones financieras</w:t>
      </w:r>
      <w:r w:rsidRPr="00F567E1">
        <w:rPr>
          <w:rStyle w:val="FootnoteReference"/>
          <w:rFonts w:asciiTheme="majorBidi" w:hAnsiTheme="majorBidi" w:cstheme="majorBidi"/>
          <w:lang w:val="es-ES_tradnl"/>
        </w:rPr>
        <w:footnoteReference w:id="40"/>
      </w:r>
      <w:r w:rsidRPr="00F567E1">
        <w:rPr>
          <w:lang w:val="es-ES_tradnl"/>
        </w:rPr>
        <w:t>, y del informe presentado por la Secretaría sobre los progresos realizados en la ejecución del programa de trabajo de 2024</w:t>
      </w:r>
      <w:r w:rsidR="00D273F9" w:rsidRPr="00F567E1">
        <w:rPr>
          <w:lang w:val="es-ES_tradnl"/>
        </w:rPr>
        <w:t>-</w:t>
      </w:r>
      <w:r w:rsidRPr="00F567E1">
        <w:rPr>
          <w:lang w:val="es-ES_tradnl"/>
        </w:rPr>
        <w:t>2025</w:t>
      </w:r>
      <w:r w:rsidRPr="00F567E1">
        <w:rPr>
          <w:rStyle w:val="FootnoteReference"/>
          <w:rFonts w:asciiTheme="majorBidi" w:hAnsiTheme="majorBidi" w:cstheme="majorBidi"/>
          <w:lang w:val="es-ES_tradnl"/>
        </w:rPr>
        <w:footnoteReference w:id="41"/>
      </w:r>
      <w:r w:rsidRPr="00F567E1">
        <w:rPr>
          <w:lang w:val="es-ES_tradnl"/>
        </w:rPr>
        <w:t>;</w:t>
      </w:r>
    </w:p>
    <w:p w14:paraId="5C9EFBA3" w14:textId="21DCA22C"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Toma nota también</w:t>
      </w:r>
      <w:r w:rsidRPr="00F567E1">
        <w:rPr>
          <w:lang w:val="es-ES_tradnl"/>
        </w:rPr>
        <w:t xml:space="preserve"> del proyecto de programa de trabajo y presupuesto para el bienio</w:t>
      </w:r>
      <w:r w:rsidR="00EE2820" w:rsidRPr="00F567E1">
        <w:rPr>
          <w:lang w:val="es-ES_tradnl"/>
        </w:rPr>
        <w:t> </w:t>
      </w:r>
      <w:r w:rsidRPr="00F567E1">
        <w:rPr>
          <w:lang w:val="es-ES_tradnl"/>
        </w:rPr>
        <w:t>2026</w:t>
      </w:r>
      <w:r w:rsidR="00D273F9" w:rsidRPr="00F567E1">
        <w:rPr>
          <w:lang w:val="es-ES_tradnl"/>
        </w:rPr>
        <w:t>-</w:t>
      </w:r>
      <w:r w:rsidRPr="00F567E1">
        <w:rPr>
          <w:lang w:val="es-ES_tradnl"/>
        </w:rPr>
        <w:t>2027</w:t>
      </w:r>
      <w:r w:rsidRPr="00F567E1">
        <w:rPr>
          <w:rStyle w:val="FootnoteReference"/>
          <w:rFonts w:asciiTheme="majorBidi" w:hAnsiTheme="majorBidi" w:cstheme="majorBidi"/>
          <w:lang w:val="es-ES_tradnl"/>
        </w:rPr>
        <w:footnoteReference w:id="42"/>
      </w:r>
      <w:r w:rsidRPr="00F567E1">
        <w:rPr>
          <w:lang w:val="es-ES_tradnl"/>
        </w:rPr>
        <w:t>, de la información adicional sobre cuestiones financieras</w:t>
      </w:r>
      <w:r w:rsidRPr="00F567E1">
        <w:rPr>
          <w:rStyle w:val="FootnoteReference"/>
          <w:rFonts w:asciiTheme="majorBidi" w:hAnsiTheme="majorBidi" w:cstheme="majorBidi"/>
          <w:lang w:val="es-ES_tradnl"/>
        </w:rPr>
        <w:footnoteReference w:id="43"/>
      </w:r>
      <w:r w:rsidRPr="00F567E1">
        <w:rPr>
          <w:lang w:val="es-ES_tradnl"/>
        </w:rPr>
        <w:t xml:space="preserve"> y de las fichas descriptivas de las actividades presupuestarias</w:t>
      </w:r>
      <w:r w:rsidRPr="00F567E1">
        <w:rPr>
          <w:rStyle w:val="FootnoteReference"/>
          <w:rFonts w:asciiTheme="majorBidi" w:hAnsiTheme="majorBidi" w:cstheme="majorBidi"/>
          <w:lang w:val="es-ES_tradnl"/>
        </w:rPr>
        <w:footnoteReference w:id="44"/>
      </w:r>
      <w:r w:rsidRPr="00F567E1">
        <w:rPr>
          <w:lang w:val="es-ES_tradnl"/>
        </w:rPr>
        <w:t>;</w:t>
      </w:r>
    </w:p>
    <w:p w14:paraId="5A2877B3" w14:textId="4F7959B6"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Da su conformidad</w:t>
      </w:r>
      <w:r w:rsidRPr="00F567E1">
        <w:rPr>
          <w:lang w:val="es-ES_tradnl"/>
        </w:rPr>
        <w:t xml:space="preserve"> a los gastos estimados del fondo fiduciario especial para el bienio 2026</w:t>
      </w:r>
      <w:r w:rsidR="00074CC9" w:rsidRPr="00F567E1">
        <w:rPr>
          <w:lang w:val="es-ES_tradnl"/>
        </w:rPr>
        <w:t>-</w:t>
      </w:r>
      <w:r w:rsidRPr="00F567E1">
        <w:rPr>
          <w:lang w:val="es-ES_tradnl"/>
        </w:rPr>
        <w:t>2027, que suman 4.891.770 dólares de los Estados Unidos;</w:t>
      </w:r>
    </w:p>
    <w:p w14:paraId="5D8505E9" w14:textId="3CE23FBE"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Hace notar</w:t>
      </w:r>
      <w:r w:rsidRPr="00F567E1">
        <w:rPr>
          <w:lang w:val="es-ES_tradnl"/>
        </w:rPr>
        <w:t xml:space="preserve"> que la ejecución de las actividades planificadas depende de la aportación de recursos al fondo fiduciario especial;</w:t>
      </w:r>
    </w:p>
    <w:p w14:paraId="5340AD76" w14:textId="4EB431F7"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las Partes en el Convenio a que aporten contribuciones al fondo fiduciario especial, e invita a hacer otro tanto a los Estados que no son Partes en el Convenio y demás entidades que estén en condiciones de aportarlas;</w:t>
      </w:r>
    </w:p>
    <w:p w14:paraId="734B5E55" w14:textId="71EDB7AE"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y a los Estados que no son Partes en el Convenio y demás entidades que estén en condiciones de hacerlo a aportar contribuciones al fondo fiduciario especial para apoyar la participación de representantes de los países en desarrollo y países con economías en transición en las reuniones de la Conferencia de las Partes y sus órganos subsidiarios;</w:t>
      </w:r>
    </w:p>
    <w:p w14:paraId="2D6ED43F" w14:textId="648CFC17"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Secretaria Ejecutiva que organice, en función de la disponibilidad de recursos, un acto de alto nivel para conmemorar el décimo aniversario del Convenio durante el octavo</w:t>
      </w:r>
      <w:r w:rsidR="00074CC9" w:rsidRPr="00F567E1">
        <w:rPr>
          <w:lang w:val="es-ES_tradnl"/>
        </w:rPr>
        <w:t> </w:t>
      </w:r>
      <w:r w:rsidRPr="00F567E1">
        <w:rPr>
          <w:lang w:val="es-ES_tradnl"/>
        </w:rPr>
        <w:t>período de sesiones de la Asamblea de las Naciones Unidas sobre el Medio Ambiente;</w:t>
      </w:r>
    </w:p>
    <w:p w14:paraId="0FD147FC" w14:textId="77777777" w:rsidR="00312042" w:rsidRPr="00F567E1" w:rsidRDefault="00312042" w:rsidP="00312042">
      <w:pPr>
        <w:pStyle w:val="CH2"/>
        <w:ind w:firstLine="0"/>
        <w:jc w:val="center"/>
        <w:rPr>
          <w:rFonts w:asciiTheme="majorBidi" w:hAnsiTheme="majorBidi" w:cstheme="majorBidi"/>
          <w:sz w:val="20"/>
          <w:szCs w:val="20"/>
          <w:lang w:val="es-ES_tradnl"/>
        </w:rPr>
      </w:pPr>
      <w:bookmarkStart w:id="89" w:name="_Toc216165221"/>
      <w:bookmarkStart w:id="90" w:name="_Toc219712824"/>
      <w:r w:rsidRPr="00F567E1">
        <w:rPr>
          <w:bCs/>
          <w:sz w:val="20"/>
          <w:szCs w:val="20"/>
          <w:lang w:val="es-ES_tradnl"/>
        </w:rPr>
        <w:t>III</w:t>
      </w:r>
      <w:bookmarkEnd w:id="89"/>
      <w:bookmarkEnd w:id="90"/>
    </w:p>
    <w:p w14:paraId="6AC352E1" w14:textId="77777777" w:rsidR="00312042" w:rsidRPr="00F567E1" w:rsidRDefault="00312042" w:rsidP="00312042">
      <w:pPr>
        <w:pStyle w:val="CH2"/>
        <w:keepNext w:val="0"/>
        <w:keepLines w:val="0"/>
        <w:spacing w:before="120"/>
        <w:ind w:firstLine="0"/>
        <w:jc w:val="center"/>
        <w:rPr>
          <w:rFonts w:asciiTheme="majorBidi" w:hAnsiTheme="majorBidi" w:cstheme="majorBidi"/>
          <w:sz w:val="20"/>
          <w:szCs w:val="20"/>
          <w:lang w:val="es-ES_tradnl"/>
        </w:rPr>
      </w:pPr>
      <w:bookmarkStart w:id="91" w:name="_Toc216165222"/>
      <w:bookmarkStart w:id="92" w:name="_Toc219712825"/>
      <w:r w:rsidRPr="00F567E1">
        <w:rPr>
          <w:bCs/>
          <w:sz w:val="20"/>
          <w:szCs w:val="20"/>
          <w:lang w:val="es-ES_tradnl"/>
        </w:rPr>
        <w:t>Fondo fiduciario específico del Convenio de Minamata sobre el Mercurio</w:t>
      </w:r>
      <w:bookmarkEnd w:id="91"/>
      <w:bookmarkEnd w:id="92"/>
    </w:p>
    <w:p w14:paraId="624F74C0" w14:textId="3F6DA673"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Toma nota</w:t>
      </w:r>
      <w:r w:rsidRPr="00F567E1">
        <w:rPr>
          <w:lang w:val="es-ES_tradnl"/>
        </w:rPr>
        <w:t xml:space="preserve"> del informe general sobre el Programa Internacional Específico para apoyar la creación de capacidad y la asistencia técnica y el fondo fiduciario específico establecido para esas actividades</w:t>
      </w:r>
      <w:r w:rsidRPr="00F567E1">
        <w:rPr>
          <w:rStyle w:val="FootnoteReference"/>
          <w:rFonts w:asciiTheme="majorBidi" w:hAnsiTheme="majorBidi" w:cstheme="majorBidi"/>
          <w:lang w:val="es-ES_tradnl"/>
        </w:rPr>
        <w:footnoteReference w:id="45"/>
      </w:r>
      <w:r w:rsidRPr="00F567E1">
        <w:rPr>
          <w:lang w:val="es-ES_tradnl"/>
        </w:rPr>
        <w:t xml:space="preserve">; </w:t>
      </w:r>
    </w:p>
    <w:p w14:paraId="1D3EE2FD" w14:textId="0C9A43B6"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y los Estados que no son Partes en el Convenio y demás entidades que estén en condiciones de hacerlo a que contribuyan al fondo fiduciario específico para apoyar las actividades de creación de capacidad y asistencia técnica de conformidad con el artículo 13 del Convenio;</w:t>
      </w:r>
    </w:p>
    <w:p w14:paraId="1096B358" w14:textId="77777777"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lastRenderedPageBreak/>
        <w:t>Alienta</w:t>
      </w:r>
      <w:r w:rsidRPr="00F567E1">
        <w:rPr>
          <w:lang w:val="es-ES_tradnl"/>
        </w:rPr>
        <w:t xml:space="preserve"> a las Partes a financiar un puesto de Funcionario Subalterno del Cuadro Orgánico para ayudar a ejecutar las actividades del Programa Internacional Específico;</w:t>
      </w:r>
    </w:p>
    <w:p w14:paraId="006AE9A0" w14:textId="77777777" w:rsidR="00312042" w:rsidRPr="00F567E1" w:rsidRDefault="00312042" w:rsidP="00312042">
      <w:pPr>
        <w:pStyle w:val="CH2"/>
        <w:ind w:firstLine="0"/>
        <w:jc w:val="center"/>
        <w:rPr>
          <w:rFonts w:asciiTheme="majorBidi" w:hAnsiTheme="majorBidi" w:cstheme="majorBidi"/>
          <w:b w:val="0"/>
          <w:sz w:val="20"/>
          <w:szCs w:val="20"/>
          <w:lang w:val="es-ES_tradnl"/>
        </w:rPr>
      </w:pPr>
      <w:bookmarkStart w:id="93" w:name="_Toc216165223"/>
      <w:bookmarkStart w:id="94" w:name="_Toc219712826"/>
      <w:r w:rsidRPr="00F567E1">
        <w:rPr>
          <w:bCs/>
          <w:sz w:val="20"/>
          <w:szCs w:val="20"/>
          <w:lang w:val="es-ES_tradnl"/>
        </w:rPr>
        <w:t>IV</w:t>
      </w:r>
      <w:bookmarkEnd w:id="93"/>
      <w:bookmarkEnd w:id="94"/>
    </w:p>
    <w:p w14:paraId="20914A83" w14:textId="77777777" w:rsidR="00312042" w:rsidRPr="00F567E1" w:rsidRDefault="00312042" w:rsidP="00312042">
      <w:pPr>
        <w:pStyle w:val="CH2"/>
        <w:keepNext w:val="0"/>
        <w:keepLines w:val="0"/>
        <w:spacing w:before="120"/>
        <w:ind w:firstLine="0"/>
        <w:jc w:val="center"/>
        <w:rPr>
          <w:rFonts w:asciiTheme="majorBidi" w:hAnsiTheme="majorBidi" w:cstheme="majorBidi"/>
          <w:b w:val="0"/>
          <w:sz w:val="20"/>
          <w:szCs w:val="20"/>
          <w:lang w:val="es-ES_tradnl"/>
        </w:rPr>
      </w:pPr>
      <w:bookmarkStart w:id="95" w:name="_Toc216165224"/>
      <w:bookmarkStart w:id="96" w:name="_Toc219712827"/>
      <w:r w:rsidRPr="00F567E1">
        <w:rPr>
          <w:bCs/>
          <w:sz w:val="20"/>
          <w:szCs w:val="20"/>
          <w:lang w:val="es-ES_tradnl"/>
        </w:rPr>
        <w:t>Preparativos para el bienio 2028–2029</w:t>
      </w:r>
      <w:bookmarkEnd w:id="95"/>
      <w:bookmarkEnd w:id="96"/>
    </w:p>
    <w:p w14:paraId="00E43D97" w14:textId="68AC8055"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Secretaria Ejecutiva que elabore un presupuesto para el bienio 2028</w:t>
      </w:r>
      <w:r w:rsidR="00074CC9" w:rsidRPr="00F567E1">
        <w:rPr>
          <w:lang w:val="es-ES_tradnl"/>
        </w:rPr>
        <w:t>-</w:t>
      </w:r>
      <w:r w:rsidRPr="00F567E1">
        <w:rPr>
          <w:lang w:val="es-ES_tradnl"/>
        </w:rPr>
        <w:t>2029 para su examen por la Conferencia de las Partes en su séptima reunión, prevista para 2027, en el que se expliquen los principios fundamentales, las hipótesis y la estrategia programática en que se basa el presupuesto y se presenten los gastos correspondientes a ese bienio desglosados por programa y por actividad presupuestaria, junto con fichas descriptivas de cada una de estas actividades;</w:t>
      </w:r>
    </w:p>
    <w:p w14:paraId="4F1B7919" w14:textId="4E03B056"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Solicita también</w:t>
      </w:r>
      <w:r w:rsidRPr="00F567E1">
        <w:rPr>
          <w:lang w:val="es-ES_tradnl"/>
        </w:rPr>
        <w:t xml:space="preserve"> a la Secretaria Ejecutiva que, al preparar el presupuesto y programa de trabajo para el bienio 2028</w:t>
      </w:r>
      <w:r w:rsidR="00074CC9" w:rsidRPr="00F567E1">
        <w:rPr>
          <w:lang w:val="es-ES_tradnl"/>
        </w:rPr>
        <w:t>-</w:t>
      </w:r>
      <w:r w:rsidRPr="00F567E1">
        <w:rPr>
          <w:lang w:val="es-ES_tradnl"/>
        </w:rPr>
        <w:t>2029, presente las dos hipótesis siguientes:</w:t>
      </w:r>
    </w:p>
    <w:p w14:paraId="6C018EDB" w14:textId="1112FBDF" w:rsidR="00312042" w:rsidRPr="00F567E1" w:rsidRDefault="00312042" w:rsidP="00312042">
      <w:pPr>
        <w:pStyle w:val="NormalNonumber"/>
        <w:numPr>
          <w:ilvl w:val="0"/>
          <w:numId w:val="69"/>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Una en la que se mantenga el presupuesto operacional en el nivel de 2026</w:t>
      </w:r>
      <w:r w:rsidR="00074CC9" w:rsidRPr="00F567E1">
        <w:rPr>
          <w:lang w:val="es-ES_tradnl"/>
        </w:rPr>
        <w:t>-</w:t>
      </w:r>
      <w:r w:rsidRPr="00F567E1">
        <w:rPr>
          <w:lang w:val="es-ES_tradnl"/>
        </w:rPr>
        <w:t>2027 en valores nominales;</w:t>
      </w:r>
    </w:p>
    <w:p w14:paraId="12D2624B" w14:textId="03A1850D" w:rsidR="00312042" w:rsidRPr="00F567E1" w:rsidRDefault="00312042" w:rsidP="00312042">
      <w:pPr>
        <w:pStyle w:val="NormalNonumber"/>
        <w:numPr>
          <w:ilvl w:val="0"/>
          <w:numId w:val="69"/>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 xml:space="preserve">Otra </w:t>
      </w:r>
      <w:r w:rsidR="00880AB2" w:rsidRPr="00F567E1">
        <w:rPr>
          <w:lang w:val="es-ES_tradnl"/>
        </w:rPr>
        <w:t xml:space="preserve">en </w:t>
      </w:r>
      <w:r w:rsidRPr="00F567E1">
        <w:rPr>
          <w:lang w:val="es-ES_tradnl"/>
        </w:rPr>
        <w:t xml:space="preserve">que </w:t>
      </w:r>
      <w:r w:rsidR="00880AB2" w:rsidRPr="00F567E1">
        <w:rPr>
          <w:lang w:val="es-ES_tradnl"/>
        </w:rPr>
        <w:t xml:space="preserve">se </w:t>
      </w:r>
      <w:r w:rsidRPr="00F567E1">
        <w:rPr>
          <w:lang w:val="es-ES_tradnl"/>
        </w:rPr>
        <w:t>incorpore</w:t>
      </w:r>
      <w:r w:rsidR="00880AB2" w:rsidRPr="00F567E1">
        <w:rPr>
          <w:lang w:val="es-ES_tradnl"/>
        </w:rPr>
        <w:t>n</w:t>
      </w:r>
      <w:r w:rsidRPr="00F567E1">
        <w:rPr>
          <w:lang w:val="es-ES_tradnl"/>
        </w:rPr>
        <w:t xml:space="preserve"> los cambios que deberían introducirse en la hipótesis previa para atender las necesidades previstas y cubrir los costos o generar los ahorros conexos, que no deberían aumentar en más de un 5 % con respecto al nivel de 2026</w:t>
      </w:r>
      <w:r w:rsidR="00074CC9" w:rsidRPr="00F567E1">
        <w:rPr>
          <w:lang w:val="es-ES_tradnl"/>
        </w:rPr>
        <w:t>-</w:t>
      </w:r>
      <w:r w:rsidRPr="00F567E1">
        <w:rPr>
          <w:lang w:val="es-ES_tradnl"/>
        </w:rPr>
        <w:t>2027 en valores nominales;</w:t>
      </w:r>
    </w:p>
    <w:p w14:paraId="2C119F1B" w14:textId="0476F15D"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Destaca</w:t>
      </w:r>
      <w:r w:rsidRPr="00F567E1">
        <w:rPr>
          <w:lang w:val="es-ES_tradnl"/>
        </w:rPr>
        <w:t xml:space="preserve"> la necesidad de velar por que las propuestas presupuestarias sean realistas y representen las prioridades acordadas por todas las Partes para garantizar la sostenibilidad y la estabilidad de los fondos y de sus saldos de caja, incluidas las contribuciones recibidas;</w:t>
      </w:r>
      <w:bookmarkStart w:id="97" w:name="_Hlk38285479"/>
      <w:bookmarkEnd w:id="97"/>
    </w:p>
    <w:p w14:paraId="3B1189B4" w14:textId="1C64950E"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Secretaria Ejecutiva que, en consonancia con el párrafo 8 del artículo 5 del</w:t>
      </w:r>
      <w:r w:rsidR="00074CC9" w:rsidRPr="00F567E1">
        <w:rPr>
          <w:lang w:val="es-ES_tradnl"/>
        </w:rPr>
        <w:t> </w:t>
      </w:r>
      <w:r w:rsidRPr="00F567E1">
        <w:rPr>
          <w:lang w:val="es-ES_tradnl"/>
        </w:rPr>
        <w:t>Reglamento Financiero de la Conferencia de las Partes, sus órganos subsidiarios y la Secretaría del</w:t>
      </w:r>
      <w:r w:rsidR="00074CC9" w:rsidRPr="00F567E1">
        <w:rPr>
          <w:lang w:val="es-ES_tradnl"/>
        </w:rPr>
        <w:t> </w:t>
      </w:r>
      <w:r w:rsidRPr="00F567E1">
        <w:rPr>
          <w:lang w:val="es-ES_tradnl"/>
        </w:rPr>
        <w:t>Convenio de Minamata sobre el Mercurio, acuse recibo sin demora de todas las promesas de contribución y de las contribuciones efectuadas, e informe a las Partes al respecto mediante la publicación en el sitio web del Convenio de información actualizada sobre el estado de las promesas de contribución y los pagos de las contribuciones, y que facilite información detallada y actualizada sobre los ingresos y los gastos reales del fondo fiduciario general y del fondo fiduciario especial;</w:t>
      </w:r>
      <w:bookmarkStart w:id="98" w:name="_Hlk38285636"/>
      <w:bookmarkEnd w:id="98"/>
    </w:p>
    <w:p w14:paraId="2ADC8F64" w14:textId="0A659DE3"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Solicita también</w:t>
      </w:r>
      <w:r w:rsidRPr="00F567E1">
        <w:rPr>
          <w:lang w:val="es-ES_tradnl"/>
        </w:rPr>
        <w:t xml:space="preserve"> a la Secretaria Ejecutiva que, de conformidad con el párrafo 1 del artículo 3 del Reglamento financiero de la Conferencia de las Partes, sus órganos subsidiarios y la Secretaría del Convenio de Minamata sobre el Mercurio, ofrezca información detallada sobre los ingresos y gastos reales correspondientes a cada año del bienio 2024</w:t>
      </w:r>
      <w:r w:rsidR="00074CC9" w:rsidRPr="00F567E1">
        <w:rPr>
          <w:lang w:val="es-ES_tradnl"/>
        </w:rPr>
        <w:t>-</w:t>
      </w:r>
      <w:r w:rsidRPr="00F567E1">
        <w:rPr>
          <w:lang w:val="es-ES_tradnl"/>
        </w:rPr>
        <w:t>2025 y a 2026, y estimaciones de</w:t>
      </w:r>
      <w:r w:rsidR="00074CC9" w:rsidRPr="00F567E1">
        <w:rPr>
          <w:lang w:val="es-ES_tradnl"/>
        </w:rPr>
        <w:t> </w:t>
      </w:r>
      <w:r w:rsidRPr="00F567E1">
        <w:rPr>
          <w:lang w:val="es-ES_tradnl"/>
        </w:rPr>
        <w:t>los gastos efectivos correspondientes a 2027;</w:t>
      </w:r>
    </w:p>
    <w:p w14:paraId="6A75B05D" w14:textId="79F66354" w:rsidR="00312042" w:rsidRPr="00F567E1" w:rsidRDefault="00312042" w:rsidP="00312042">
      <w:pPr>
        <w:pStyle w:val="NormalNonumber"/>
        <w:numPr>
          <w:ilvl w:val="0"/>
          <w:numId w:val="68"/>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sectPr w:rsidR="00312042" w:rsidRPr="00F567E1" w:rsidSect="00E84D8D">
          <w:footnotePr>
            <w:numRestart w:val="eachSect"/>
          </w:footnotePr>
          <w:type w:val="continuous"/>
          <w:pgSz w:w="11906" w:h="16838" w:code="9"/>
          <w:pgMar w:top="907" w:right="992" w:bottom="1418" w:left="1418" w:header="539" w:footer="975" w:gutter="0"/>
          <w:cols w:space="539"/>
          <w:docGrid w:linePitch="360"/>
        </w:sectPr>
      </w:pPr>
      <w:r w:rsidRPr="00F567E1">
        <w:rPr>
          <w:i/>
          <w:iCs/>
          <w:lang w:val="es-ES_tradnl"/>
        </w:rPr>
        <w:t>Solicita además</w:t>
      </w:r>
      <w:r w:rsidRPr="00F567E1">
        <w:rPr>
          <w:lang w:val="es-ES_tradnl"/>
        </w:rPr>
        <w:t xml:space="preserve"> a la Secretaria Ejecutiva que prepare un informe, en función de la disponibilidad de recursos, para su examen por la Conferencia de las Partes en su séptima reunión, en</w:t>
      </w:r>
      <w:r w:rsidR="00074CC9" w:rsidRPr="00F567E1">
        <w:rPr>
          <w:lang w:val="es-ES_tradnl"/>
        </w:rPr>
        <w:t> </w:t>
      </w:r>
      <w:r w:rsidRPr="00F567E1">
        <w:rPr>
          <w:lang w:val="es-ES_tradnl"/>
        </w:rPr>
        <w:t>el que se presenten opciones de medidas de ahorro de costos. Estas opciones podrían incluir, entre otras cosas, ajustes en el calendario, el formato y la duración de las reuniones convocadas en el marco del Convenio, consideraciones relativas a la tecnología para la traducción eficaz en función de los costos, consideraciones relacionadas con la dotación de personal de la Secretaría, así como consideraciones sobre posibles arreglos de participación en la financiación de los gastos con las secretarías de otros acuerdos ambientales multilaterales pertinentes, sobre la base de las mejores prácticas.</w:t>
      </w:r>
    </w:p>
    <w:p w14:paraId="3FFBD31A" w14:textId="1EB03CF3" w:rsidR="00312042" w:rsidRPr="00F567E1" w:rsidRDefault="00F641CB" w:rsidP="00F641CB">
      <w:pPr>
        <w:pStyle w:val="CH2"/>
        <w:rPr>
          <w:rFonts w:asciiTheme="majorBidi" w:hAnsiTheme="majorBidi" w:cstheme="majorBidi"/>
          <w:lang w:val="es-ES_tradnl"/>
        </w:rPr>
      </w:pPr>
      <w:r w:rsidRPr="00F567E1">
        <w:rPr>
          <w:lang w:val="es-ES_tradnl"/>
        </w:rPr>
        <w:lastRenderedPageBreak/>
        <w:tab/>
      </w:r>
      <w:r w:rsidRPr="00F567E1">
        <w:rPr>
          <w:lang w:val="es-ES_tradnl"/>
        </w:rPr>
        <w:tab/>
      </w:r>
      <w:r w:rsidRPr="00F567E1">
        <w:rPr>
          <w:bCs/>
          <w:lang w:val="es-ES_tradnl"/>
        </w:rPr>
        <w:t>Anexo de la decisión MC</w:t>
      </w:r>
      <w:r w:rsidRPr="00F567E1">
        <w:rPr>
          <w:bCs/>
          <w:lang w:val="es-ES_tradnl"/>
        </w:rPr>
        <w:noBreakHyphen/>
        <w:t>6/21</w:t>
      </w:r>
    </w:p>
    <w:p w14:paraId="3ADE54D4" w14:textId="1CE4F6A2" w:rsidR="00312042" w:rsidRPr="00F567E1" w:rsidRDefault="00312042" w:rsidP="00312042">
      <w:pPr>
        <w:pStyle w:val="Titletable"/>
        <w:spacing w:after="0"/>
        <w:rPr>
          <w:rFonts w:asciiTheme="majorBidi" w:hAnsiTheme="majorBidi" w:cstheme="majorBidi"/>
          <w:lang w:val="es-ES_tradnl"/>
        </w:rPr>
      </w:pPr>
      <w:r w:rsidRPr="00F567E1">
        <w:rPr>
          <w:b w:val="0"/>
          <w:bCs w:val="0"/>
          <w:lang w:val="es-ES_tradnl"/>
        </w:rPr>
        <w:t>Cuadro 1</w:t>
      </w:r>
      <w:r w:rsidRPr="00F567E1">
        <w:rPr>
          <w:lang w:val="es-ES_tradnl"/>
        </w:rPr>
        <w:t xml:space="preserve"> </w:t>
      </w:r>
      <w:r w:rsidR="00301B49" w:rsidRPr="00F567E1">
        <w:rPr>
          <w:lang w:val="es-ES_tradnl"/>
        </w:rPr>
        <w:br/>
      </w:r>
      <w:r w:rsidRPr="00F567E1">
        <w:rPr>
          <w:lang w:val="es-ES_tradnl"/>
        </w:rPr>
        <w:t>Programa de trabajo y presupuesto para el bienio 2026</w:t>
      </w:r>
      <w:r w:rsidR="00074CC9" w:rsidRPr="00F567E1">
        <w:rPr>
          <w:lang w:val="es-ES_tradnl"/>
        </w:rPr>
        <w:t>-</w:t>
      </w:r>
      <w:r w:rsidRPr="00F567E1">
        <w:rPr>
          <w:lang w:val="es-ES_tradnl"/>
        </w:rPr>
        <w:t>2027</w:t>
      </w:r>
    </w:p>
    <w:p w14:paraId="7E690E52" w14:textId="2AE6DC70" w:rsidR="00312042" w:rsidRPr="00F567E1" w:rsidRDefault="00312042" w:rsidP="00312042">
      <w:pPr>
        <w:pStyle w:val="Titletable"/>
        <w:spacing w:after="0"/>
        <w:rPr>
          <w:rFonts w:asciiTheme="majorBidi" w:hAnsiTheme="majorBidi" w:cstheme="majorBidi"/>
          <w:b w:val="0"/>
          <w:bCs w:val="0"/>
          <w:sz w:val="18"/>
          <w:szCs w:val="18"/>
          <w:lang w:val="es-ES_tradnl"/>
        </w:rPr>
      </w:pPr>
      <w:r w:rsidRPr="00F567E1">
        <w:rPr>
          <w:b w:val="0"/>
          <w:bCs w:val="0"/>
          <w:sz w:val="18"/>
          <w:szCs w:val="18"/>
          <w:lang w:val="es-ES_tradnl"/>
        </w:rPr>
        <w:t>(Dólares de los E</w:t>
      </w:r>
      <w:r w:rsidR="00074CC9" w:rsidRPr="00F567E1">
        <w:rPr>
          <w:b w:val="0"/>
          <w:bCs w:val="0"/>
          <w:sz w:val="18"/>
          <w:szCs w:val="18"/>
          <w:lang w:val="es-ES_tradnl"/>
        </w:rPr>
        <w:t>stados Unidos</w:t>
      </w:r>
      <w:r w:rsidRPr="00F567E1">
        <w:rPr>
          <w:b w:val="0"/>
          <w:bCs w:val="0"/>
          <w:sz w:val="18"/>
          <w:szCs w:val="18"/>
          <w:lang w:val="es-ES_tradnl"/>
        </w:rPr>
        <w:t>)</w:t>
      </w:r>
    </w:p>
    <w:tbl>
      <w:tblPr>
        <w:tblW w:w="5000" w:type="pct"/>
        <w:jc w:val="right"/>
        <w:tblLayout w:type="fixed"/>
        <w:tblLook w:val="04A0" w:firstRow="1" w:lastRow="0" w:firstColumn="1" w:lastColumn="0" w:noHBand="0" w:noVBand="1"/>
      </w:tblPr>
      <w:tblGrid>
        <w:gridCol w:w="284"/>
        <w:gridCol w:w="6946"/>
        <w:gridCol w:w="1275"/>
        <w:gridCol w:w="1134"/>
        <w:gridCol w:w="1276"/>
        <w:gridCol w:w="1134"/>
        <w:gridCol w:w="1134"/>
        <w:gridCol w:w="1245"/>
      </w:tblGrid>
      <w:tr w:rsidR="00F234CD" w:rsidRPr="00F567E1" w14:paraId="68B63120" w14:textId="77777777" w:rsidTr="00CC70C4">
        <w:trPr>
          <w:trHeight w:val="65"/>
          <w:tblHeader/>
          <w:jc w:val="right"/>
        </w:trPr>
        <w:tc>
          <w:tcPr>
            <w:tcW w:w="284" w:type="dxa"/>
            <w:tcBorders>
              <w:top w:val="single" w:sz="4" w:space="0" w:color="auto"/>
              <w:bottom w:val="single" w:sz="4" w:space="0" w:color="auto"/>
            </w:tcBorders>
            <w:shd w:val="clear" w:color="000000" w:fill="DBB731"/>
            <w:noWrap/>
            <w:vAlign w:val="bottom"/>
            <w:hideMark/>
          </w:tcPr>
          <w:p w14:paraId="1F5760AB"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tcBorders>
              <w:top w:val="single" w:sz="4" w:space="0" w:color="auto"/>
              <w:bottom w:val="single" w:sz="4" w:space="0" w:color="auto"/>
            </w:tcBorders>
            <w:shd w:val="clear" w:color="000000" w:fill="DBB731"/>
            <w:noWrap/>
            <w:vAlign w:val="bottom"/>
            <w:hideMark/>
          </w:tcPr>
          <w:p w14:paraId="762443C7" w14:textId="3644D9D9" w:rsidR="00312042" w:rsidRPr="00F567E1" w:rsidRDefault="00312042" w:rsidP="00CB7E8A">
            <w:pPr>
              <w:spacing w:before="40" w:after="40"/>
              <w:rPr>
                <w:i/>
                <w:iCs/>
                <w:sz w:val="18"/>
                <w:szCs w:val="18"/>
                <w:lang w:val="es-ES_tradnl"/>
              </w:rPr>
            </w:pPr>
            <w:r w:rsidRPr="00F567E1">
              <w:rPr>
                <w:i/>
                <w:iCs/>
                <w:color w:val="000000"/>
                <w:sz w:val="18"/>
                <w:szCs w:val="18"/>
                <w:lang w:val="es-ES_tradnl"/>
              </w:rPr>
              <w:t>Presupuesto 2026</w:t>
            </w:r>
            <w:r w:rsidR="009A7E28" w:rsidRPr="00F567E1">
              <w:rPr>
                <w:i/>
                <w:iCs/>
                <w:color w:val="000000"/>
                <w:sz w:val="18"/>
                <w:szCs w:val="18"/>
                <w:lang w:val="es-ES_tradnl"/>
              </w:rPr>
              <w:t>-</w:t>
            </w:r>
            <w:r w:rsidRPr="00F567E1">
              <w:rPr>
                <w:i/>
                <w:iCs/>
                <w:color w:val="000000"/>
                <w:sz w:val="18"/>
                <w:szCs w:val="18"/>
                <w:lang w:val="es-ES_tradnl"/>
              </w:rPr>
              <w:t>2027</w:t>
            </w:r>
          </w:p>
        </w:tc>
        <w:tc>
          <w:tcPr>
            <w:tcW w:w="3685" w:type="dxa"/>
            <w:gridSpan w:val="3"/>
            <w:tcBorders>
              <w:top w:val="single" w:sz="4" w:space="0" w:color="auto"/>
              <w:bottom w:val="single" w:sz="4" w:space="0" w:color="auto"/>
            </w:tcBorders>
            <w:shd w:val="clear" w:color="000000" w:fill="DBB731"/>
            <w:vAlign w:val="bottom"/>
            <w:hideMark/>
          </w:tcPr>
          <w:p w14:paraId="68492A51" w14:textId="01F367B7" w:rsidR="00312042" w:rsidRPr="00F567E1" w:rsidRDefault="00312042" w:rsidP="00CB7E8A">
            <w:pPr>
              <w:spacing w:before="40" w:after="40"/>
              <w:jc w:val="center"/>
              <w:rPr>
                <w:i/>
                <w:iCs/>
                <w:sz w:val="18"/>
                <w:szCs w:val="18"/>
                <w:lang w:val="es-ES_tradnl"/>
              </w:rPr>
            </w:pPr>
            <w:r w:rsidRPr="00F567E1">
              <w:rPr>
                <w:i/>
                <w:iCs/>
                <w:color w:val="000000"/>
                <w:sz w:val="18"/>
                <w:szCs w:val="18"/>
                <w:lang w:val="es-ES_tradnl"/>
              </w:rPr>
              <w:t>Fondo fiduciario general</w:t>
            </w:r>
          </w:p>
        </w:tc>
        <w:tc>
          <w:tcPr>
            <w:tcW w:w="3513" w:type="dxa"/>
            <w:gridSpan w:val="3"/>
            <w:tcBorders>
              <w:top w:val="single" w:sz="4" w:space="0" w:color="auto"/>
              <w:bottom w:val="single" w:sz="4" w:space="0" w:color="auto"/>
            </w:tcBorders>
            <w:shd w:val="clear" w:color="000000" w:fill="DBB731"/>
            <w:vAlign w:val="bottom"/>
            <w:hideMark/>
          </w:tcPr>
          <w:p w14:paraId="59E95D89" w14:textId="021E03D4" w:rsidR="00312042" w:rsidRPr="00F567E1" w:rsidRDefault="00312042" w:rsidP="00CB7E8A">
            <w:pPr>
              <w:spacing w:before="40" w:after="40"/>
              <w:jc w:val="center"/>
              <w:rPr>
                <w:i/>
                <w:iCs/>
                <w:sz w:val="18"/>
                <w:szCs w:val="18"/>
                <w:lang w:val="es-ES_tradnl"/>
              </w:rPr>
            </w:pPr>
            <w:r w:rsidRPr="00F567E1">
              <w:rPr>
                <w:i/>
                <w:iCs/>
                <w:color w:val="000000"/>
                <w:sz w:val="18"/>
                <w:szCs w:val="18"/>
                <w:lang w:val="es-ES_tradnl"/>
              </w:rPr>
              <w:t>Fondo fiduciario especial</w:t>
            </w:r>
          </w:p>
        </w:tc>
      </w:tr>
      <w:tr w:rsidR="00F234CD" w:rsidRPr="00F567E1" w14:paraId="2DC4405C" w14:textId="77777777" w:rsidTr="00343D82">
        <w:trPr>
          <w:trHeight w:val="225"/>
          <w:tblHeader/>
          <w:jc w:val="right"/>
        </w:trPr>
        <w:tc>
          <w:tcPr>
            <w:tcW w:w="284" w:type="dxa"/>
            <w:tcBorders>
              <w:top w:val="single" w:sz="4" w:space="0" w:color="auto"/>
              <w:bottom w:val="single" w:sz="12" w:space="0" w:color="auto"/>
            </w:tcBorders>
            <w:shd w:val="clear" w:color="000000" w:fill="DBB731"/>
            <w:noWrap/>
            <w:vAlign w:val="center"/>
            <w:hideMark/>
          </w:tcPr>
          <w:p w14:paraId="30878918"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tcBorders>
              <w:top w:val="single" w:sz="4" w:space="0" w:color="auto"/>
              <w:bottom w:val="single" w:sz="12" w:space="0" w:color="auto"/>
            </w:tcBorders>
            <w:shd w:val="clear" w:color="000000" w:fill="DBB731"/>
            <w:noWrap/>
            <w:vAlign w:val="center"/>
            <w:hideMark/>
          </w:tcPr>
          <w:p w14:paraId="5AA329D8" w14:textId="77777777" w:rsidR="00312042" w:rsidRPr="00F567E1" w:rsidRDefault="00312042" w:rsidP="00CB7E8A">
            <w:pPr>
              <w:spacing w:before="40" w:after="40"/>
              <w:rPr>
                <w:i/>
                <w:iCs/>
                <w:sz w:val="18"/>
                <w:szCs w:val="18"/>
                <w:lang w:val="es-ES_tradnl"/>
              </w:rPr>
            </w:pPr>
            <w:r w:rsidRPr="00F567E1">
              <w:rPr>
                <w:i/>
                <w:iCs/>
                <w:color w:val="000000"/>
                <w:sz w:val="18"/>
                <w:szCs w:val="18"/>
                <w:lang w:val="es-ES_tradnl"/>
              </w:rPr>
              <w:t>Actividad</w:t>
            </w:r>
          </w:p>
        </w:tc>
        <w:tc>
          <w:tcPr>
            <w:tcW w:w="1275" w:type="dxa"/>
            <w:tcBorders>
              <w:top w:val="single" w:sz="4" w:space="0" w:color="auto"/>
              <w:bottom w:val="single" w:sz="12" w:space="0" w:color="auto"/>
            </w:tcBorders>
            <w:shd w:val="clear" w:color="000000" w:fill="DBB731"/>
            <w:vAlign w:val="center"/>
            <w:hideMark/>
          </w:tcPr>
          <w:p w14:paraId="4089324A" w14:textId="77777777" w:rsidR="00312042" w:rsidRPr="00F567E1" w:rsidRDefault="00312042" w:rsidP="00CB7E8A">
            <w:pPr>
              <w:spacing w:before="40" w:after="40"/>
              <w:jc w:val="right"/>
              <w:rPr>
                <w:i/>
                <w:iCs/>
                <w:sz w:val="18"/>
                <w:szCs w:val="18"/>
                <w:lang w:val="es-ES_tradnl"/>
              </w:rPr>
            </w:pPr>
            <w:r w:rsidRPr="00F567E1">
              <w:rPr>
                <w:i/>
                <w:iCs/>
                <w:color w:val="000000"/>
                <w:sz w:val="18"/>
                <w:szCs w:val="18"/>
                <w:lang w:val="es-ES_tradnl"/>
              </w:rPr>
              <w:t>2026</w:t>
            </w:r>
          </w:p>
        </w:tc>
        <w:tc>
          <w:tcPr>
            <w:tcW w:w="1134" w:type="dxa"/>
            <w:tcBorders>
              <w:top w:val="single" w:sz="4" w:space="0" w:color="auto"/>
              <w:bottom w:val="single" w:sz="12" w:space="0" w:color="auto"/>
            </w:tcBorders>
            <w:shd w:val="clear" w:color="000000" w:fill="DBB731"/>
            <w:vAlign w:val="center"/>
            <w:hideMark/>
          </w:tcPr>
          <w:p w14:paraId="6A5B0D28" w14:textId="77777777" w:rsidR="00312042" w:rsidRPr="00F567E1" w:rsidRDefault="00312042" w:rsidP="00CB7E8A">
            <w:pPr>
              <w:spacing w:before="40" w:after="40"/>
              <w:jc w:val="right"/>
              <w:rPr>
                <w:i/>
                <w:iCs/>
                <w:sz w:val="18"/>
                <w:szCs w:val="18"/>
                <w:lang w:val="es-ES_tradnl"/>
              </w:rPr>
            </w:pPr>
            <w:r w:rsidRPr="00F567E1">
              <w:rPr>
                <w:i/>
                <w:iCs/>
                <w:color w:val="000000"/>
                <w:sz w:val="18"/>
                <w:szCs w:val="18"/>
                <w:lang w:val="es-ES_tradnl"/>
              </w:rPr>
              <w:t>2027</w:t>
            </w:r>
          </w:p>
        </w:tc>
        <w:tc>
          <w:tcPr>
            <w:tcW w:w="1276" w:type="dxa"/>
            <w:tcBorders>
              <w:top w:val="single" w:sz="4" w:space="0" w:color="auto"/>
              <w:bottom w:val="single" w:sz="12" w:space="0" w:color="auto"/>
            </w:tcBorders>
            <w:shd w:val="clear" w:color="000000" w:fill="DBB731"/>
            <w:vAlign w:val="center"/>
            <w:hideMark/>
          </w:tcPr>
          <w:p w14:paraId="4214B449" w14:textId="77777777" w:rsidR="00312042" w:rsidRPr="00F567E1" w:rsidRDefault="00312042" w:rsidP="00CB7E8A">
            <w:pPr>
              <w:spacing w:before="40" w:after="40"/>
              <w:jc w:val="right"/>
              <w:rPr>
                <w:i/>
                <w:iCs/>
                <w:sz w:val="18"/>
                <w:szCs w:val="18"/>
                <w:lang w:val="es-ES_tradnl"/>
              </w:rPr>
            </w:pPr>
            <w:r w:rsidRPr="00F567E1">
              <w:rPr>
                <w:i/>
                <w:iCs/>
                <w:color w:val="000000"/>
                <w:sz w:val="18"/>
                <w:szCs w:val="18"/>
                <w:lang w:val="es-ES_tradnl"/>
              </w:rPr>
              <w:t>Total</w:t>
            </w:r>
          </w:p>
        </w:tc>
        <w:tc>
          <w:tcPr>
            <w:tcW w:w="1134" w:type="dxa"/>
            <w:tcBorders>
              <w:top w:val="single" w:sz="4" w:space="0" w:color="auto"/>
              <w:bottom w:val="single" w:sz="12" w:space="0" w:color="auto"/>
            </w:tcBorders>
            <w:shd w:val="clear" w:color="000000" w:fill="DBB731"/>
            <w:vAlign w:val="center"/>
            <w:hideMark/>
          </w:tcPr>
          <w:p w14:paraId="2F553EEB" w14:textId="77777777" w:rsidR="00312042" w:rsidRPr="00F567E1" w:rsidRDefault="00312042" w:rsidP="00CB7E8A">
            <w:pPr>
              <w:spacing w:before="40" w:after="40"/>
              <w:jc w:val="right"/>
              <w:rPr>
                <w:i/>
                <w:iCs/>
                <w:sz w:val="18"/>
                <w:szCs w:val="18"/>
                <w:lang w:val="es-ES_tradnl"/>
              </w:rPr>
            </w:pPr>
            <w:r w:rsidRPr="00F567E1">
              <w:rPr>
                <w:i/>
                <w:iCs/>
                <w:color w:val="000000"/>
                <w:sz w:val="18"/>
                <w:szCs w:val="18"/>
                <w:lang w:val="es-ES_tradnl"/>
              </w:rPr>
              <w:t>2026</w:t>
            </w:r>
          </w:p>
        </w:tc>
        <w:tc>
          <w:tcPr>
            <w:tcW w:w="1134" w:type="dxa"/>
            <w:tcBorders>
              <w:top w:val="single" w:sz="4" w:space="0" w:color="auto"/>
              <w:bottom w:val="single" w:sz="12" w:space="0" w:color="auto"/>
            </w:tcBorders>
            <w:shd w:val="clear" w:color="000000" w:fill="DBB731"/>
            <w:vAlign w:val="center"/>
            <w:hideMark/>
          </w:tcPr>
          <w:p w14:paraId="745B9483" w14:textId="77777777" w:rsidR="00312042" w:rsidRPr="00F567E1" w:rsidRDefault="00312042" w:rsidP="00CB7E8A">
            <w:pPr>
              <w:spacing w:before="40" w:after="40"/>
              <w:jc w:val="right"/>
              <w:rPr>
                <w:i/>
                <w:iCs/>
                <w:sz w:val="18"/>
                <w:szCs w:val="18"/>
                <w:lang w:val="es-ES_tradnl"/>
              </w:rPr>
            </w:pPr>
            <w:r w:rsidRPr="00F567E1">
              <w:rPr>
                <w:i/>
                <w:iCs/>
                <w:color w:val="000000"/>
                <w:sz w:val="18"/>
                <w:szCs w:val="18"/>
                <w:lang w:val="es-ES_tradnl"/>
              </w:rPr>
              <w:t>2027</w:t>
            </w:r>
          </w:p>
        </w:tc>
        <w:tc>
          <w:tcPr>
            <w:tcW w:w="1245" w:type="dxa"/>
            <w:tcBorders>
              <w:top w:val="single" w:sz="4" w:space="0" w:color="auto"/>
              <w:bottom w:val="single" w:sz="12" w:space="0" w:color="auto"/>
            </w:tcBorders>
            <w:shd w:val="clear" w:color="000000" w:fill="DBB731"/>
            <w:vAlign w:val="center"/>
            <w:hideMark/>
          </w:tcPr>
          <w:p w14:paraId="785D48F1" w14:textId="77777777" w:rsidR="00312042" w:rsidRPr="00F567E1" w:rsidRDefault="00312042" w:rsidP="00CB7E8A">
            <w:pPr>
              <w:spacing w:before="40" w:after="40"/>
              <w:jc w:val="right"/>
              <w:rPr>
                <w:i/>
                <w:iCs/>
                <w:sz w:val="18"/>
                <w:szCs w:val="18"/>
                <w:lang w:val="es-ES_tradnl"/>
              </w:rPr>
            </w:pPr>
            <w:r w:rsidRPr="00F567E1">
              <w:rPr>
                <w:i/>
                <w:iCs/>
                <w:color w:val="000000"/>
                <w:sz w:val="18"/>
                <w:szCs w:val="18"/>
                <w:lang w:val="es-ES_tradnl"/>
              </w:rPr>
              <w:t>Total</w:t>
            </w:r>
          </w:p>
        </w:tc>
      </w:tr>
      <w:tr w:rsidR="00F234CD" w:rsidRPr="00F567E1" w14:paraId="68013D85" w14:textId="77777777" w:rsidTr="00CC70C4">
        <w:trPr>
          <w:trHeight w:val="153"/>
          <w:jc w:val="right"/>
        </w:trPr>
        <w:tc>
          <w:tcPr>
            <w:tcW w:w="7230" w:type="dxa"/>
            <w:gridSpan w:val="2"/>
            <w:tcBorders>
              <w:top w:val="single" w:sz="4" w:space="0" w:color="auto"/>
            </w:tcBorders>
            <w:noWrap/>
            <w:vAlign w:val="center"/>
            <w:hideMark/>
          </w:tcPr>
          <w:p w14:paraId="5CE5D82C"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A.</w:t>
            </w:r>
            <w:r w:rsidRPr="00F567E1">
              <w:rPr>
                <w:color w:val="000000"/>
                <w:sz w:val="18"/>
                <w:szCs w:val="18"/>
                <w:lang w:val="es-ES_tradnl"/>
              </w:rPr>
              <w:t xml:space="preserve"> </w:t>
            </w:r>
            <w:r w:rsidRPr="00F567E1">
              <w:rPr>
                <w:b/>
                <w:bCs/>
                <w:color w:val="000000"/>
                <w:sz w:val="18"/>
                <w:szCs w:val="18"/>
                <w:lang w:val="es-ES_tradnl"/>
              </w:rPr>
              <w:t>Conferencias y reuniones</w:t>
            </w:r>
          </w:p>
        </w:tc>
        <w:tc>
          <w:tcPr>
            <w:tcW w:w="1275" w:type="dxa"/>
            <w:tcBorders>
              <w:top w:val="single" w:sz="4" w:space="0" w:color="auto"/>
            </w:tcBorders>
            <w:noWrap/>
            <w:vAlign w:val="center"/>
            <w:hideMark/>
          </w:tcPr>
          <w:p w14:paraId="78A2E626"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1C643BAA"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tcBorders>
            <w:noWrap/>
            <w:vAlign w:val="center"/>
            <w:hideMark/>
          </w:tcPr>
          <w:p w14:paraId="4C51A5F9"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73592AA7"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3EC649C5" w14:textId="77777777" w:rsidR="00312042" w:rsidRPr="00F567E1" w:rsidRDefault="00312042" w:rsidP="00CB7E8A">
            <w:pPr>
              <w:spacing w:before="40" w:after="40"/>
              <w:jc w:val="right"/>
              <w:rPr>
                <w:b/>
                <w:bCs/>
                <w:sz w:val="18"/>
                <w:szCs w:val="18"/>
                <w:lang w:val="es-ES_tradnl"/>
              </w:rPr>
            </w:pPr>
          </w:p>
        </w:tc>
        <w:tc>
          <w:tcPr>
            <w:tcW w:w="1245" w:type="dxa"/>
            <w:tcBorders>
              <w:top w:val="single" w:sz="4" w:space="0" w:color="auto"/>
            </w:tcBorders>
            <w:noWrap/>
            <w:vAlign w:val="center"/>
            <w:hideMark/>
          </w:tcPr>
          <w:p w14:paraId="5808E335" w14:textId="77777777" w:rsidR="00312042" w:rsidRPr="00F567E1" w:rsidRDefault="00312042" w:rsidP="00CB7E8A">
            <w:pPr>
              <w:spacing w:before="40" w:after="40"/>
              <w:jc w:val="right"/>
              <w:rPr>
                <w:b/>
                <w:bCs/>
                <w:sz w:val="18"/>
                <w:szCs w:val="18"/>
                <w:lang w:val="es-ES_tradnl"/>
              </w:rPr>
            </w:pPr>
          </w:p>
        </w:tc>
      </w:tr>
      <w:tr w:rsidR="00F234CD" w:rsidRPr="00F567E1" w14:paraId="016FAB39" w14:textId="77777777" w:rsidTr="009A58EE">
        <w:trPr>
          <w:trHeight w:val="315"/>
          <w:jc w:val="right"/>
        </w:trPr>
        <w:tc>
          <w:tcPr>
            <w:tcW w:w="7230" w:type="dxa"/>
            <w:gridSpan w:val="2"/>
            <w:noWrap/>
            <w:vAlign w:val="center"/>
            <w:hideMark/>
          </w:tcPr>
          <w:p w14:paraId="12A20C48"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w:t>
            </w:r>
            <w:r w:rsidRPr="00F567E1">
              <w:rPr>
                <w:color w:val="000000"/>
                <w:sz w:val="18"/>
                <w:szCs w:val="18"/>
                <w:lang w:val="es-ES_tradnl"/>
              </w:rPr>
              <w:t xml:space="preserve"> </w:t>
            </w:r>
            <w:r w:rsidRPr="00F567E1">
              <w:rPr>
                <w:b/>
                <w:bCs/>
                <w:color w:val="000000"/>
                <w:sz w:val="18"/>
                <w:szCs w:val="18"/>
                <w:lang w:val="es-ES_tradnl"/>
              </w:rPr>
              <w:t>Séptima reunión de la Conferencia de las Partes</w:t>
            </w:r>
          </w:p>
        </w:tc>
        <w:tc>
          <w:tcPr>
            <w:tcW w:w="1275" w:type="dxa"/>
            <w:noWrap/>
            <w:vAlign w:val="center"/>
            <w:hideMark/>
          </w:tcPr>
          <w:p w14:paraId="6DBDEE62"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2A6F29B4"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059F9ADD"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5704B3CD"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6A729D0E"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4A001D45" w14:textId="77777777" w:rsidR="00312042" w:rsidRPr="00F567E1" w:rsidRDefault="00312042" w:rsidP="00CB7E8A">
            <w:pPr>
              <w:spacing w:before="40" w:after="40"/>
              <w:jc w:val="right"/>
              <w:rPr>
                <w:b/>
                <w:bCs/>
                <w:sz w:val="18"/>
                <w:szCs w:val="18"/>
                <w:lang w:val="es-ES_tradnl"/>
              </w:rPr>
            </w:pPr>
          </w:p>
        </w:tc>
      </w:tr>
      <w:tr w:rsidR="00F234CD" w:rsidRPr="00F567E1" w14:paraId="7F7B6407" w14:textId="77777777" w:rsidTr="00CC70C4">
        <w:trPr>
          <w:trHeight w:val="52"/>
          <w:jc w:val="right"/>
        </w:trPr>
        <w:tc>
          <w:tcPr>
            <w:tcW w:w="284" w:type="dxa"/>
            <w:tcBorders>
              <w:top w:val="nil"/>
            </w:tcBorders>
            <w:noWrap/>
            <w:hideMark/>
          </w:tcPr>
          <w:p w14:paraId="3408644D" w14:textId="77777777" w:rsidR="00312042" w:rsidRPr="00F567E1" w:rsidRDefault="00312042" w:rsidP="00CB7E8A">
            <w:pPr>
              <w:spacing w:before="40" w:after="40"/>
              <w:rPr>
                <w:sz w:val="18"/>
                <w:szCs w:val="18"/>
                <w:lang w:val="es-ES_tradnl"/>
              </w:rPr>
            </w:pPr>
          </w:p>
        </w:tc>
        <w:tc>
          <w:tcPr>
            <w:tcW w:w="6946" w:type="dxa"/>
            <w:tcBorders>
              <w:top w:val="nil"/>
            </w:tcBorders>
            <w:noWrap/>
            <w:vAlign w:val="center"/>
            <w:hideMark/>
          </w:tcPr>
          <w:p w14:paraId="40FCB976" w14:textId="668C4AEB" w:rsidR="00312042" w:rsidRPr="00F567E1" w:rsidRDefault="00312042" w:rsidP="00CB7E8A">
            <w:pPr>
              <w:spacing w:before="40" w:after="40"/>
              <w:rPr>
                <w:sz w:val="18"/>
                <w:szCs w:val="18"/>
                <w:lang w:val="es-ES_tradnl"/>
              </w:rPr>
            </w:pPr>
            <w:r w:rsidRPr="00F567E1">
              <w:rPr>
                <w:color w:val="000000"/>
                <w:sz w:val="18"/>
                <w:szCs w:val="18"/>
                <w:lang w:val="es-ES_tradnl"/>
              </w:rPr>
              <w:t>1.1. Séptima reunión</w:t>
            </w:r>
          </w:p>
        </w:tc>
        <w:tc>
          <w:tcPr>
            <w:tcW w:w="1275" w:type="dxa"/>
            <w:tcBorders>
              <w:top w:val="nil"/>
            </w:tcBorders>
            <w:noWrap/>
            <w:vAlign w:val="center"/>
            <w:hideMark/>
          </w:tcPr>
          <w:p w14:paraId="3A63C0E4"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1FEBC4E5" w14:textId="706C9541" w:rsidR="00312042" w:rsidRPr="00F567E1" w:rsidRDefault="00312042" w:rsidP="00CB7E8A">
            <w:pPr>
              <w:spacing w:before="40" w:after="40"/>
              <w:jc w:val="right"/>
              <w:rPr>
                <w:sz w:val="18"/>
                <w:szCs w:val="18"/>
                <w:lang w:val="es-ES_tradnl"/>
              </w:rPr>
            </w:pPr>
            <w:r w:rsidRPr="00F567E1">
              <w:rPr>
                <w:color w:val="000000"/>
                <w:sz w:val="18"/>
                <w:szCs w:val="18"/>
                <w:lang w:val="es-ES_tradnl"/>
              </w:rPr>
              <w:t>1</w:t>
            </w:r>
            <w:r w:rsidR="00BA11CE" w:rsidRPr="00F567E1">
              <w:rPr>
                <w:color w:val="000000"/>
                <w:sz w:val="18"/>
                <w:szCs w:val="18"/>
                <w:lang w:val="es-ES_tradnl"/>
              </w:rPr>
              <w:t> </w:t>
            </w:r>
            <w:r w:rsidRPr="00F567E1">
              <w:rPr>
                <w:color w:val="000000"/>
                <w:sz w:val="18"/>
                <w:szCs w:val="18"/>
                <w:lang w:val="es-ES_tradnl"/>
              </w:rPr>
              <w:t>045</w:t>
            </w:r>
            <w:r w:rsidR="00BA11CE" w:rsidRPr="00F567E1">
              <w:rPr>
                <w:color w:val="000000"/>
                <w:sz w:val="18"/>
                <w:szCs w:val="18"/>
                <w:lang w:val="es-ES_tradnl"/>
              </w:rPr>
              <w:t> </w:t>
            </w:r>
            <w:r w:rsidRPr="00F567E1">
              <w:rPr>
                <w:color w:val="000000"/>
                <w:sz w:val="18"/>
                <w:szCs w:val="18"/>
                <w:lang w:val="es-ES_tradnl"/>
              </w:rPr>
              <w:t>000</w:t>
            </w:r>
          </w:p>
        </w:tc>
        <w:tc>
          <w:tcPr>
            <w:tcW w:w="1276" w:type="dxa"/>
            <w:tcBorders>
              <w:top w:val="nil"/>
            </w:tcBorders>
            <w:noWrap/>
            <w:vAlign w:val="center"/>
            <w:hideMark/>
          </w:tcPr>
          <w:p w14:paraId="32ED4568" w14:textId="388E96CC" w:rsidR="00312042" w:rsidRPr="00F567E1" w:rsidRDefault="00312042" w:rsidP="00CB7E8A">
            <w:pPr>
              <w:spacing w:before="40" w:after="40"/>
              <w:jc w:val="right"/>
              <w:rPr>
                <w:sz w:val="18"/>
                <w:szCs w:val="18"/>
                <w:lang w:val="es-ES_tradnl"/>
              </w:rPr>
            </w:pPr>
            <w:r w:rsidRPr="00F567E1">
              <w:rPr>
                <w:color w:val="000000"/>
                <w:sz w:val="18"/>
                <w:szCs w:val="18"/>
                <w:lang w:val="es-ES_tradnl"/>
              </w:rPr>
              <w:t>1</w:t>
            </w:r>
            <w:r w:rsidR="003027F0" w:rsidRPr="00F567E1">
              <w:rPr>
                <w:color w:val="000000"/>
                <w:sz w:val="18"/>
                <w:szCs w:val="18"/>
                <w:lang w:val="es-ES_tradnl"/>
              </w:rPr>
              <w:t> </w:t>
            </w:r>
            <w:r w:rsidRPr="00F567E1">
              <w:rPr>
                <w:color w:val="000000"/>
                <w:sz w:val="18"/>
                <w:szCs w:val="18"/>
                <w:lang w:val="es-ES_tradnl"/>
              </w:rPr>
              <w:t>045</w:t>
            </w:r>
            <w:r w:rsidR="003027F0"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538C73CF"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4E439B8C" w14:textId="0AC844D1" w:rsidR="00312042" w:rsidRPr="00F567E1" w:rsidRDefault="00312042" w:rsidP="00CB7E8A">
            <w:pPr>
              <w:spacing w:before="40" w:after="40"/>
              <w:jc w:val="right"/>
              <w:rPr>
                <w:sz w:val="18"/>
                <w:szCs w:val="18"/>
                <w:lang w:val="es-ES_tradnl"/>
              </w:rPr>
            </w:pPr>
            <w:r w:rsidRPr="00F567E1">
              <w:rPr>
                <w:color w:val="000000"/>
                <w:sz w:val="18"/>
                <w:szCs w:val="18"/>
                <w:lang w:val="es-ES_tradnl"/>
              </w:rPr>
              <w:t>475</w:t>
            </w:r>
            <w:r w:rsidR="00BA11CE" w:rsidRPr="00F567E1">
              <w:rPr>
                <w:color w:val="000000"/>
                <w:sz w:val="18"/>
                <w:szCs w:val="18"/>
                <w:lang w:val="es-ES_tradnl"/>
              </w:rPr>
              <w:t> </w:t>
            </w:r>
            <w:r w:rsidRPr="00F567E1">
              <w:rPr>
                <w:color w:val="000000"/>
                <w:sz w:val="18"/>
                <w:szCs w:val="18"/>
                <w:lang w:val="es-ES_tradnl"/>
              </w:rPr>
              <w:t>000</w:t>
            </w:r>
          </w:p>
        </w:tc>
        <w:tc>
          <w:tcPr>
            <w:tcW w:w="1245" w:type="dxa"/>
            <w:tcBorders>
              <w:top w:val="nil"/>
            </w:tcBorders>
            <w:noWrap/>
            <w:vAlign w:val="center"/>
            <w:hideMark/>
          </w:tcPr>
          <w:p w14:paraId="12B3316A" w14:textId="257BF79C" w:rsidR="00312042" w:rsidRPr="00F567E1" w:rsidRDefault="00312042" w:rsidP="00CB7E8A">
            <w:pPr>
              <w:spacing w:before="40" w:after="40"/>
              <w:jc w:val="right"/>
              <w:rPr>
                <w:sz w:val="18"/>
                <w:szCs w:val="18"/>
                <w:lang w:val="es-ES_tradnl"/>
              </w:rPr>
            </w:pPr>
            <w:r w:rsidRPr="00F567E1">
              <w:rPr>
                <w:color w:val="000000"/>
                <w:sz w:val="18"/>
                <w:szCs w:val="18"/>
                <w:lang w:val="es-ES_tradnl"/>
              </w:rPr>
              <w:t>475</w:t>
            </w:r>
            <w:r w:rsidR="00BA11CE" w:rsidRPr="00F567E1">
              <w:rPr>
                <w:color w:val="000000"/>
                <w:sz w:val="18"/>
                <w:szCs w:val="18"/>
                <w:lang w:val="es-ES_tradnl"/>
              </w:rPr>
              <w:t> </w:t>
            </w:r>
            <w:r w:rsidRPr="00F567E1">
              <w:rPr>
                <w:color w:val="000000"/>
                <w:sz w:val="18"/>
                <w:szCs w:val="18"/>
                <w:lang w:val="es-ES_tradnl"/>
              </w:rPr>
              <w:t>000</w:t>
            </w:r>
          </w:p>
        </w:tc>
      </w:tr>
      <w:tr w:rsidR="00F234CD" w:rsidRPr="00F567E1" w14:paraId="3FFC7861" w14:textId="77777777" w:rsidTr="006C1159">
        <w:trPr>
          <w:trHeight w:val="183"/>
          <w:jc w:val="right"/>
        </w:trPr>
        <w:tc>
          <w:tcPr>
            <w:tcW w:w="284" w:type="dxa"/>
            <w:noWrap/>
            <w:hideMark/>
          </w:tcPr>
          <w:p w14:paraId="3BB96D69" w14:textId="77777777" w:rsidR="00312042" w:rsidRPr="00F567E1" w:rsidRDefault="00312042" w:rsidP="00CB7E8A">
            <w:pPr>
              <w:spacing w:before="40" w:after="40"/>
              <w:rPr>
                <w:sz w:val="18"/>
                <w:szCs w:val="18"/>
                <w:lang w:val="es-ES_tradnl"/>
              </w:rPr>
            </w:pPr>
          </w:p>
        </w:tc>
        <w:tc>
          <w:tcPr>
            <w:tcW w:w="6946" w:type="dxa"/>
            <w:noWrap/>
            <w:vAlign w:val="center"/>
            <w:hideMark/>
          </w:tcPr>
          <w:p w14:paraId="53A71B34" w14:textId="5F150986" w:rsidR="00312042" w:rsidRPr="00F567E1" w:rsidRDefault="00312042" w:rsidP="00CB7E8A">
            <w:pPr>
              <w:spacing w:before="40" w:after="40"/>
              <w:rPr>
                <w:sz w:val="18"/>
                <w:szCs w:val="18"/>
                <w:lang w:val="es-ES_tradnl"/>
              </w:rPr>
            </w:pPr>
            <w:r w:rsidRPr="00F567E1">
              <w:rPr>
                <w:color w:val="000000"/>
                <w:sz w:val="18"/>
                <w:szCs w:val="18"/>
                <w:lang w:val="es-ES_tradnl"/>
              </w:rPr>
              <w:t>1.2. Reuniones preparatorias regionales</w:t>
            </w:r>
          </w:p>
        </w:tc>
        <w:tc>
          <w:tcPr>
            <w:tcW w:w="1275" w:type="dxa"/>
            <w:noWrap/>
            <w:vAlign w:val="center"/>
            <w:hideMark/>
          </w:tcPr>
          <w:p w14:paraId="4CCB6D5C"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332F4999"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382750FE"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575AF504"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57768500" w14:textId="12156167" w:rsidR="00312042" w:rsidRPr="00F567E1" w:rsidRDefault="00312042" w:rsidP="00CB7E8A">
            <w:pPr>
              <w:spacing w:before="40" w:after="40"/>
              <w:jc w:val="right"/>
              <w:rPr>
                <w:sz w:val="18"/>
                <w:szCs w:val="18"/>
                <w:lang w:val="es-ES_tradnl"/>
              </w:rPr>
            </w:pPr>
            <w:r w:rsidRPr="00F567E1">
              <w:rPr>
                <w:color w:val="000000"/>
                <w:sz w:val="18"/>
                <w:szCs w:val="18"/>
                <w:lang w:val="es-ES_tradnl"/>
              </w:rPr>
              <w:t>420</w:t>
            </w:r>
            <w:r w:rsidR="00BA11CE"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78D93613" w14:textId="1A1F8951" w:rsidR="00312042" w:rsidRPr="00F567E1" w:rsidRDefault="00312042" w:rsidP="00CB7E8A">
            <w:pPr>
              <w:spacing w:before="40" w:after="40"/>
              <w:jc w:val="right"/>
              <w:rPr>
                <w:sz w:val="18"/>
                <w:szCs w:val="18"/>
                <w:lang w:val="es-ES_tradnl"/>
              </w:rPr>
            </w:pPr>
            <w:r w:rsidRPr="00F567E1">
              <w:rPr>
                <w:color w:val="000000"/>
                <w:sz w:val="18"/>
                <w:szCs w:val="18"/>
                <w:lang w:val="es-ES_tradnl"/>
              </w:rPr>
              <w:t>420</w:t>
            </w:r>
            <w:r w:rsidR="00BA11CE" w:rsidRPr="00F567E1">
              <w:rPr>
                <w:color w:val="000000"/>
                <w:sz w:val="18"/>
                <w:szCs w:val="18"/>
                <w:lang w:val="es-ES_tradnl"/>
              </w:rPr>
              <w:t> </w:t>
            </w:r>
            <w:r w:rsidRPr="00F567E1">
              <w:rPr>
                <w:color w:val="000000"/>
                <w:sz w:val="18"/>
                <w:szCs w:val="18"/>
                <w:lang w:val="es-ES_tradnl"/>
              </w:rPr>
              <w:t>000</w:t>
            </w:r>
          </w:p>
        </w:tc>
      </w:tr>
      <w:tr w:rsidR="00F234CD" w:rsidRPr="00F567E1" w14:paraId="7BDEB6F7" w14:textId="77777777" w:rsidTr="009A58EE">
        <w:trPr>
          <w:trHeight w:val="315"/>
          <w:jc w:val="right"/>
        </w:trPr>
        <w:tc>
          <w:tcPr>
            <w:tcW w:w="7230" w:type="dxa"/>
            <w:gridSpan w:val="2"/>
            <w:shd w:val="clear" w:color="000000" w:fill="B4C6E7"/>
            <w:noWrap/>
            <w:vAlign w:val="center"/>
            <w:hideMark/>
          </w:tcPr>
          <w:p w14:paraId="53A2F648"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w:t>
            </w:r>
            <w:r w:rsidRPr="00F567E1">
              <w:rPr>
                <w:color w:val="000000"/>
                <w:sz w:val="18"/>
                <w:szCs w:val="18"/>
                <w:lang w:val="es-ES_tradnl"/>
              </w:rPr>
              <w:t xml:space="preserve"> </w:t>
            </w:r>
            <w:r w:rsidRPr="00F567E1">
              <w:rPr>
                <w:b/>
                <w:bCs/>
                <w:color w:val="000000"/>
                <w:sz w:val="18"/>
                <w:szCs w:val="18"/>
                <w:lang w:val="es-ES_tradnl"/>
              </w:rPr>
              <w:t>Séptima reunión de la Conferencia de las Partes</w:t>
            </w:r>
          </w:p>
        </w:tc>
        <w:tc>
          <w:tcPr>
            <w:tcW w:w="1275" w:type="dxa"/>
            <w:shd w:val="clear" w:color="000000" w:fill="B4C6E7"/>
            <w:noWrap/>
            <w:vAlign w:val="center"/>
            <w:hideMark/>
          </w:tcPr>
          <w:p w14:paraId="2DCF0837"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7A7AFA92" w14:textId="0907699B"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w:t>
            </w:r>
            <w:r w:rsidR="00BA11CE" w:rsidRPr="00F567E1">
              <w:rPr>
                <w:b/>
                <w:bCs/>
                <w:color w:val="000000"/>
                <w:sz w:val="18"/>
                <w:szCs w:val="18"/>
                <w:lang w:val="es-ES_tradnl"/>
              </w:rPr>
              <w:t> </w:t>
            </w:r>
            <w:r w:rsidRPr="00F567E1">
              <w:rPr>
                <w:b/>
                <w:bCs/>
                <w:color w:val="000000"/>
                <w:sz w:val="18"/>
                <w:szCs w:val="18"/>
                <w:lang w:val="es-ES_tradnl"/>
              </w:rPr>
              <w:t>045</w:t>
            </w:r>
            <w:r w:rsidR="00BA11CE" w:rsidRPr="00F567E1">
              <w:rPr>
                <w:b/>
                <w:bCs/>
                <w:color w:val="000000"/>
                <w:sz w:val="18"/>
                <w:szCs w:val="18"/>
                <w:lang w:val="es-ES_tradnl"/>
              </w:rPr>
              <w:t> </w:t>
            </w:r>
            <w:r w:rsidRPr="00F567E1">
              <w:rPr>
                <w:b/>
                <w:bCs/>
                <w:color w:val="000000"/>
                <w:sz w:val="18"/>
                <w:szCs w:val="18"/>
                <w:lang w:val="es-ES_tradnl"/>
              </w:rPr>
              <w:t>000</w:t>
            </w:r>
          </w:p>
        </w:tc>
        <w:tc>
          <w:tcPr>
            <w:tcW w:w="1276" w:type="dxa"/>
            <w:shd w:val="clear" w:color="000000" w:fill="B4C6E7"/>
            <w:noWrap/>
            <w:vAlign w:val="center"/>
            <w:hideMark/>
          </w:tcPr>
          <w:p w14:paraId="5AEBB603" w14:textId="019754D0"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w:t>
            </w:r>
            <w:r w:rsidR="00BA11CE" w:rsidRPr="00F567E1">
              <w:rPr>
                <w:b/>
                <w:bCs/>
                <w:color w:val="000000"/>
                <w:sz w:val="18"/>
                <w:szCs w:val="18"/>
                <w:lang w:val="es-ES_tradnl"/>
              </w:rPr>
              <w:t> </w:t>
            </w:r>
            <w:r w:rsidRPr="00F567E1">
              <w:rPr>
                <w:b/>
                <w:bCs/>
                <w:color w:val="000000"/>
                <w:sz w:val="18"/>
                <w:szCs w:val="18"/>
                <w:lang w:val="es-ES_tradnl"/>
              </w:rPr>
              <w:t>045</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1FB27E6A"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1DA85C83" w14:textId="7AB4730D"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895</w:t>
            </w:r>
            <w:r w:rsidR="00BA11CE" w:rsidRPr="00F567E1">
              <w:rPr>
                <w:b/>
                <w:bCs/>
                <w:color w:val="000000"/>
                <w:sz w:val="18"/>
                <w:szCs w:val="18"/>
                <w:lang w:val="es-ES_tradnl"/>
              </w:rPr>
              <w:t> </w:t>
            </w:r>
            <w:r w:rsidRPr="00F567E1">
              <w:rPr>
                <w:b/>
                <w:bCs/>
                <w:color w:val="000000"/>
                <w:sz w:val="18"/>
                <w:szCs w:val="18"/>
                <w:lang w:val="es-ES_tradnl"/>
              </w:rPr>
              <w:t>000</w:t>
            </w:r>
          </w:p>
        </w:tc>
        <w:tc>
          <w:tcPr>
            <w:tcW w:w="1245" w:type="dxa"/>
            <w:shd w:val="clear" w:color="000000" w:fill="B4C6E7"/>
            <w:noWrap/>
            <w:vAlign w:val="center"/>
            <w:hideMark/>
          </w:tcPr>
          <w:p w14:paraId="5EF1C350" w14:textId="04CF0E78"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895</w:t>
            </w:r>
            <w:r w:rsidR="00BA11CE" w:rsidRPr="00F567E1">
              <w:rPr>
                <w:b/>
                <w:bCs/>
                <w:color w:val="000000"/>
                <w:sz w:val="18"/>
                <w:szCs w:val="18"/>
                <w:lang w:val="es-ES_tradnl"/>
              </w:rPr>
              <w:t> </w:t>
            </w:r>
            <w:r w:rsidRPr="00F567E1">
              <w:rPr>
                <w:b/>
                <w:bCs/>
                <w:color w:val="000000"/>
                <w:sz w:val="18"/>
                <w:szCs w:val="18"/>
                <w:lang w:val="es-ES_tradnl"/>
              </w:rPr>
              <w:t>000</w:t>
            </w:r>
          </w:p>
        </w:tc>
      </w:tr>
      <w:tr w:rsidR="00F234CD" w:rsidRPr="00F567E1" w14:paraId="2869B899" w14:textId="77777777" w:rsidTr="006C1159">
        <w:trPr>
          <w:trHeight w:val="163"/>
          <w:jc w:val="right"/>
        </w:trPr>
        <w:tc>
          <w:tcPr>
            <w:tcW w:w="7230" w:type="dxa"/>
            <w:gridSpan w:val="2"/>
            <w:noWrap/>
            <w:vAlign w:val="center"/>
            <w:hideMark/>
          </w:tcPr>
          <w:p w14:paraId="2A1E18F1"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2.</w:t>
            </w:r>
            <w:r w:rsidRPr="00F567E1">
              <w:rPr>
                <w:color w:val="000000"/>
                <w:sz w:val="18"/>
                <w:szCs w:val="18"/>
                <w:lang w:val="es-ES_tradnl"/>
              </w:rPr>
              <w:t xml:space="preserve"> </w:t>
            </w:r>
            <w:r w:rsidRPr="00F567E1">
              <w:rPr>
                <w:b/>
                <w:bCs/>
                <w:color w:val="000000"/>
                <w:sz w:val="18"/>
                <w:szCs w:val="18"/>
                <w:lang w:val="es-ES_tradnl"/>
              </w:rPr>
              <w:t>Mesa de la Conferencia de las Partes</w:t>
            </w:r>
          </w:p>
        </w:tc>
        <w:tc>
          <w:tcPr>
            <w:tcW w:w="1275" w:type="dxa"/>
            <w:noWrap/>
            <w:vAlign w:val="center"/>
            <w:hideMark/>
          </w:tcPr>
          <w:p w14:paraId="5FAFAF17"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71DCE184"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41C46ED4"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27DC87D2"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52533DBB"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5E7422D9" w14:textId="77777777" w:rsidR="00312042" w:rsidRPr="00F567E1" w:rsidRDefault="00312042" w:rsidP="00CB7E8A">
            <w:pPr>
              <w:spacing w:before="40" w:after="40"/>
              <w:jc w:val="right"/>
              <w:rPr>
                <w:b/>
                <w:bCs/>
                <w:sz w:val="18"/>
                <w:szCs w:val="18"/>
                <w:lang w:val="es-ES_tradnl"/>
              </w:rPr>
            </w:pPr>
          </w:p>
        </w:tc>
      </w:tr>
      <w:tr w:rsidR="00F234CD" w:rsidRPr="00F567E1" w14:paraId="552D82EC" w14:textId="77777777" w:rsidTr="006C1159">
        <w:trPr>
          <w:trHeight w:val="52"/>
          <w:jc w:val="right"/>
        </w:trPr>
        <w:tc>
          <w:tcPr>
            <w:tcW w:w="284" w:type="dxa"/>
            <w:tcBorders>
              <w:bottom w:val="nil"/>
            </w:tcBorders>
            <w:noWrap/>
            <w:hideMark/>
          </w:tcPr>
          <w:p w14:paraId="7ADB9048"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tcBorders>
              <w:bottom w:val="nil"/>
            </w:tcBorders>
            <w:noWrap/>
            <w:vAlign w:val="center"/>
            <w:hideMark/>
          </w:tcPr>
          <w:p w14:paraId="543B1E07" w14:textId="76816976" w:rsidR="00312042" w:rsidRPr="00F567E1" w:rsidRDefault="00312042" w:rsidP="00CB7E8A">
            <w:pPr>
              <w:spacing w:before="40" w:after="40"/>
              <w:rPr>
                <w:sz w:val="18"/>
                <w:szCs w:val="18"/>
                <w:lang w:val="es-ES_tradnl"/>
              </w:rPr>
            </w:pPr>
            <w:r w:rsidRPr="00F567E1">
              <w:rPr>
                <w:color w:val="000000"/>
                <w:sz w:val="18"/>
                <w:szCs w:val="18"/>
                <w:lang w:val="es-ES_tradnl"/>
              </w:rPr>
              <w:t>2.1. Reuniones de la Mesa</w:t>
            </w:r>
          </w:p>
        </w:tc>
        <w:tc>
          <w:tcPr>
            <w:tcW w:w="1275" w:type="dxa"/>
            <w:tcBorders>
              <w:bottom w:val="nil"/>
            </w:tcBorders>
            <w:noWrap/>
            <w:vAlign w:val="center"/>
            <w:hideMark/>
          </w:tcPr>
          <w:p w14:paraId="7AFBE6C1" w14:textId="1EDF6B7C" w:rsidR="00312042" w:rsidRPr="00F567E1" w:rsidRDefault="00312042" w:rsidP="00CB7E8A">
            <w:pPr>
              <w:spacing w:before="40" w:after="40"/>
              <w:jc w:val="right"/>
              <w:rPr>
                <w:sz w:val="18"/>
                <w:szCs w:val="18"/>
                <w:lang w:val="es-ES_tradnl"/>
              </w:rPr>
            </w:pPr>
            <w:r w:rsidRPr="00F567E1">
              <w:rPr>
                <w:color w:val="000000"/>
                <w:sz w:val="18"/>
                <w:szCs w:val="18"/>
                <w:lang w:val="es-ES_tradnl"/>
              </w:rPr>
              <w:t>26</w:t>
            </w:r>
            <w:r w:rsidR="00BA11CE" w:rsidRPr="00F567E1">
              <w:rPr>
                <w:color w:val="000000"/>
                <w:sz w:val="18"/>
                <w:szCs w:val="18"/>
                <w:lang w:val="es-ES_tradnl"/>
              </w:rPr>
              <w:t> </w:t>
            </w:r>
            <w:r w:rsidRPr="00F567E1">
              <w:rPr>
                <w:color w:val="000000"/>
                <w:sz w:val="18"/>
                <w:szCs w:val="18"/>
                <w:lang w:val="es-ES_tradnl"/>
              </w:rPr>
              <w:t>000</w:t>
            </w:r>
          </w:p>
        </w:tc>
        <w:tc>
          <w:tcPr>
            <w:tcW w:w="1134" w:type="dxa"/>
            <w:tcBorders>
              <w:bottom w:val="nil"/>
            </w:tcBorders>
            <w:noWrap/>
            <w:vAlign w:val="center"/>
            <w:hideMark/>
          </w:tcPr>
          <w:p w14:paraId="2CD06FC1" w14:textId="77777777" w:rsidR="00312042" w:rsidRPr="00F567E1" w:rsidRDefault="00312042" w:rsidP="00CB7E8A">
            <w:pPr>
              <w:spacing w:before="40" w:after="40"/>
              <w:jc w:val="right"/>
              <w:rPr>
                <w:sz w:val="18"/>
                <w:szCs w:val="18"/>
                <w:lang w:val="es-ES_tradnl"/>
              </w:rPr>
            </w:pPr>
          </w:p>
        </w:tc>
        <w:tc>
          <w:tcPr>
            <w:tcW w:w="1276" w:type="dxa"/>
            <w:tcBorders>
              <w:bottom w:val="nil"/>
            </w:tcBorders>
            <w:noWrap/>
            <w:vAlign w:val="center"/>
            <w:hideMark/>
          </w:tcPr>
          <w:p w14:paraId="535BF97B" w14:textId="7FBC4147" w:rsidR="00312042" w:rsidRPr="00F567E1" w:rsidRDefault="00312042" w:rsidP="00CB7E8A">
            <w:pPr>
              <w:spacing w:before="40" w:after="40"/>
              <w:jc w:val="right"/>
              <w:rPr>
                <w:sz w:val="18"/>
                <w:szCs w:val="18"/>
                <w:lang w:val="es-ES_tradnl"/>
              </w:rPr>
            </w:pPr>
            <w:r w:rsidRPr="00F567E1">
              <w:rPr>
                <w:color w:val="000000"/>
                <w:sz w:val="18"/>
                <w:szCs w:val="18"/>
                <w:lang w:val="es-ES_tradnl"/>
              </w:rPr>
              <w:t>26</w:t>
            </w:r>
            <w:r w:rsidR="003027F0" w:rsidRPr="00F567E1">
              <w:rPr>
                <w:color w:val="000000"/>
                <w:sz w:val="18"/>
                <w:szCs w:val="18"/>
                <w:lang w:val="es-ES_tradnl"/>
              </w:rPr>
              <w:t> </w:t>
            </w:r>
            <w:r w:rsidRPr="00F567E1">
              <w:rPr>
                <w:color w:val="000000"/>
                <w:sz w:val="18"/>
                <w:szCs w:val="18"/>
                <w:lang w:val="es-ES_tradnl"/>
              </w:rPr>
              <w:t>000</w:t>
            </w:r>
          </w:p>
        </w:tc>
        <w:tc>
          <w:tcPr>
            <w:tcW w:w="1134" w:type="dxa"/>
            <w:tcBorders>
              <w:bottom w:val="nil"/>
            </w:tcBorders>
            <w:noWrap/>
            <w:vAlign w:val="center"/>
            <w:hideMark/>
          </w:tcPr>
          <w:p w14:paraId="0A7ED0A2" w14:textId="77777777" w:rsidR="00312042" w:rsidRPr="00F567E1" w:rsidRDefault="00312042" w:rsidP="00CB7E8A">
            <w:pPr>
              <w:spacing w:before="40" w:after="40"/>
              <w:jc w:val="right"/>
              <w:rPr>
                <w:sz w:val="18"/>
                <w:szCs w:val="18"/>
                <w:lang w:val="es-ES_tradnl"/>
              </w:rPr>
            </w:pPr>
          </w:p>
        </w:tc>
        <w:tc>
          <w:tcPr>
            <w:tcW w:w="1134" w:type="dxa"/>
            <w:tcBorders>
              <w:bottom w:val="nil"/>
            </w:tcBorders>
            <w:noWrap/>
            <w:vAlign w:val="center"/>
            <w:hideMark/>
          </w:tcPr>
          <w:p w14:paraId="3E168E60" w14:textId="77777777" w:rsidR="00312042" w:rsidRPr="00F567E1" w:rsidRDefault="00312042" w:rsidP="00CB7E8A">
            <w:pPr>
              <w:spacing w:before="40" w:after="40"/>
              <w:jc w:val="right"/>
              <w:rPr>
                <w:sz w:val="18"/>
                <w:szCs w:val="18"/>
                <w:lang w:val="es-ES_tradnl"/>
              </w:rPr>
            </w:pPr>
          </w:p>
        </w:tc>
        <w:tc>
          <w:tcPr>
            <w:tcW w:w="1245" w:type="dxa"/>
            <w:tcBorders>
              <w:bottom w:val="nil"/>
            </w:tcBorders>
            <w:noWrap/>
            <w:vAlign w:val="center"/>
            <w:hideMark/>
          </w:tcPr>
          <w:p w14:paraId="0260C335" w14:textId="77777777" w:rsidR="00312042" w:rsidRPr="00F567E1" w:rsidRDefault="00312042" w:rsidP="00CB7E8A">
            <w:pPr>
              <w:spacing w:before="40" w:after="40"/>
              <w:jc w:val="right"/>
              <w:rPr>
                <w:sz w:val="18"/>
                <w:szCs w:val="18"/>
                <w:lang w:val="es-ES_tradnl"/>
              </w:rPr>
            </w:pPr>
          </w:p>
        </w:tc>
      </w:tr>
      <w:tr w:rsidR="00F234CD" w:rsidRPr="00F567E1" w14:paraId="45C6F90A" w14:textId="77777777" w:rsidTr="009A58EE">
        <w:trPr>
          <w:trHeight w:val="315"/>
          <w:jc w:val="right"/>
        </w:trPr>
        <w:tc>
          <w:tcPr>
            <w:tcW w:w="7230" w:type="dxa"/>
            <w:gridSpan w:val="2"/>
            <w:shd w:val="clear" w:color="000000" w:fill="B4C6E7"/>
            <w:noWrap/>
            <w:vAlign w:val="center"/>
            <w:hideMark/>
          </w:tcPr>
          <w:p w14:paraId="4E047A31"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2.</w:t>
            </w:r>
            <w:r w:rsidRPr="00F567E1">
              <w:rPr>
                <w:color w:val="000000"/>
                <w:sz w:val="18"/>
                <w:szCs w:val="18"/>
                <w:lang w:val="es-ES_tradnl"/>
              </w:rPr>
              <w:t xml:space="preserve"> </w:t>
            </w:r>
            <w:r w:rsidRPr="00F567E1">
              <w:rPr>
                <w:b/>
                <w:bCs/>
                <w:color w:val="000000"/>
                <w:sz w:val="18"/>
                <w:szCs w:val="18"/>
                <w:lang w:val="es-ES_tradnl"/>
              </w:rPr>
              <w:t>Mesa de la Conferencia de las Partes</w:t>
            </w:r>
          </w:p>
        </w:tc>
        <w:tc>
          <w:tcPr>
            <w:tcW w:w="1275" w:type="dxa"/>
            <w:shd w:val="clear" w:color="000000" w:fill="B4C6E7"/>
            <w:noWrap/>
            <w:vAlign w:val="center"/>
            <w:hideMark/>
          </w:tcPr>
          <w:p w14:paraId="1CD08E35" w14:textId="5B37BDB2"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26</w:t>
            </w:r>
            <w:r w:rsidR="003027F0"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07EC4A05" w14:textId="77777777" w:rsidR="00312042" w:rsidRPr="00F567E1" w:rsidRDefault="00312042" w:rsidP="00CB7E8A">
            <w:pPr>
              <w:spacing w:before="40" w:after="40"/>
              <w:jc w:val="right"/>
              <w:rPr>
                <w:b/>
                <w:bCs/>
                <w:sz w:val="18"/>
                <w:szCs w:val="18"/>
                <w:lang w:val="es-ES_tradnl"/>
              </w:rPr>
            </w:pPr>
          </w:p>
        </w:tc>
        <w:tc>
          <w:tcPr>
            <w:tcW w:w="1276" w:type="dxa"/>
            <w:shd w:val="clear" w:color="000000" w:fill="B4C6E7"/>
            <w:noWrap/>
            <w:vAlign w:val="center"/>
            <w:hideMark/>
          </w:tcPr>
          <w:p w14:paraId="0EE04F3A" w14:textId="2181FFCB"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26</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4E4C1A65"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589D629E" w14:textId="77777777" w:rsidR="00312042" w:rsidRPr="00F567E1" w:rsidRDefault="00312042" w:rsidP="00CB7E8A">
            <w:pPr>
              <w:spacing w:before="40" w:after="40"/>
              <w:jc w:val="right"/>
              <w:rPr>
                <w:b/>
                <w:bCs/>
                <w:sz w:val="18"/>
                <w:szCs w:val="18"/>
                <w:lang w:val="es-ES_tradnl"/>
              </w:rPr>
            </w:pPr>
          </w:p>
        </w:tc>
        <w:tc>
          <w:tcPr>
            <w:tcW w:w="1245" w:type="dxa"/>
            <w:shd w:val="clear" w:color="000000" w:fill="B4C6E7"/>
            <w:noWrap/>
            <w:vAlign w:val="center"/>
            <w:hideMark/>
          </w:tcPr>
          <w:p w14:paraId="28DD1DA5" w14:textId="77777777" w:rsidR="00312042" w:rsidRPr="00F567E1" w:rsidRDefault="00312042" w:rsidP="00CB7E8A">
            <w:pPr>
              <w:spacing w:before="40" w:after="40"/>
              <w:jc w:val="right"/>
              <w:rPr>
                <w:b/>
                <w:bCs/>
                <w:sz w:val="18"/>
                <w:szCs w:val="18"/>
                <w:lang w:val="es-ES_tradnl"/>
              </w:rPr>
            </w:pPr>
          </w:p>
        </w:tc>
      </w:tr>
      <w:tr w:rsidR="00F234CD" w:rsidRPr="00F567E1" w14:paraId="24FC70A5" w14:textId="77777777" w:rsidTr="006C1159">
        <w:trPr>
          <w:trHeight w:val="52"/>
          <w:jc w:val="right"/>
        </w:trPr>
        <w:tc>
          <w:tcPr>
            <w:tcW w:w="7230" w:type="dxa"/>
            <w:gridSpan w:val="2"/>
            <w:noWrap/>
            <w:vAlign w:val="center"/>
            <w:hideMark/>
          </w:tcPr>
          <w:p w14:paraId="7D4CD403" w14:textId="22436D6F" w:rsidR="00312042" w:rsidRPr="00F567E1" w:rsidRDefault="00312042" w:rsidP="00CB7E8A">
            <w:pPr>
              <w:spacing w:before="40" w:after="40"/>
              <w:rPr>
                <w:b/>
                <w:bCs/>
                <w:sz w:val="18"/>
                <w:szCs w:val="18"/>
                <w:lang w:val="es-ES_tradnl"/>
              </w:rPr>
            </w:pPr>
            <w:r w:rsidRPr="00F567E1">
              <w:rPr>
                <w:b/>
                <w:bCs/>
                <w:color w:val="000000"/>
                <w:sz w:val="18"/>
                <w:szCs w:val="18"/>
                <w:lang w:val="es-ES_tradnl"/>
              </w:rPr>
              <w:t>3.</w:t>
            </w:r>
            <w:r w:rsidRPr="00F567E1">
              <w:rPr>
                <w:color w:val="000000"/>
                <w:sz w:val="18"/>
                <w:szCs w:val="18"/>
                <w:lang w:val="es-ES_tradnl"/>
              </w:rPr>
              <w:t xml:space="preserve"> </w:t>
            </w:r>
            <w:r w:rsidRPr="00F567E1">
              <w:rPr>
                <w:b/>
                <w:bCs/>
                <w:color w:val="000000"/>
                <w:sz w:val="18"/>
                <w:szCs w:val="18"/>
                <w:lang w:val="es-ES_tradnl"/>
              </w:rPr>
              <w:t>Comité de Aplicación y Cumplimiento</w:t>
            </w:r>
          </w:p>
        </w:tc>
        <w:tc>
          <w:tcPr>
            <w:tcW w:w="1275" w:type="dxa"/>
            <w:noWrap/>
            <w:vAlign w:val="center"/>
            <w:hideMark/>
          </w:tcPr>
          <w:p w14:paraId="076E8010"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35339ACA"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17C5FAF9"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2139CFCA"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41E54E1A"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14F20D7F" w14:textId="77777777" w:rsidR="00312042" w:rsidRPr="00F567E1" w:rsidRDefault="00312042" w:rsidP="00CB7E8A">
            <w:pPr>
              <w:spacing w:before="40" w:after="40"/>
              <w:jc w:val="right"/>
              <w:rPr>
                <w:b/>
                <w:bCs/>
                <w:sz w:val="18"/>
                <w:szCs w:val="18"/>
                <w:lang w:val="es-ES_tradnl"/>
              </w:rPr>
            </w:pPr>
          </w:p>
        </w:tc>
      </w:tr>
      <w:tr w:rsidR="00F234CD" w:rsidRPr="00F567E1" w14:paraId="6C046B0B" w14:textId="77777777" w:rsidTr="006C1159">
        <w:trPr>
          <w:trHeight w:val="52"/>
          <w:jc w:val="right"/>
        </w:trPr>
        <w:tc>
          <w:tcPr>
            <w:tcW w:w="284" w:type="dxa"/>
            <w:tcBorders>
              <w:top w:val="nil"/>
            </w:tcBorders>
            <w:noWrap/>
            <w:hideMark/>
          </w:tcPr>
          <w:p w14:paraId="037A2391"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tcBorders>
              <w:top w:val="nil"/>
            </w:tcBorders>
            <w:noWrap/>
            <w:vAlign w:val="center"/>
            <w:hideMark/>
          </w:tcPr>
          <w:p w14:paraId="7FB318EF" w14:textId="0FC9FDB7" w:rsidR="00312042" w:rsidRPr="00F567E1" w:rsidRDefault="00312042" w:rsidP="00CB7E8A">
            <w:pPr>
              <w:spacing w:before="40" w:after="40"/>
              <w:rPr>
                <w:sz w:val="18"/>
                <w:szCs w:val="18"/>
                <w:lang w:val="es-ES_tradnl"/>
              </w:rPr>
            </w:pPr>
            <w:r w:rsidRPr="00F567E1">
              <w:rPr>
                <w:color w:val="000000"/>
                <w:sz w:val="18"/>
                <w:szCs w:val="18"/>
                <w:lang w:val="es-ES_tradnl"/>
              </w:rPr>
              <w:t>3.1. Reunión del Comité.</w:t>
            </w:r>
          </w:p>
        </w:tc>
        <w:tc>
          <w:tcPr>
            <w:tcW w:w="1275" w:type="dxa"/>
            <w:tcBorders>
              <w:top w:val="nil"/>
            </w:tcBorders>
            <w:noWrap/>
            <w:vAlign w:val="center"/>
            <w:hideMark/>
          </w:tcPr>
          <w:p w14:paraId="14D08FEC" w14:textId="6D346DC5" w:rsidR="00312042" w:rsidRPr="00F567E1" w:rsidRDefault="00312042" w:rsidP="00CB7E8A">
            <w:pPr>
              <w:spacing w:before="40" w:after="40"/>
              <w:jc w:val="right"/>
              <w:rPr>
                <w:sz w:val="18"/>
                <w:szCs w:val="18"/>
                <w:lang w:val="es-ES_tradnl"/>
              </w:rPr>
            </w:pPr>
            <w:r w:rsidRPr="00F567E1">
              <w:rPr>
                <w:color w:val="000000"/>
                <w:sz w:val="18"/>
                <w:szCs w:val="18"/>
                <w:lang w:val="es-ES_tradnl"/>
              </w:rPr>
              <w:t>33</w:t>
            </w:r>
            <w:r w:rsidR="00BA11CE"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202E1765" w14:textId="77777777" w:rsidR="00312042" w:rsidRPr="00F567E1" w:rsidRDefault="00312042" w:rsidP="00CB7E8A">
            <w:pPr>
              <w:spacing w:before="40" w:after="40"/>
              <w:jc w:val="right"/>
              <w:rPr>
                <w:sz w:val="18"/>
                <w:szCs w:val="18"/>
                <w:lang w:val="es-ES_tradnl"/>
              </w:rPr>
            </w:pPr>
          </w:p>
        </w:tc>
        <w:tc>
          <w:tcPr>
            <w:tcW w:w="1276" w:type="dxa"/>
            <w:tcBorders>
              <w:top w:val="nil"/>
            </w:tcBorders>
            <w:noWrap/>
            <w:vAlign w:val="center"/>
            <w:hideMark/>
          </w:tcPr>
          <w:p w14:paraId="23443C2F" w14:textId="2F86BA34" w:rsidR="00312042" w:rsidRPr="00F567E1" w:rsidRDefault="00312042" w:rsidP="00CB7E8A">
            <w:pPr>
              <w:spacing w:before="40" w:after="40"/>
              <w:jc w:val="right"/>
              <w:rPr>
                <w:sz w:val="18"/>
                <w:szCs w:val="18"/>
                <w:lang w:val="es-ES_tradnl"/>
              </w:rPr>
            </w:pPr>
            <w:r w:rsidRPr="00F567E1">
              <w:rPr>
                <w:color w:val="000000"/>
                <w:sz w:val="18"/>
                <w:szCs w:val="18"/>
                <w:lang w:val="es-ES_tradnl"/>
              </w:rPr>
              <w:t>33</w:t>
            </w:r>
            <w:r w:rsidR="00BA11CE"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0BC59D49" w14:textId="4D8404EA" w:rsidR="00312042" w:rsidRPr="00F567E1" w:rsidRDefault="00312042" w:rsidP="00CB7E8A">
            <w:pPr>
              <w:spacing w:before="40" w:after="40"/>
              <w:jc w:val="right"/>
              <w:rPr>
                <w:sz w:val="18"/>
                <w:szCs w:val="18"/>
                <w:lang w:val="es-ES_tradnl"/>
              </w:rPr>
            </w:pPr>
            <w:r w:rsidRPr="00F567E1">
              <w:rPr>
                <w:color w:val="000000"/>
                <w:sz w:val="18"/>
                <w:szCs w:val="18"/>
                <w:lang w:val="es-ES_tradnl"/>
              </w:rPr>
              <w:t>12</w:t>
            </w:r>
            <w:r w:rsidR="00071547"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372FB490"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3C2ED73F" w14:textId="0FE9AA11" w:rsidR="00312042" w:rsidRPr="00F567E1" w:rsidRDefault="00312042" w:rsidP="00CB7E8A">
            <w:pPr>
              <w:spacing w:before="40" w:after="40"/>
              <w:jc w:val="right"/>
              <w:rPr>
                <w:sz w:val="18"/>
                <w:szCs w:val="18"/>
                <w:lang w:val="es-ES_tradnl"/>
              </w:rPr>
            </w:pPr>
            <w:r w:rsidRPr="00F567E1">
              <w:rPr>
                <w:color w:val="000000"/>
                <w:sz w:val="18"/>
                <w:szCs w:val="18"/>
                <w:lang w:val="es-ES_tradnl"/>
              </w:rPr>
              <w:t>12</w:t>
            </w:r>
            <w:r w:rsidR="00BA11CE" w:rsidRPr="00F567E1">
              <w:rPr>
                <w:color w:val="000000"/>
                <w:sz w:val="18"/>
                <w:szCs w:val="18"/>
                <w:lang w:val="es-ES_tradnl"/>
              </w:rPr>
              <w:t> </w:t>
            </w:r>
            <w:r w:rsidRPr="00F567E1">
              <w:rPr>
                <w:color w:val="000000"/>
                <w:sz w:val="18"/>
                <w:szCs w:val="18"/>
                <w:lang w:val="es-ES_tradnl"/>
              </w:rPr>
              <w:t>000</w:t>
            </w:r>
          </w:p>
        </w:tc>
      </w:tr>
      <w:tr w:rsidR="00F234CD" w:rsidRPr="00F567E1" w14:paraId="79B94731" w14:textId="77777777" w:rsidTr="006C1159">
        <w:trPr>
          <w:trHeight w:val="52"/>
          <w:jc w:val="right"/>
        </w:trPr>
        <w:tc>
          <w:tcPr>
            <w:tcW w:w="7230" w:type="dxa"/>
            <w:gridSpan w:val="2"/>
            <w:tcBorders>
              <w:bottom w:val="single" w:sz="4" w:space="0" w:color="auto"/>
            </w:tcBorders>
            <w:shd w:val="clear" w:color="000000" w:fill="B4C6E7"/>
            <w:noWrap/>
            <w:vAlign w:val="center"/>
            <w:hideMark/>
          </w:tcPr>
          <w:p w14:paraId="008B7910" w14:textId="355DB513" w:rsidR="00312042" w:rsidRPr="00F567E1" w:rsidRDefault="00312042" w:rsidP="00CB7E8A">
            <w:pPr>
              <w:spacing w:before="40" w:after="40"/>
              <w:rPr>
                <w:b/>
                <w:bCs/>
                <w:sz w:val="18"/>
                <w:szCs w:val="18"/>
                <w:lang w:val="es-ES_tradnl"/>
              </w:rPr>
            </w:pPr>
            <w:r w:rsidRPr="00F567E1">
              <w:rPr>
                <w:b/>
                <w:bCs/>
                <w:color w:val="000000"/>
                <w:sz w:val="18"/>
                <w:szCs w:val="18"/>
                <w:lang w:val="es-ES_tradnl"/>
              </w:rPr>
              <w:t>3.</w:t>
            </w:r>
            <w:r w:rsidRPr="00F567E1">
              <w:rPr>
                <w:color w:val="000000"/>
                <w:sz w:val="18"/>
                <w:szCs w:val="18"/>
                <w:lang w:val="es-ES_tradnl"/>
              </w:rPr>
              <w:t xml:space="preserve"> </w:t>
            </w:r>
            <w:r w:rsidRPr="00F567E1">
              <w:rPr>
                <w:b/>
                <w:bCs/>
                <w:color w:val="000000"/>
                <w:sz w:val="18"/>
                <w:szCs w:val="18"/>
                <w:lang w:val="es-ES_tradnl"/>
              </w:rPr>
              <w:t>Comité de Aplicación y Cumplimiento</w:t>
            </w:r>
          </w:p>
        </w:tc>
        <w:tc>
          <w:tcPr>
            <w:tcW w:w="1275" w:type="dxa"/>
            <w:tcBorders>
              <w:bottom w:val="single" w:sz="4" w:space="0" w:color="auto"/>
            </w:tcBorders>
            <w:shd w:val="clear" w:color="000000" w:fill="B4C6E7"/>
            <w:noWrap/>
            <w:vAlign w:val="center"/>
            <w:hideMark/>
          </w:tcPr>
          <w:p w14:paraId="01B01C3B" w14:textId="4A565256"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33</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5C37A680" w14:textId="77777777" w:rsidR="00312042" w:rsidRPr="00F567E1" w:rsidRDefault="00312042" w:rsidP="00CB7E8A">
            <w:pPr>
              <w:spacing w:before="40" w:after="40"/>
              <w:jc w:val="right"/>
              <w:rPr>
                <w:b/>
                <w:bCs/>
                <w:sz w:val="18"/>
                <w:szCs w:val="18"/>
                <w:lang w:val="es-ES_tradnl"/>
              </w:rPr>
            </w:pPr>
          </w:p>
        </w:tc>
        <w:tc>
          <w:tcPr>
            <w:tcW w:w="1276" w:type="dxa"/>
            <w:tcBorders>
              <w:bottom w:val="single" w:sz="4" w:space="0" w:color="auto"/>
            </w:tcBorders>
            <w:shd w:val="clear" w:color="000000" w:fill="B4C6E7"/>
            <w:noWrap/>
            <w:vAlign w:val="center"/>
            <w:hideMark/>
          </w:tcPr>
          <w:p w14:paraId="5DFB6223" w14:textId="0AB8EE76"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33</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0FF0BDF2" w14:textId="1FD44C38"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12</w:t>
            </w:r>
            <w:r w:rsidR="003027F0"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21B3AF9A" w14:textId="77777777" w:rsidR="00312042" w:rsidRPr="00F567E1" w:rsidRDefault="00312042" w:rsidP="00CB7E8A">
            <w:pPr>
              <w:spacing w:before="40" w:after="40"/>
              <w:jc w:val="right"/>
              <w:rPr>
                <w:b/>
                <w:bCs/>
                <w:sz w:val="18"/>
                <w:szCs w:val="18"/>
                <w:lang w:val="es-ES_tradnl"/>
              </w:rPr>
            </w:pPr>
          </w:p>
        </w:tc>
        <w:tc>
          <w:tcPr>
            <w:tcW w:w="1245" w:type="dxa"/>
            <w:tcBorders>
              <w:bottom w:val="single" w:sz="4" w:space="0" w:color="auto"/>
            </w:tcBorders>
            <w:shd w:val="clear" w:color="000000" w:fill="B4C6E7"/>
            <w:noWrap/>
            <w:vAlign w:val="center"/>
            <w:hideMark/>
          </w:tcPr>
          <w:p w14:paraId="056473C0" w14:textId="08250AD0"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12</w:t>
            </w:r>
            <w:r w:rsidR="00BA11CE" w:rsidRPr="00F567E1">
              <w:rPr>
                <w:b/>
                <w:bCs/>
                <w:color w:val="000000"/>
                <w:sz w:val="18"/>
                <w:szCs w:val="18"/>
                <w:lang w:val="es-ES_tradnl"/>
              </w:rPr>
              <w:t> </w:t>
            </w:r>
            <w:r w:rsidRPr="00F567E1">
              <w:rPr>
                <w:b/>
                <w:bCs/>
                <w:color w:val="000000"/>
                <w:sz w:val="18"/>
                <w:szCs w:val="18"/>
                <w:lang w:val="es-ES_tradnl"/>
              </w:rPr>
              <w:t>000</w:t>
            </w:r>
          </w:p>
        </w:tc>
      </w:tr>
      <w:tr w:rsidR="00F234CD" w:rsidRPr="00F567E1" w14:paraId="78BB5440" w14:textId="77777777" w:rsidTr="006C1159">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53ED16B7" w14:textId="77777777" w:rsidR="00312042" w:rsidRPr="00F567E1" w:rsidRDefault="00312042" w:rsidP="00CB7E8A">
            <w:pPr>
              <w:spacing w:before="40" w:after="40"/>
              <w:ind w:firstLineChars="100" w:firstLine="181"/>
              <w:rPr>
                <w:b/>
                <w:bCs/>
                <w:sz w:val="18"/>
                <w:szCs w:val="18"/>
                <w:lang w:val="es-ES_tradnl"/>
              </w:rPr>
            </w:pPr>
            <w:r w:rsidRPr="00F567E1">
              <w:rPr>
                <w:b/>
                <w:bCs/>
                <w:color w:val="000000"/>
                <w:sz w:val="18"/>
                <w:szCs w:val="18"/>
                <w:lang w:val="es-ES_tradnl"/>
              </w:rPr>
              <w:t>Total (A)</w:t>
            </w:r>
          </w:p>
        </w:tc>
        <w:tc>
          <w:tcPr>
            <w:tcW w:w="1275" w:type="dxa"/>
            <w:tcBorders>
              <w:top w:val="single" w:sz="4" w:space="0" w:color="auto"/>
              <w:bottom w:val="single" w:sz="4" w:space="0" w:color="auto"/>
            </w:tcBorders>
            <w:shd w:val="clear" w:color="000000" w:fill="DBB731"/>
            <w:noWrap/>
            <w:vAlign w:val="center"/>
            <w:hideMark/>
          </w:tcPr>
          <w:p w14:paraId="498D4452" w14:textId="56367DB1"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59</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4B82CF76" w14:textId="21638441"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w:t>
            </w:r>
            <w:r w:rsidR="00BA11CE" w:rsidRPr="00F567E1">
              <w:rPr>
                <w:b/>
                <w:bCs/>
                <w:color w:val="000000"/>
                <w:sz w:val="18"/>
                <w:szCs w:val="18"/>
                <w:lang w:val="es-ES_tradnl"/>
              </w:rPr>
              <w:t> </w:t>
            </w:r>
            <w:r w:rsidRPr="00F567E1">
              <w:rPr>
                <w:b/>
                <w:bCs/>
                <w:color w:val="000000"/>
                <w:sz w:val="18"/>
                <w:szCs w:val="18"/>
                <w:lang w:val="es-ES_tradnl"/>
              </w:rPr>
              <w:t>045</w:t>
            </w:r>
            <w:r w:rsidR="00BA11CE" w:rsidRPr="00F567E1">
              <w:rPr>
                <w:b/>
                <w:bCs/>
                <w:color w:val="000000"/>
                <w:sz w:val="18"/>
                <w:szCs w:val="18"/>
                <w:lang w:val="es-ES_tradnl"/>
              </w:rPr>
              <w:t> </w:t>
            </w:r>
            <w:r w:rsidRPr="00F567E1">
              <w:rPr>
                <w:b/>
                <w:bCs/>
                <w:color w:val="000000"/>
                <w:sz w:val="18"/>
                <w:szCs w:val="18"/>
                <w:lang w:val="es-ES_tradnl"/>
              </w:rPr>
              <w:t>000</w:t>
            </w:r>
          </w:p>
        </w:tc>
        <w:tc>
          <w:tcPr>
            <w:tcW w:w="1276" w:type="dxa"/>
            <w:tcBorders>
              <w:top w:val="single" w:sz="4" w:space="0" w:color="auto"/>
              <w:bottom w:val="single" w:sz="4" w:space="0" w:color="auto"/>
            </w:tcBorders>
            <w:shd w:val="clear" w:color="000000" w:fill="DBB731"/>
            <w:noWrap/>
            <w:vAlign w:val="center"/>
            <w:hideMark/>
          </w:tcPr>
          <w:p w14:paraId="745DBB41" w14:textId="149DE55E"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w:t>
            </w:r>
            <w:r w:rsidR="00BA11CE" w:rsidRPr="00F567E1">
              <w:rPr>
                <w:b/>
                <w:bCs/>
                <w:color w:val="000000"/>
                <w:sz w:val="18"/>
                <w:szCs w:val="18"/>
                <w:lang w:val="es-ES_tradnl"/>
              </w:rPr>
              <w:t> </w:t>
            </w:r>
            <w:r w:rsidRPr="00F567E1">
              <w:rPr>
                <w:b/>
                <w:bCs/>
                <w:color w:val="000000"/>
                <w:sz w:val="18"/>
                <w:szCs w:val="18"/>
                <w:lang w:val="es-ES_tradnl"/>
              </w:rPr>
              <w:t>104</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4AE5A134" w14:textId="0F5CBE25"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12</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666613A4" w14:textId="72054121"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895</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top w:val="single" w:sz="4" w:space="0" w:color="auto"/>
              <w:bottom w:val="single" w:sz="4" w:space="0" w:color="auto"/>
            </w:tcBorders>
            <w:shd w:val="clear" w:color="000000" w:fill="DBB731"/>
            <w:noWrap/>
            <w:vAlign w:val="center"/>
            <w:hideMark/>
          </w:tcPr>
          <w:p w14:paraId="750C6CEA" w14:textId="7C832BEF"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907</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7F059153" w14:textId="77777777" w:rsidTr="006C1159">
        <w:trPr>
          <w:trHeight w:val="42"/>
          <w:jc w:val="right"/>
        </w:trPr>
        <w:tc>
          <w:tcPr>
            <w:tcW w:w="7230" w:type="dxa"/>
            <w:gridSpan w:val="2"/>
            <w:tcBorders>
              <w:top w:val="single" w:sz="4" w:space="0" w:color="auto"/>
            </w:tcBorders>
            <w:noWrap/>
            <w:vAlign w:val="center"/>
            <w:hideMark/>
          </w:tcPr>
          <w:p w14:paraId="459C1635"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B.</w:t>
            </w:r>
            <w:r w:rsidRPr="00F567E1">
              <w:rPr>
                <w:color w:val="000000"/>
                <w:sz w:val="18"/>
                <w:szCs w:val="18"/>
                <w:lang w:val="es-ES_tradnl"/>
              </w:rPr>
              <w:t xml:space="preserve"> </w:t>
            </w:r>
            <w:r w:rsidRPr="00F567E1">
              <w:rPr>
                <w:b/>
                <w:bCs/>
                <w:color w:val="000000"/>
                <w:sz w:val="18"/>
                <w:szCs w:val="18"/>
                <w:lang w:val="es-ES_tradnl"/>
              </w:rPr>
              <w:t>Creación de capacidad y asistencia técnica</w:t>
            </w:r>
          </w:p>
        </w:tc>
        <w:tc>
          <w:tcPr>
            <w:tcW w:w="1275" w:type="dxa"/>
            <w:tcBorders>
              <w:top w:val="single" w:sz="4" w:space="0" w:color="auto"/>
            </w:tcBorders>
            <w:noWrap/>
            <w:vAlign w:val="center"/>
            <w:hideMark/>
          </w:tcPr>
          <w:p w14:paraId="100CCBF2"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55F8AA7A"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tcBorders>
            <w:noWrap/>
            <w:vAlign w:val="center"/>
            <w:hideMark/>
          </w:tcPr>
          <w:p w14:paraId="3FB0E090"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7FA3D0C5"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4A8D1B50" w14:textId="77777777" w:rsidR="00312042" w:rsidRPr="00F567E1" w:rsidRDefault="00312042" w:rsidP="00CB7E8A">
            <w:pPr>
              <w:spacing w:before="40" w:after="40"/>
              <w:jc w:val="right"/>
              <w:rPr>
                <w:b/>
                <w:bCs/>
                <w:sz w:val="18"/>
                <w:szCs w:val="18"/>
                <w:lang w:val="es-ES_tradnl"/>
              </w:rPr>
            </w:pPr>
          </w:p>
        </w:tc>
        <w:tc>
          <w:tcPr>
            <w:tcW w:w="1245" w:type="dxa"/>
            <w:tcBorders>
              <w:top w:val="single" w:sz="4" w:space="0" w:color="auto"/>
            </w:tcBorders>
            <w:noWrap/>
            <w:vAlign w:val="center"/>
            <w:hideMark/>
          </w:tcPr>
          <w:p w14:paraId="225DAEBF" w14:textId="77777777" w:rsidR="00312042" w:rsidRPr="00F567E1" w:rsidRDefault="00312042" w:rsidP="00CB7E8A">
            <w:pPr>
              <w:spacing w:before="40" w:after="40"/>
              <w:jc w:val="right"/>
              <w:rPr>
                <w:b/>
                <w:bCs/>
                <w:sz w:val="18"/>
                <w:szCs w:val="18"/>
                <w:lang w:val="es-ES_tradnl"/>
              </w:rPr>
            </w:pPr>
          </w:p>
        </w:tc>
      </w:tr>
      <w:tr w:rsidR="00F234CD" w:rsidRPr="00F567E1" w14:paraId="0FEB7EBA" w14:textId="77777777" w:rsidTr="006C1159">
        <w:trPr>
          <w:trHeight w:val="52"/>
          <w:jc w:val="right"/>
        </w:trPr>
        <w:tc>
          <w:tcPr>
            <w:tcW w:w="7230" w:type="dxa"/>
            <w:gridSpan w:val="2"/>
            <w:vAlign w:val="center"/>
            <w:hideMark/>
          </w:tcPr>
          <w:p w14:paraId="13A52959"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4.</w:t>
            </w:r>
            <w:r w:rsidRPr="00F567E1">
              <w:rPr>
                <w:color w:val="000000"/>
                <w:sz w:val="18"/>
                <w:szCs w:val="18"/>
                <w:lang w:val="es-ES_tradnl"/>
              </w:rPr>
              <w:t xml:space="preserve"> </w:t>
            </w:r>
            <w:r w:rsidRPr="00F567E1">
              <w:rPr>
                <w:b/>
                <w:bCs/>
                <w:color w:val="000000"/>
                <w:sz w:val="18"/>
                <w:szCs w:val="18"/>
                <w:lang w:val="es-ES_tradnl"/>
              </w:rPr>
              <w:t>Programa de creación de capacidad y asistencia técnica del Convenio de Minamata</w:t>
            </w:r>
          </w:p>
        </w:tc>
        <w:tc>
          <w:tcPr>
            <w:tcW w:w="1275" w:type="dxa"/>
            <w:noWrap/>
            <w:vAlign w:val="center"/>
            <w:hideMark/>
          </w:tcPr>
          <w:p w14:paraId="422FE91D"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430ED6B3"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2B4F70B6"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21A3CE3C"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242B9EA7"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387231C1" w14:textId="77777777" w:rsidR="00312042" w:rsidRPr="00F567E1" w:rsidRDefault="00312042" w:rsidP="00CB7E8A">
            <w:pPr>
              <w:spacing w:before="40" w:after="40"/>
              <w:jc w:val="right"/>
              <w:rPr>
                <w:b/>
                <w:bCs/>
                <w:sz w:val="18"/>
                <w:szCs w:val="18"/>
                <w:lang w:val="es-ES_tradnl"/>
              </w:rPr>
            </w:pPr>
          </w:p>
        </w:tc>
      </w:tr>
      <w:tr w:rsidR="00F234CD" w:rsidRPr="00F567E1" w14:paraId="5D104D74" w14:textId="77777777" w:rsidTr="009A58EE">
        <w:trPr>
          <w:trHeight w:val="300"/>
          <w:jc w:val="right"/>
        </w:trPr>
        <w:tc>
          <w:tcPr>
            <w:tcW w:w="284" w:type="dxa"/>
            <w:noWrap/>
            <w:hideMark/>
          </w:tcPr>
          <w:p w14:paraId="58694F3B"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noWrap/>
            <w:vAlign w:val="center"/>
            <w:hideMark/>
          </w:tcPr>
          <w:p w14:paraId="5B1163F9" w14:textId="794C2E7E" w:rsidR="00312042" w:rsidRPr="00F567E1" w:rsidRDefault="00312042" w:rsidP="00CB7E8A">
            <w:pPr>
              <w:spacing w:before="40" w:after="40"/>
              <w:rPr>
                <w:sz w:val="18"/>
                <w:szCs w:val="18"/>
                <w:lang w:val="es-ES_tradnl"/>
              </w:rPr>
            </w:pPr>
            <w:r w:rsidRPr="00F567E1">
              <w:rPr>
                <w:color w:val="000000"/>
                <w:sz w:val="18"/>
                <w:szCs w:val="18"/>
                <w:lang w:val="es-ES_tradnl"/>
              </w:rPr>
              <w:t>4.1. Instrumentos, metodologías y modalidades de prestación</w:t>
            </w:r>
          </w:p>
        </w:tc>
        <w:tc>
          <w:tcPr>
            <w:tcW w:w="1275" w:type="dxa"/>
            <w:noWrap/>
            <w:vAlign w:val="center"/>
            <w:hideMark/>
          </w:tcPr>
          <w:p w14:paraId="4535239E"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22A44E46"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145BA029"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1A1BF85F" w14:textId="662A554A" w:rsidR="00312042" w:rsidRPr="00F567E1" w:rsidRDefault="00312042" w:rsidP="00CB7E8A">
            <w:pPr>
              <w:spacing w:before="40" w:after="40"/>
              <w:jc w:val="right"/>
              <w:rPr>
                <w:sz w:val="18"/>
                <w:szCs w:val="18"/>
                <w:lang w:val="es-ES_tradnl"/>
              </w:rPr>
            </w:pPr>
            <w:r w:rsidRPr="00F567E1">
              <w:rPr>
                <w:color w:val="000000"/>
                <w:sz w:val="18"/>
                <w:szCs w:val="18"/>
                <w:lang w:val="es-ES_tradnl"/>
              </w:rPr>
              <w:t>160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3E14262F" w14:textId="67696A7C" w:rsidR="00312042" w:rsidRPr="00F567E1" w:rsidRDefault="00312042" w:rsidP="00CB7E8A">
            <w:pPr>
              <w:spacing w:before="40" w:after="40"/>
              <w:jc w:val="right"/>
              <w:rPr>
                <w:sz w:val="18"/>
                <w:szCs w:val="18"/>
                <w:lang w:val="es-ES_tradnl"/>
              </w:rPr>
            </w:pPr>
            <w:r w:rsidRPr="00F567E1">
              <w:rPr>
                <w:color w:val="000000"/>
                <w:sz w:val="18"/>
                <w:szCs w:val="18"/>
                <w:lang w:val="es-ES_tradnl"/>
              </w:rPr>
              <w:t>160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2609B277" w14:textId="199DF248" w:rsidR="00312042" w:rsidRPr="00F567E1" w:rsidRDefault="00312042" w:rsidP="00CB7E8A">
            <w:pPr>
              <w:spacing w:before="40" w:after="40"/>
              <w:jc w:val="right"/>
              <w:rPr>
                <w:sz w:val="18"/>
                <w:szCs w:val="18"/>
                <w:lang w:val="es-ES_tradnl"/>
              </w:rPr>
            </w:pPr>
            <w:r w:rsidRPr="00F567E1">
              <w:rPr>
                <w:color w:val="000000"/>
                <w:sz w:val="18"/>
                <w:szCs w:val="18"/>
                <w:lang w:val="es-ES_tradnl"/>
              </w:rPr>
              <w:t>320</w:t>
            </w:r>
            <w:r w:rsidR="003027F0" w:rsidRPr="00F567E1">
              <w:rPr>
                <w:color w:val="000000"/>
                <w:sz w:val="18"/>
                <w:szCs w:val="18"/>
                <w:lang w:val="es-ES_tradnl"/>
              </w:rPr>
              <w:t> </w:t>
            </w:r>
            <w:r w:rsidRPr="00F567E1">
              <w:rPr>
                <w:color w:val="000000"/>
                <w:sz w:val="18"/>
                <w:szCs w:val="18"/>
                <w:lang w:val="es-ES_tradnl"/>
              </w:rPr>
              <w:t>000</w:t>
            </w:r>
          </w:p>
        </w:tc>
      </w:tr>
      <w:tr w:rsidR="00F234CD" w:rsidRPr="00F567E1" w14:paraId="340FFB0F" w14:textId="77777777" w:rsidTr="009A58EE">
        <w:trPr>
          <w:trHeight w:val="300"/>
          <w:jc w:val="right"/>
        </w:trPr>
        <w:tc>
          <w:tcPr>
            <w:tcW w:w="284" w:type="dxa"/>
            <w:noWrap/>
            <w:hideMark/>
          </w:tcPr>
          <w:p w14:paraId="55784D41"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noWrap/>
            <w:vAlign w:val="center"/>
            <w:hideMark/>
          </w:tcPr>
          <w:p w14:paraId="0338A8F5" w14:textId="0F34D7EC" w:rsidR="00312042" w:rsidRPr="00F567E1" w:rsidRDefault="00312042" w:rsidP="00CB7E8A">
            <w:pPr>
              <w:spacing w:before="40" w:after="40"/>
              <w:rPr>
                <w:sz w:val="18"/>
                <w:szCs w:val="18"/>
                <w:lang w:val="es-ES_tradnl"/>
              </w:rPr>
            </w:pPr>
            <w:r w:rsidRPr="00F567E1">
              <w:rPr>
                <w:color w:val="000000"/>
                <w:sz w:val="18"/>
                <w:szCs w:val="18"/>
                <w:lang w:val="es-ES_tradnl"/>
              </w:rPr>
              <w:t>4.2. Actividades específicas de desarrollo de la capacidad</w:t>
            </w:r>
          </w:p>
        </w:tc>
        <w:tc>
          <w:tcPr>
            <w:tcW w:w="1275" w:type="dxa"/>
            <w:noWrap/>
            <w:vAlign w:val="center"/>
            <w:hideMark/>
          </w:tcPr>
          <w:p w14:paraId="2FB67986"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0660DE34"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4D39372C"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27067B5D" w14:textId="3C94DED9" w:rsidR="00312042" w:rsidRPr="00F567E1" w:rsidRDefault="00312042" w:rsidP="00CB7E8A">
            <w:pPr>
              <w:spacing w:before="40" w:after="40"/>
              <w:jc w:val="right"/>
              <w:rPr>
                <w:sz w:val="18"/>
                <w:szCs w:val="18"/>
                <w:lang w:val="es-ES_tradnl"/>
              </w:rPr>
            </w:pPr>
            <w:r w:rsidRPr="00F567E1">
              <w:rPr>
                <w:color w:val="000000"/>
                <w:sz w:val="18"/>
                <w:szCs w:val="18"/>
                <w:lang w:val="es-ES_tradnl"/>
              </w:rPr>
              <w:t>270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3EB7533C" w14:textId="5288FEB5" w:rsidR="00312042" w:rsidRPr="00F567E1" w:rsidRDefault="00312042" w:rsidP="00CB7E8A">
            <w:pPr>
              <w:spacing w:before="40" w:after="40"/>
              <w:jc w:val="right"/>
              <w:rPr>
                <w:sz w:val="18"/>
                <w:szCs w:val="18"/>
                <w:lang w:val="es-ES_tradnl"/>
              </w:rPr>
            </w:pPr>
            <w:r w:rsidRPr="00F567E1">
              <w:rPr>
                <w:color w:val="000000"/>
                <w:sz w:val="18"/>
                <w:szCs w:val="18"/>
                <w:lang w:val="es-ES_tradnl"/>
              </w:rPr>
              <w:t>260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1A010455" w14:textId="381ECA0C" w:rsidR="00312042" w:rsidRPr="00F567E1" w:rsidRDefault="00312042" w:rsidP="00CB7E8A">
            <w:pPr>
              <w:spacing w:before="40" w:after="40"/>
              <w:jc w:val="right"/>
              <w:rPr>
                <w:sz w:val="18"/>
                <w:szCs w:val="18"/>
                <w:lang w:val="es-ES_tradnl"/>
              </w:rPr>
            </w:pPr>
            <w:r w:rsidRPr="00F567E1">
              <w:rPr>
                <w:color w:val="000000"/>
                <w:sz w:val="18"/>
                <w:szCs w:val="18"/>
                <w:lang w:val="es-ES_tradnl"/>
              </w:rPr>
              <w:t>530</w:t>
            </w:r>
            <w:r w:rsidR="003027F0" w:rsidRPr="00F567E1">
              <w:rPr>
                <w:color w:val="000000"/>
                <w:sz w:val="18"/>
                <w:szCs w:val="18"/>
                <w:lang w:val="es-ES_tradnl"/>
              </w:rPr>
              <w:t> </w:t>
            </w:r>
            <w:r w:rsidRPr="00F567E1">
              <w:rPr>
                <w:color w:val="000000"/>
                <w:sz w:val="18"/>
                <w:szCs w:val="18"/>
                <w:lang w:val="es-ES_tradnl"/>
              </w:rPr>
              <w:t>000</w:t>
            </w:r>
          </w:p>
        </w:tc>
      </w:tr>
      <w:tr w:rsidR="00F234CD" w:rsidRPr="00F567E1" w14:paraId="51C9C107" w14:textId="77777777" w:rsidTr="009A58EE">
        <w:trPr>
          <w:trHeight w:val="300"/>
          <w:jc w:val="right"/>
        </w:trPr>
        <w:tc>
          <w:tcPr>
            <w:tcW w:w="284" w:type="dxa"/>
            <w:noWrap/>
            <w:hideMark/>
          </w:tcPr>
          <w:p w14:paraId="641F418B"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noWrap/>
            <w:vAlign w:val="center"/>
            <w:hideMark/>
          </w:tcPr>
          <w:p w14:paraId="1E225C32" w14:textId="7CF4BF0C" w:rsidR="00312042" w:rsidRPr="00F567E1" w:rsidRDefault="00312042" w:rsidP="00CB7E8A">
            <w:pPr>
              <w:spacing w:before="40" w:after="40"/>
              <w:rPr>
                <w:sz w:val="18"/>
                <w:szCs w:val="18"/>
                <w:lang w:val="es-ES_tradnl"/>
              </w:rPr>
            </w:pPr>
            <w:r w:rsidRPr="00F567E1">
              <w:rPr>
                <w:color w:val="000000"/>
                <w:sz w:val="18"/>
                <w:szCs w:val="18"/>
                <w:lang w:val="es-ES_tradnl"/>
              </w:rPr>
              <w:t>4.3. Actividades de creación de capacidad a petición de los interesados</w:t>
            </w:r>
          </w:p>
        </w:tc>
        <w:tc>
          <w:tcPr>
            <w:tcW w:w="1275" w:type="dxa"/>
            <w:noWrap/>
            <w:vAlign w:val="center"/>
            <w:hideMark/>
          </w:tcPr>
          <w:p w14:paraId="2737B6D1"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1F6D42CC"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3DA861E7"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7FC0B3EE" w14:textId="59A6480C" w:rsidR="00312042" w:rsidRPr="00F567E1" w:rsidRDefault="00312042" w:rsidP="00CB7E8A">
            <w:pPr>
              <w:spacing w:before="40" w:after="40"/>
              <w:jc w:val="right"/>
              <w:rPr>
                <w:sz w:val="18"/>
                <w:szCs w:val="18"/>
                <w:lang w:val="es-ES_tradnl"/>
              </w:rPr>
            </w:pPr>
            <w:r w:rsidRPr="00F567E1">
              <w:rPr>
                <w:color w:val="000000"/>
                <w:sz w:val="18"/>
                <w:szCs w:val="18"/>
                <w:lang w:val="es-ES_tradnl"/>
              </w:rPr>
              <w:t>160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1EC3A993" w14:textId="7B3FC681" w:rsidR="00312042" w:rsidRPr="00F567E1" w:rsidRDefault="00312042" w:rsidP="00CB7E8A">
            <w:pPr>
              <w:spacing w:before="40" w:after="40"/>
              <w:jc w:val="right"/>
              <w:rPr>
                <w:sz w:val="18"/>
                <w:szCs w:val="18"/>
                <w:lang w:val="es-ES_tradnl"/>
              </w:rPr>
            </w:pPr>
            <w:r w:rsidRPr="00F567E1">
              <w:rPr>
                <w:color w:val="000000"/>
                <w:sz w:val="18"/>
                <w:szCs w:val="18"/>
                <w:lang w:val="es-ES_tradnl"/>
              </w:rPr>
              <w:t>130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534D2679" w14:textId="1C5989B6" w:rsidR="00312042" w:rsidRPr="00F567E1" w:rsidRDefault="00312042" w:rsidP="00CB7E8A">
            <w:pPr>
              <w:spacing w:before="40" w:after="40"/>
              <w:jc w:val="right"/>
              <w:rPr>
                <w:sz w:val="18"/>
                <w:szCs w:val="18"/>
                <w:lang w:val="es-ES_tradnl"/>
              </w:rPr>
            </w:pPr>
            <w:r w:rsidRPr="00F567E1">
              <w:rPr>
                <w:color w:val="000000"/>
                <w:sz w:val="18"/>
                <w:szCs w:val="18"/>
                <w:lang w:val="es-ES_tradnl"/>
              </w:rPr>
              <w:t>290</w:t>
            </w:r>
            <w:r w:rsidR="003027F0" w:rsidRPr="00F567E1">
              <w:rPr>
                <w:color w:val="000000"/>
                <w:sz w:val="18"/>
                <w:szCs w:val="18"/>
                <w:lang w:val="es-ES_tradnl"/>
              </w:rPr>
              <w:t> </w:t>
            </w:r>
            <w:r w:rsidRPr="00F567E1">
              <w:rPr>
                <w:color w:val="000000"/>
                <w:sz w:val="18"/>
                <w:szCs w:val="18"/>
                <w:lang w:val="es-ES_tradnl"/>
              </w:rPr>
              <w:t>000</w:t>
            </w:r>
          </w:p>
        </w:tc>
      </w:tr>
      <w:tr w:rsidR="00F234CD" w:rsidRPr="00F567E1" w14:paraId="08083867" w14:textId="77777777" w:rsidTr="006C1159">
        <w:trPr>
          <w:trHeight w:val="52"/>
          <w:jc w:val="right"/>
        </w:trPr>
        <w:tc>
          <w:tcPr>
            <w:tcW w:w="284" w:type="dxa"/>
            <w:noWrap/>
            <w:hideMark/>
          </w:tcPr>
          <w:p w14:paraId="43FF17EA"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noWrap/>
            <w:vAlign w:val="center"/>
            <w:hideMark/>
          </w:tcPr>
          <w:p w14:paraId="2C4534D7" w14:textId="545226B8" w:rsidR="00312042" w:rsidRPr="00F567E1" w:rsidRDefault="00312042" w:rsidP="00CB7E8A">
            <w:pPr>
              <w:spacing w:before="40" w:after="40"/>
              <w:rPr>
                <w:sz w:val="18"/>
                <w:szCs w:val="18"/>
                <w:lang w:val="es-ES_tradnl"/>
              </w:rPr>
            </w:pPr>
            <w:r w:rsidRPr="00F567E1">
              <w:rPr>
                <w:color w:val="000000"/>
                <w:sz w:val="18"/>
                <w:szCs w:val="18"/>
                <w:lang w:val="es-ES_tradnl"/>
              </w:rPr>
              <w:t>4.4. Actividades intersectoriales</w:t>
            </w:r>
          </w:p>
        </w:tc>
        <w:tc>
          <w:tcPr>
            <w:tcW w:w="1275" w:type="dxa"/>
            <w:noWrap/>
            <w:vAlign w:val="center"/>
            <w:hideMark/>
          </w:tcPr>
          <w:p w14:paraId="7608E4DC"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4E40B412"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234902F6"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43036AD6" w14:textId="582DE397" w:rsidR="00312042" w:rsidRPr="00F567E1" w:rsidRDefault="00312042" w:rsidP="00CB7E8A">
            <w:pPr>
              <w:spacing w:before="40" w:after="40"/>
              <w:jc w:val="right"/>
              <w:rPr>
                <w:sz w:val="18"/>
                <w:szCs w:val="18"/>
                <w:lang w:val="es-ES_tradnl"/>
              </w:rPr>
            </w:pPr>
            <w:r w:rsidRPr="00F567E1">
              <w:rPr>
                <w:color w:val="000000"/>
                <w:sz w:val="18"/>
                <w:szCs w:val="18"/>
                <w:lang w:val="es-ES_tradnl"/>
              </w:rPr>
              <w:t>180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75267AEA" w14:textId="393A37FF" w:rsidR="00312042" w:rsidRPr="00F567E1" w:rsidRDefault="00312042" w:rsidP="00CB7E8A">
            <w:pPr>
              <w:spacing w:before="40" w:after="40"/>
              <w:jc w:val="right"/>
              <w:rPr>
                <w:sz w:val="18"/>
                <w:szCs w:val="18"/>
                <w:lang w:val="es-ES_tradnl"/>
              </w:rPr>
            </w:pPr>
            <w:r w:rsidRPr="00F567E1">
              <w:rPr>
                <w:color w:val="000000"/>
                <w:sz w:val="18"/>
                <w:szCs w:val="18"/>
                <w:lang w:val="es-ES_tradnl"/>
              </w:rPr>
              <w:t>200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604667C7" w14:textId="7E385A8C" w:rsidR="00312042" w:rsidRPr="00F567E1" w:rsidRDefault="00312042" w:rsidP="00CB7E8A">
            <w:pPr>
              <w:spacing w:before="40" w:after="40"/>
              <w:jc w:val="right"/>
              <w:rPr>
                <w:sz w:val="18"/>
                <w:szCs w:val="18"/>
                <w:lang w:val="es-ES_tradnl"/>
              </w:rPr>
            </w:pPr>
            <w:r w:rsidRPr="00F567E1">
              <w:rPr>
                <w:color w:val="000000"/>
                <w:sz w:val="18"/>
                <w:szCs w:val="18"/>
                <w:lang w:val="es-ES_tradnl"/>
              </w:rPr>
              <w:t>380</w:t>
            </w:r>
            <w:r w:rsidR="003027F0" w:rsidRPr="00F567E1">
              <w:rPr>
                <w:color w:val="000000"/>
                <w:sz w:val="18"/>
                <w:szCs w:val="18"/>
                <w:lang w:val="es-ES_tradnl"/>
              </w:rPr>
              <w:t> </w:t>
            </w:r>
            <w:r w:rsidRPr="00F567E1">
              <w:rPr>
                <w:color w:val="000000"/>
                <w:sz w:val="18"/>
                <w:szCs w:val="18"/>
                <w:lang w:val="es-ES_tradnl"/>
              </w:rPr>
              <w:t>000</w:t>
            </w:r>
          </w:p>
        </w:tc>
      </w:tr>
      <w:tr w:rsidR="00F234CD" w:rsidRPr="00F567E1" w14:paraId="38968F0B" w14:textId="77777777" w:rsidTr="006C466B">
        <w:trPr>
          <w:trHeight w:val="315"/>
          <w:jc w:val="right"/>
        </w:trPr>
        <w:tc>
          <w:tcPr>
            <w:tcW w:w="7230" w:type="dxa"/>
            <w:gridSpan w:val="2"/>
            <w:tcBorders>
              <w:bottom w:val="single" w:sz="4" w:space="0" w:color="auto"/>
            </w:tcBorders>
            <w:shd w:val="clear" w:color="000000" w:fill="B4C6E7"/>
            <w:noWrap/>
            <w:vAlign w:val="center"/>
            <w:hideMark/>
          </w:tcPr>
          <w:p w14:paraId="3E688B9A"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4.</w:t>
            </w:r>
            <w:r w:rsidRPr="00F567E1">
              <w:rPr>
                <w:color w:val="000000"/>
                <w:sz w:val="18"/>
                <w:szCs w:val="18"/>
                <w:lang w:val="es-ES_tradnl"/>
              </w:rPr>
              <w:t xml:space="preserve"> </w:t>
            </w:r>
            <w:r w:rsidRPr="00F567E1">
              <w:rPr>
                <w:b/>
                <w:bCs/>
                <w:color w:val="000000"/>
                <w:sz w:val="18"/>
                <w:szCs w:val="18"/>
                <w:lang w:val="es-ES_tradnl"/>
              </w:rPr>
              <w:t>Programa de creación de capacidad y asistencia técnica del Convenio de Minamata</w:t>
            </w:r>
          </w:p>
        </w:tc>
        <w:tc>
          <w:tcPr>
            <w:tcW w:w="1275" w:type="dxa"/>
            <w:tcBorders>
              <w:bottom w:val="single" w:sz="4" w:space="0" w:color="auto"/>
            </w:tcBorders>
            <w:shd w:val="clear" w:color="000000" w:fill="B4C6E7"/>
            <w:noWrap/>
            <w:vAlign w:val="center"/>
            <w:hideMark/>
          </w:tcPr>
          <w:p w14:paraId="4BC07806" w14:textId="77777777" w:rsidR="00312042" w:rsidRPr="00F567E1" w:rsidRDefault="00312042" w:rsidP="00CB7E8A">
            <w:pPr>
              <w:spacing w:before="40" w:after="40"/>
              <w:jc w:val="right"/>
              <w:rPr>
                <w:b/>
                <w:bCs/>
                <w:sz w:val="18"/>
                <w:szCs w:val="18"/>
                <w:lang w:val="es-ES_tradnl"/>
              </w:rPr>
            </w:pPr>
          </w:p>
        </w:tc>
        <w:tc>
          <w:tcPr>
            <w:tcW w:w="1134" w:type="dxa"/>
            <w:tcBorders>
              <w:bottom w:val="single" w:sz="4" w:space="0" w:color="auto"/>
            </w:tcBorders>
            <w:shd w:val="clear" w:color="000000" w:fill="B4C6E7"/>
            <w:noWrap/>
            <w:vAlign w:val="center"/>
            <w:hideMark/>
          </w:tcPr>
          <w:p w14:paraId="31C9594B" w14:textId="77777777" w:rsidR="00312042" w:rsidRPr="00F567E1" w:rsidRDefault="00312042" w:rsidP="00CB7E8A">
            <w:pPr>
              <w:spacing w:before="40" w:after="40"/>
              <w:jc w:val="right"/>
              <w:rPr>
                <w:b/>
                <w:bCs/>
                <w:sz w:val="18"/>
                <w:szCs w:val="18"/>
                <w:lang w:val="es-ES_tradnl"/>
              </w:rPr>
            </w:pPr>
          </w:p>
        </w:tc>
        <w:tc>
          <w:tcPr>
            <w:tcW w:w="1276" w:type="dxa"/>
            <w:tcBorders>
              <w:bottom w:val="single" w:sz="4" w:space="0" w:color="auto"/>
            </w:tcBorders>
            <w:shd w:val="clear" w:color="000000" w:fill="B4C6E7"/>
            <w:noWrap/>
            <w:vAlign w:val="center"/>
            <w:hideMark/>
          </w:tcPr>
          <w:p w14:paraId="1473674B" w14:textId="77777777" w:rsidR="00312042" w:rsidRPr="00F567E1" w:rsidRDefault="00312042" w:rsidP="00CB7E8A">
            <w:pPr>
              <w:spacing w:before="40" w:after="40"/>
              <w:jc w:val="right"/>
              <w:rPr>
                <w:b/>
                <w:bCs/>
                <w:sz w:val="18"/>
                <w:szCs w:val="18"/>
                <w:lang w:val="es-ES_tradnl"/>
              </w:rPr>
            </w:pPr>
          </w:p>
        </w:tc>
        <w:tc>
          <w:tcPr>
            <w:tcW w:w="1134" w:type="dxa"/>
            <w:tcBorders>
              <w:bottom w:val="single" w:sz="4" w:space="0" w:color="auto"/>
            </w:tcBorders>
            <w:shd w:val="clear" w:color="000000" w:fill="B4C6E7"/>
            <w:noWrap/>
            <w:vAlign w:val="center"/>
            <w:hideMark/>
          </w:tcPr>
          <w:p w14:paraId="2A4E61F1" w14:textId="0E7B2DD8"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770</w:t>
            </w:r>
            <w:r w:rsidR="001921C8"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1C102F26" w14:textId="7F964471"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750</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bottom w:val="single" w:sz="4" w:space="0" w:color="auto"/>
            </w:tcBorders>
            <w:shd w:val="clear" w:color="000000" w:fill="B4C6E7"/>
            <w:noWrap/>
            <w:vAlign w:val="center"/>
            <w:hideMark/>
          </w:tcPr>
          <w:p w14:paraId="33ED7B0E" w14:textId="1715C648"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w:t>
            </w:r>
            <w:r w:rsidR="00F32374" w:rsidRPr="00F567E1">
              <w:rPr>
                <w:b/>
                <w:bCs/>
                <w:color w:val="000000"/>
                <w:sz w:val="18"/>
                <w:szCs w:val="18"/>
                <w:lang w:val="es-ES_tradnl"/>
              </w:rPr>
              <w:t> </w:t>
            </w:r>
            <w:r w:rsidRPr="00F567E1">
              <w:rPr>
                <w:b/>
                <w:bCs/>
                <w:color w:val="000000"/>
                <w:sz w:val="18"/>
                <w:szCs w:val="18"/>
                <w:lang w:val="es-ES_tradnl"/>
              </w:rPr>
              <w:t>520</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19D4441D" w14:textId="77777777" w:rsidTr="00917804">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02FA735D" w14:textId="77777777" w:rsidR="00312042" w:rsidRPr="00F567E1" w:rsidRDefault="00312042" w:rsidP="00CB7E8A">
            <w:pPr>
              <w:spacing w:before="40" w:after="40"/>
              <w:ind w:firstLineChars="100" w:firstLine="181"/>
              <w:rPr>
                <w:b/>
                <w:bCs/>
                <w:sz w:val="18"/>
                <w:szCs w:val="18"/>
                <w:lang w:val="es-ES_tradnl"/>
              </w:rPr>
            </w:pPr>
            <w:r w:rsidRPr="00F567E1">
              <w:rPr>
                <w:b/>
                <w:bCs/>
                <w:color w:val="000000"/>
                <w:sz w:val="18"/>
                <w:szCs w:val="18"/>
                <w:lang w:val="es-ES_tradnl"/>
              </w:rPr>
              <w:t>Total (B)</w:t>
            </w:r>
            <w:r w:rsidRPr="00F567E1">
              <w:rPr>
                <w:color w:val="000000"/>
                <w:sz w:val="18"/>
                <w:szCs w:val="18"/>
                <w:lang w:val="es-ES_tradnl"/>
              </w:rPr>
              <w:t xml:space="preserve"> </w:t>
            </w:r>
          </w:p>
        </w:tc>
        <w:tc>
          <w:tcPr>
            <w:tcW w:w="1275" w:type="dxa"/>
            <w:tcBorders>
              <w:top w:val="single" w:sz="4" w:space="0" w:color="auto"/>
              <w:bottom w:val="single" w:sz="4" w:space="0" w:color="auto"/>
            </w:tcBorders>
            <w:shd w:val="clear" w:color="000000" w:fill="DBB731"/>
            <w:noWrap/>
            <w:vAlign w:val="center"/>
            <w:hideMark/>
          </w:tcPr>
          <w:p w14:paraId="5D286C82"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bottom w:val="single" w:sz="4" w:space="0" w:color="auto"/>
            </w:tcBorders>
            <w:shd w:val="clear" w:color="000000" w:fill="DBB731"/>
            <w:noWrap/>
            <w:vAlign w:val="center"/>
            <w:hideMark/>
          </w:tcPr>
          <w:p w14:paraId="72D79A22"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bottom w:val="single" w:sz="4" w:space="0" w:color="auto"/>
            </w:tcBorders>
            <w:shd w:val="clear" w:color="000000" w:fill="DBB731"/>
            <w:noWrap/>
            <w:vAlign w:val="center"/>
            <w:hideMark/>
          </w:tcPr>
          <w:p w14:paraId="5440F234"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bottom w:val="single" w:sz="4" w:space="0" w:color="auto"/>
            </w:tcBorders>
            <w:shd w:val="clear" w:color="000000" w:fill="DBB731"/>
            <w:noWrap/>
            <w:vAlign w:val="center"/>
            <w:hideMark/>
          </w:tcPr>
          <w:p w14:paraId="5A988570" w14:textId="0F921A3B"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770</w:t>
            </w:r>
            <w:r w:rsidR="001921C8"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2843FDA5" w14:textId="5B48A59E"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750</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top w:val="single" w:sz="4" w:space="0" w:color="auto"/>
              <w:bottom w:val="single" w:sz="4" w:space="0" w:color="auto"/>
            </w:tcBorders>
            <w:shd w:val="clear" w:color="000000" w:fill="DBB731"/>
            <w:noWrap/>
            <w:vAlign w:val="center"/>
            <w:hideMark/>
          </w:tcPr>
          <w:p w14:paraId="53666241" w14:textId="34F0152E"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w:t>
            </w:r>
            <w:r w:rsidR="00F32374" w:rsidRPr="00F567E1">
              <w:rPr>
                <w:b/>
                <w:bCs/>
                <w:color w:val="000000"/>
                <w:sz w:val="18"/>
                <w:szCs w:val="18"/>
                <w:lang w:val="es-ES_tradnl"/>
              </w:rPr>
              <w:t> </w:t>
            </w:r>
            <w:r w:rsidRPr="00F567E1">
              <w:rPr>
                <w:b/>
                <w:bCs/>
                <w:color w:val="000000"/>
                <w:sz w:val="18"/>
                <w:szCs w:val="18"/>
                <w:lang w:val="es-ES_tradnl"/>
              </w:rPr>
              <w:t>520</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36B3C7ED" w14:textId="77777777" w:rsidTr="00917804">
        <w:trPr>
          <w:trHeight w:val="42"/>
          <w:jc w:val="right"/>
        </w:trPr>
        <w:tc>
          <w:tcPr>
            <w:tcW w:w="7230" w:type="dxa"/>
            <w:gridSpan w:val="2"/>
            <w:tcBorders>
              <w:top w:val="single" w:sz="4" w:space="0" w:color="auto"/>
            </w:tcBorders>
            <w:noWrap/>
            <w:vAlign w:val="center"/>
            <w:hideMark/>
          </w:tcPr>
          <w:p w14:paraId="7F45C09B" w14:textId="77777777" w:rsidR="00312042" w:rsidRPr="00F567E1" w:rsidRDefault="00312042" w:rsidP="00CB7E8A">
            <w:pPr>
              <w:keepNext/>
              <w:keepLines/>
              <w:spacing w:before="40" w:after="40"/>
              <w:rPr>
                <w:b/>
                <w:bCs/>
                <w:sz w:val="18"/>
                <w:szCs w:val="18"/>
                <w:lang w:val="es-ES_tradnl"/>
              </w:rPr>
            </w:pPr>
            <w:r w:rsidRPr="00F567E1">
              <w:rPr>
                <w:b/>
                <w:bCs/>
                <w:color w:val="000000"/>
                <w:sz w:val="18"/>
                <w:szCs w:val="18"/>
                <w:lang w:val="es-ES_tradnl"/>
              </w:rPr>
              <w:t>C.</w:t>
            </w:r>
            <w:r w:rsidRPr="00F567E1">
              <w:rPr>
                <w:color w:val="000000"/>
                <w:sz w:val="18"/>
                <w:szCs w:val="18"/>
                <w:lang w:val="es-ES_tradnl"/>
              </w:rPr>
              <w:t xml:space="preserve"> </w:t>
            </w:r>
            <w:r w:rsidRPr="00F567E1">
              <w:rPr>
                <w:b/>
                <w:bCs/>
                <w:color w:val="000000"/>
                <w:sz w:val="18"/>
                <w:szCs w:val="18"/>
                <w:lang w:val="es-ES_tradnl"/>
              </w:rPr>
              <w:t>Actividades científicas y técnicas</w:t>
            </w:r>
          </w:p>
        </w:tc>
        <w:tc>
          <w:tcPr>
            <w:tcW w:w="1275" w:type="dxa"/>
            <w:tcBorders>
              <w:top w:val="single" w:sz="4" w:space="0" w:color="auto"/>
            </w:tcBorders>
            <w:noWrap/>
            <w:vAlign w:val="center"/>
            <w:hideMark/>
          </w:tcPr>
          <w:p w14:paraId="31FB03BA" w14:textId="77777777" w:rsidR="00312042" w:rsidRPr="00F567E1" w:rsidRDefault="00312042" w:rsidP="00CB7E8A">
            <w:pPr>
              <w:keepNext/>
              <w:keepLines/>
              <w:spacing w:before="40" w:after="40"/>
              <w:jc w:val="right"/>
              <w:rPr>
                <w:b/>
                <w:bCs/>
                <w:sz w:val="18"/>
                <w:szCs w:val="18"/>
                <w:lang w:val="es-ES_tradnl"/>
              </w:rPr>
            </w:pPr>
          </w:p>
        </w:tc>
        <w:tc>
          <w:tcPr>
            <w:tcW w:w="1134" w:type="dxa"/>
            <w:tcBorders>
              <w:top w:val="single" w:sz="4" w:space="0" w:color="auto"/>
            </w:tcBorders>
            <w:noWrap/>
            <w:vAlign w:val="center"/>
            <w:hideMark/>
          </w:tcPr>
          <w:p w14:paraId="05CAD582" w14:textId="77777777" w:rsidR="00312042" w:rsidRPr="00F567E1" w:rsidRDefault="00312042" w:rsidP="00CB7E8A">
            <w:pPr>
              <w:keepNext/>
              <w:keepLines/>
              <w:spacing w:before="40" w:after="40"/>
              <w:jc w:val="right"/>
              <w:rPr>
                <w:b/>
                <w:bCs/>
                <w:sz w:val="18"/>
                <w:szCs w:val="18"/>
                <w:lang w:val="es-ES_tradnl"/>
              </w:rPr>
            </w:pPr>
          </w:p>
        </w:tc>
        <w:tc>
          <w:tcPr>
            <w:tcW w:w="1276" w:type="dxa"/>
            <w:tcBorders>
              <w:top w:val="single" w:sz="4" w:space="0" w:color="auto"/>
            </w:tcBorders>
            <w:noWrap/>
            <w:vAlign w:val="center"/>
            <w:hideMark/>
          </w:tcPr>
          <w:p w14:paraId="516D9505" w14:textId="77777777" w:rsidR="00312042" w:rsidRPr="00F567E1" w:rsidRDefault="00312042" w:rsidP="00CB7E8A">
            <w:pPr>
              <w:keepNext/>
              <w:keepLines/>
              <w:spacing w:before="40" w:after="40"/>
              <w:jc w:val="right"/>
              <w:rPr>
                <w:b/>
                <w:bCs/>
                <w:sz w:val="18"/>
                <w:szCs w:val="18"/>
                <w:lang w:val="es-ES_tradnl"/>
              </w:rPr>
            </w:pPr>
          </w:p>
        </w:tc>
        <w:tc>
          <w:tcPr>
            <w:tcW w:w="1134" w:type="dxa"/>
            <w:tcBorders>
              <w:top w:val="single" w:sz="4" w:space="0" w:color="auto"/>
            </w:tcBorders>
            <w:noWrap/>
            <w:vAlign w:val="center"/>
            <w:hideMark/>
          </w:tcPr>
          <w:p w14:paraId="73FAD4E1" w14:textId="77777777" w:rsidR="00312042" w:rsidRPr="00F567E1" w:rsidRDefault="00312042" w:rsidP="00CB7E8A">
            <w:pPr>
              <w:keepNext/>
              <w:keepLines/>
              <w:spacing w:before="40" w:after="40"/>
              <w:jc w:val="right"/>
              <w:rPr>
                <w:b/>
                <w:bCs/>
                <w:sz w:val="18"/>
                <w:szCs w:val="18"/>
                <w:lang w:val="es-ES_tradnl"/>
              </w:rPr>
            </w:pPr>
          </w:p>
        </w:tc>
        <w:tc>
          <w:tcPr>
            <w:tcW w:w="1134" w:type="dxa"/>
            <w:tcBorders>
              <w:top w:val="single" w:sz="4" w:space="0" w:color="auto"/>
            </w:tcBorders>
            <w:noWrap/>
            <w:vAlign w:val="center"/>
            <w:hideMark/>
          </w:tcPr>
          <w:p w14:paraId="78C5A370" w14:textId="77777777" w:rsidR="00312042" w:rsidRPr="00F567E1" w:rsidRDefault="00312042" w:rsidP="00CB7E8A">
            <w:pPr>
              <w:keepNext/>
              <w:keepLines/>
              <w:spacing w:before="40" w:after="40"/>
              <w:jc w:val="right"/>
              <w:rPr>
                <w:b/>
                <w:bCs/>
                <w:sz w:val="18"/>
                <w:szCs w:val="18"/>
                <w:lang w:val="es-ES_tradnl"/>
              </w:rPr>
            </w:pPr>
          </w:p>
        </w:tc>
        <w:tc>
          <w:tcPr>
            <w:tcW w:w="1245" w:type="dxa"/>
            <w:tcBorders>
              <w:top w:val="single" w:sz="4" w:space="0" w:color="auto"/>
            </w:tcBorders>
            <w:noWrap/>
            <w:vAlign w:val="center"/>
            <w:hideMark/>
          </w:tcPr>
          <w:p w14:paraId="511BE883" w14:textId="77777777" w:rsidR="00312042" w:rsidRPr="00F567E1" w:rsidRDefault="00312042" w:rsidP="00CB7E8A">
            <w:pPr>
              <w:keepNext/>
              <w:keepLines/>
              <w:spacing w:before="40" w:after="40"/>
              <w:jc w:val="right"/>
              <w:rPr>
                <w:b/>
                <w:bCs/>
                <w:sz w:val="18"/>
                <w:szCs w:val="18"/>
                <w:lang w:val="es-ES_tradnl"/>
              </w:rPr>
            </w:pPr>
          </w:p>
        </w:tc>
      </w:tr>
      <w:tr w:rsidR="00F234CD" w:rsidRPr="00F567E1" w14:paraId="7B015878" w14:textId="77777777" w:rsidTr="00917804">
        <w:trPr>
          <w:trHeight w:val="52"/>
          <w:jc w:val="right"/>
        </w:trPr>
        <w:tc>
          <w:tcPr>
            <w:tcW w:w="7230" w:type="dxa"/>
            <w:gridSpan w:val="2"/>
            <w:tcBorders>
              <w:top w:val="nil"/>
            </w:tcBorders>
            <w:noWrap/>
            <w:vAlign w:val="center"/>
            <w:hideMark/>
          </w:tcPr>
          <w:p w14:paraId="2A099CE0" w14:textId="77777777" w:rsidR="00312042" w:rsidRPr="00F567E1" w:rsidRDefault="00312042" w:rsidP="00CB7E8A">
            <w:pPr>
              <w:keepNext/>
              <w:keepLines/>
              <w:spacing w:before="40" w:after="40"/>
              <w:rPr>
                <w:b/>
                <w:bCs/>
                <w:sz w:val="18"/>
                <w:szCs w:val="18"/>
                <w:lang w:val="es-ES_tradnl"/>
              </w:rPr>
            </w:pPr>
            <w:r w:rsidRPr="00F567E1">
              <w:rPr>
                <w:b/>
                <w:bCs/>
                <w:color w:val="000000"/>
                <w:sz w:val="18"/>
                <w:szCs w:val="18"/>
                <w:lang w:val="es-ES_tradnl"/>
              </w:rPr>
              <w:t>5.</w:t>
            </w:r>
            <w:r w:rsidRPr="00F567E1">
              <w:rPr>
                <w:color w:val="000000"/>
                <w:sz w:val="18"/>
                <w:szCs w:val="18"/>
                <w:lang w:val="es-ES_tradnl"/>
              </w:rPr>
              <w:t xml:space="preserve"> </w:t>
            </w:r>
            <w:r w:rsidRPr="00F567E1">
              <w:rPr>
                <w:b/>
                <w:bCs/>
                <w:color w:val="000000"/>
                <w:sz w:val="18"/>
                <w:szCs w:val="18"/>
                <w:lang w:val="es-ES_tradnl"/>
              </w:rPr>
              <w:t>Apoyo científico a las Partes en el Convenio de Minamata</w:t>
            </w:r>
          </w:p>
        </w:tc>
        <w:tc>
          <w:tcPr>
            <w:tcW w:w="1275" w:type="dxa"/>
            <w:tcBorders>
              <w:top w:val="nil"/>
            </w:tcBorders>
            <w:noWrap/>
            <w:vAlign w:val="center"/>
            <w:hideMark/>
          </w:tcPr>
          <w:p w14:paraId="4DD405AE" w14:textId="77777777" w:rsidR="00312042" w:rsidRPr="00F567E1" w:rsidRDefault="00312042" w:rsidP="00CB7E8A">
            <w:pPr>
              <w:keepNext/>
              <w:keepLines/>
              <w:spacing w:before="40" w:after="40"/>
              <w:jc w:val="right"/>
              <w:rPr>
                <w:b/>
                <w:bCs/>
                <w:sz w:val="18"/>
                <w:szCs w:val="18"/>
                <w:lang w:val="es-ES_tradnl"/>
              </w:rPr>
            </w:pPr>
          </w:p>
        </w:tc>
        <w:tc>
          <w:tcPr>
            <w:tcW w:w="1134" w:type="dxa"/>
            <w:tcBorders>
              <w:top w:val="nil"/>
            </w:tcBorders>
            <w:noWrap/>
            <w:vAlign w:val="center"/>
            <w:hideMark/>
          </w:tcPr>
          <w:p w14:paraId="59EAC8EA" w14:textId="77777777" w:rsidR="00312042" w:rsidRPr="00F567E1" w:rsidRDefault="00312042" w:rsidP="00CB7E8A">
            <w:pPr>
              <w:keepNext/>
              <w:keepLines/>
              <w:spacing w:before="40" w:after="40"/>
              <w:jc w:val="right"/>
              <w:rPr>
                <w:b/>
                <w:bCs/>
                <w:sz w:val="18"/>
                <w:szCs w:val="18"/>
                <w:lang w:val="es-ES_tradnl"/>
              </w:rPr>
            </w:pPr>
          </w:p>
        </w:tc>
        <w:tc>
          <w:tcPr>
            <w:tcW w:w="1276" w:type="dxa"/>
            <w:tcBorders>
              <w:top w:val="nil"/>
            </w:tcBorders>
            <w:noWrap/>
            <w:vAlign w:val="center"/>
            <w:hideMark/>
          </w:tcPr>
          <w:p w14:paraId="1F2A97A5" w14:textId="77777777" w:rsidR="00312042" w:rsidRPr="00F567E1" w:rsidRDefault="00312042" w:rsidP="00CB7E8A">
            <w:pPr>
              <w:keepNext/>
              <w:keepLines/>
              <w:spacing w:before="40" w:after="40"/>
              <w:jc w:val="right"/>
              <w:rPr>
                <w:sz w:val="18"/>
                <w:szCs w:val="18"/>
                <w:lang w:val="es-ES_tradnl"/>
              </w:rPr>
            </w:pPr>
          </w:p>
        </w:tc>
        <w:tc>
          <w:tcPr>
            <w:tcW w:w="1134" w:type="dxa"/>
            <w:tcBorders>
              <w:top w:val="nil"/>
            </w:tcBorders>
            <w:noWrap/>
            <w:vAlign w:val="center"/>
            <w:hideMark/>
          </w:tcPr>
          <w:p w14:paraId="4008583A" w14:textId="77777777" w:rsidR="00312042" w:rsidRPr="00F567E1" w:rsidRDefault="00312042" w:rsidP="00CB7E8A">
            <w:pPr>
              <w:keepNext/>
              <w:keepLines/>
              <w:spacing w:before="40" w:after="40"/>
              <w:jc w:val="right"/>
              <w:rPr>
                <w:b/>
                <w:bCs/>
                <w:sz w:val="18"/>
                <w:szCs w:val="18"/>
                <w:lang w:val="es-ES_tradnl"/>
              </w:rPr>
            </w:pPr>
          </w:p>
        </w:tc>
        <w:tc>
          <w:tcPr>
            <w:tcW w:w="1134" w:type="dxa"/>
            <w:tcBorders>
              <w:top w:val="nil"/>
            </w:tcBorders>
            <w:noWrap/>
            <w:vAlign w:val="center"/>
            <w:hideMark/>
          </w:tcPr>
          <w:p w14:paraId="1B2D8742" w14:textId="77777777" w:rsidR="00312042" w:rsidRPr="00F567E1" w:rsidRDefault="00312042" w:rsidP="00CB7E8A">
            <w:pPr>
              <w:keepNext/>
              <w:keepLines/>
              <w:spacing w:before="40" w:after="40"/>
              <w:jc w:val="right"/>
              <w:rPr>
                <w:b/>
                <w:bCs/>
                <w:sz w:val="18"/>
                <w:szCs w:val="18"/>
                <w:lang w:val="es-ES_tradnl"/>
              </w:rPr>
            </w:pPr>
          </w:p>
        </w:tc>
        <w:tc>
          <w:tcPr>
            <w:tcW w:w="1245" w:type="dxa"/>
            <w:tcBorders>
              <w:top w:val="nil"/>
            </w:tcBorders>
            <w:noWrap/>
            <w:vAlign w:val="center"/>
            <w:hideMark/>
          </w:tcPr>
          <w:p w14:paraId="3CAAAED1" w14:textId="77777777" w:rsidR="00312042" w:rsidRPr="00F567E1" w:rsidRDefault="00312042" w:rsidP="00CB7E8A">
            <w:pPr>
              <w:keepNext/>
              <w:keepLines/>
              <w:spacing w:before="40" w:after="40"/>
              <w:jc w:val="right"/>
              <w:rPr>
                <w:sz w:val="18"/>
                <w:szCs w:val="18"/>
                <w:lang w:val="es-ES_tradnl"/>
              </w:rPr>
            </w:pPr>
          </w:p>
        </w:tc>
      </w:tr>
      <w:tr w:rsidR="00F234CD" w:rsidRPr="00F567E1" w14:paraId="7A422F2A" w14:textId="77777777" w:rsidTr="009A58EE">
        <w:trPr>
          <w:trHeight w:val="300"/>
          <w:jc w:val="right"/>
        </w:trPr>
        <w:tc>
          <w:tcPr>
            <w:tcW w:w="284" w:type="dxa"/>
            <w:noWrap/>
            <w:vAlign w:val="center"/>
            <w:hideMark/>
          </w:tcPr>
          <w:p w14:paraId="7DABFDE8"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4A38B979" w14:textId="277FC442" w:rsidR="00312042" w:rsidRPr="00F567E1" w:rsidRDefault="00312042" w:rsidP="00CB7E8A">
            <w:pPr>
              <w:spacing w:before="40" w:after="40"/>
              <w:rPr>
                <w:sz w:val="18"/>
                <w:szCs w:val="18"/>
                <w:lang w:val="es-ES_tradnl"/>
              </w:rPr>
            </w:pPr>
            <w:r w:rsidRPr="00F567E1">
              <w:rPr>
                <w:color w:val="000000"/>
                <w:sz w:val="18"/>
                <w:szCs w:val="18"/>
                <w:lang w:val="es-ES_tradnl"/>
              </w:rPr>
              <w:t>5.1. Mejora de los métodos para la elaboración de inventarios de mercurio</w:t>
            </w:r>
          </w:p>
        </w:tc>
        <w:tc>
          <w:tcPr>
            <w:tcW w:w="1275" w:type="dxa"/>
            <w:noWrap/>
            <w:vAlign w:val="center"/>
            <w:hideMark/>
          </w:tcPr>
          <w:p w14:paraId="7D302B19"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3BF25D9C"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5BFE0981"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3BBF7FEB" w14:textId="59B75F13" w:rsidR="00312042" w:rsidRPr="00F567E1" w:rsidRDefault="00312042" w:rsidP="00CB7E8A">
            <w:pPr>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3C9B1CFC" w14:textId="7AF1E2D3" w:rsidR="00312042" w:rsidRPr="00F567E1" w:rsidRDefault="00312042" w:rsidP="00CB7E8A">
            <w:pPr>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25B3B562" w14:textId="31AE0D6C" w:rsidR="00312042" w:rsidRPr="00F567E1" w:rsidRDefault="00312042" w:rsidP="00CB7E8A">
            <w:pPr>
              <w:spacing w:before="40" w:after="40"/>
              <w:jc w:val="right"/>
              <w:rPr>
                <w:sz w:val="18"/>
                <w:szCs w:val="18"/>
                <w:lang w:val="es-ES_tradnl"/>
              </w:rPr>
            </w:pPr>
            <w:r w:rsidRPr="00F567E1">
              <w:rPr>
                <w:color w:val="000000"/>
                <w:sz w:val="18"/>
                <w:szCs w:val="18"/>
                <w:lang w:val="es-ES_tradnl"/>
              </w:rPr>
              <w:t>100</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0D843A2C" w14:textId="77777777" w:rsidTr="009A58EE">
        <w:trPr>
          <w:trHeight w:val="300"/>
          <w:jc w:val="right"/>
        </w:trPr>
        <w:tc>
          <w:tcPr>
            <w:tcW w:w="284" w:type="dxa"/>
            <w:noWrap/>
            <w:vAlign w:val="center"/>
            <w:hideMark/>
          </w:tcPr>
          <w:p w14:paraId="581851CC"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3806DC8C" w14:textId="36B7C019" w:rsidR="00312042" w:rsidRPr="00F567E1" w:rsidRDefault="00312042" w:rsidP="00CB7E8A">
            <w:pPr>
              <w:spacing w:before="40" w:after="40"/>
              <w:rPr>
                <w:sz w:val="18"/>
                <w:szCs w:val="18"/>
                <w:lang w:val="es-ES_tradnl"/>
              </w:rPr>
            </w:pPr>
            <w:r w:rsidRPr="00F567E1">
              <w:rPr>
                <w:color w:val="000000"/>
                <w:sz w:val="18"/>
                <w:szCs w:val="18"/>
                <w:lang w:val="es-ES_tradnl"/>
              </w:rPr>
              <w:t>5.2. Intercambio de información sobre modelización y seguimiento</w:t>
            </w:r>
          </w:p>
        </w:tc>
        <w:tc>
          <w:tcPr>
            <w:tcW w:w="1275" w:type="dxa"/>
            <w:noWrap/>
            <w:vAlign w:val="center"/>
            <w:hideMark/>
          </w:tcPr>
          <w:p w14:paraId="7A47ADBD"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2AE1256C"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1A655A28"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3D4073AB" w14:textId="53E07833" w:rsidR="00312042" w:rsidRPr="00F567E1" w:rsidRDefault="00312042" w:rsidP="00CB7E8A">
            <w:pPr>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6CA2375E" w14:textId="1B7DDEA3" w:rsidR="00312042" w:rsidRPr="00F567E1" w:rsidRDefault="00312042" w:rsidP="00CB7E8A">
            <w:pPr>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2632FF98" w14:textId="2E6AFD07" w:rsidR="00312042" w:rsidRPr="00F567E1" w:rsidRDefault="00312042" w:rsidP="00CB7E8A">
            <w:pPr>
              <w:spacing w:before="40" w:after="40"/>
              <w:jc w:val="right"/>
              <w:rPr>
                <w:sz w:val="18"/>
                <w:szCs w:val="18"/>
                <w:lang w:val="es-ES_tradnl"/>
              </w:rPr>
            </w:pPr>
            <w:r w:rsidRPr="00F567E1">
              <w:rPr>
                <w:color w:val="000000"/>
                <w:sz w:val="18"/>
                <w:szCs w:val="18"/>
                <w:lang w:val="es-ES_tradnl"/>
              </w:rPr>
              <w:t>100</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21AC0940" w14:textId="77777777" w:rsidTr="009A58EE">
        <w:trPr>
          <w:trHeight w:val="300"/>
          <w:jc w:val="right"/>
        </w:trPr>
        <w:tc>
          <w:tcPr>
            <w:tcW w:w="284" w:type="dxa"/>
            <w:noWrap/>
            <w:vAlign w:val="center"/>
            <w:hideMark/>
          </w:tcPr>
          <w:p w14:paraId="24B85632"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4ECF7615" w14:textId="626C297D" w:rsidR="00312042" w:rsidRPr="00F567E1" w:rsidRDefault="00312042" w:rsidP="00CB7E8A">
            <w:pPr>
              <w:spacing w:before="40" w:after="40"/>
              <w:rPr>
                <w:sz w:val="18"/>
                <w:szCs w:val="18"/>
                <w:lang w:val="es-ES_tradnl"/>
              </w:rPr>
            </w:pPr>
            <w:r w:rsidRPr="00F567E1">
              <w:rPr>
                <w:color w:val="000000"/>
                <w:sz w:val="18"/>
                <w:szCs w:val="18"/>
                <w:lang w:val="es-ES_tradnl"/>
              </w:rPr>
              <w:t>5.3. Evaluación de los efectos sanitarios, ambientales y socioeconómicos del mercurio</w:t>
            </w:r>
          </w:p>
        </w:tc>
        <w:tc>
          <w:tcPr>
            <w:tcW w:w="1275" w:type="dxa"/>
            <w:noWrap/>
            <w:vAlign w:val="center"/>
            <w:hideMark/>
          </w:tcPr>
          <w:p w14:paraId="07F1ED22"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6722DB3C"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3F417B3E"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4E21C952" w14:textId="21A408E0" w:rsidR="00312042" w:rsidRPr="00F567E1" w:rsidRDefault="00312042" w:rsidP="00CB7E8A">
            <w:pPr>
              <w:spacing w:before="40" w:after="40"/>
              <w:jc w:val="right"/>
              <w:rPr>
                <w:sz w:val="18"/>
                <w:szCs w:val="18"/>
                <w:lang w:val="es-ES_tradnl"/>
              </w:rPr>
            </w:pPr>
            <w:r w:rsidRPr="00F567E1">
              <w:rPr>
                <w:color w:val="000000"/>
                <w:sz w:val="18"/>
                <w:szCs w:val="18"/>
                <w:lang w:val="es-ES_tradnl"/>
              </w:rPr>
              <w:t>75</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013539CA" w14:textId="597AE2AE" w:rsidR="00312042" w:rsidRPr="00F567E1" w:rsidRDefault="00312042" w:rsidP="00CB7E8A">
            <w:pPr>
              <w:spacing w:before="40" w:after="40"/>
              <w:jc w:val="right"/>
              <w:rPr>
                <w:sz w:val="18"/>
                <w:szCs w:val="18"/>
                <w:lang w:val="es-ES_tradnl"/>
              </w:rPr>
            </w:pPr>
            <w:r w:rsidRPr="00F567E1">
              <w:rPr>
                <w:color w:val="000000"/>
                <w:sz w:val="18"/>
                <w:szCs w:val="18"/>
                <w:lang w:val="es-ES_tradnl"/>
              </w:rPr>
              <w:t>75</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71F6BC8B" w14:textId="1457E681" w:rsidR="00312042" w:rsidRPr="00F567E1" w:rsidRDefault="00312042" w:rsidP="00CB7E8A">
            <w:pPr>
              <w:spacing w:before="40" w:after="40"/>
              <w:jc w:val="right"/>
              <w:rPr>
                <w:sz w:val="18"/>
                <w:szCs w:val="18"/>
                <w:lang w:val="es-ES_tradnl"/>
              </w:rPr>
            </w:pPr>
            <w:r w:rsidRPr="00F567E1">
              <w:rPr>
                <w:color w:val="000000"/>
                <w:sz w:val="18"/>
                <w:szCs w:val="18"/>
                <w:lang w:val="es-ES_tradnl"/>
              </w:rPr>
              <w:t>150</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3416D2CA" w14:textId="77777777" w:rsidTr="009A58EE">
        <w:trPr>
          <w:trHeight w:val="300"/>
          <w:jc w:val="right"/>
        </w:trPr>
        <w:tc>
          <w:tcPr>
            <w:tcW w:w="284" w:type="dxa"/>
            <w:noWrap/>
            <w:vAlign w:val="center"/>
            <w:hideMark/>
          </w:tcPr>
          <w:p w14:paraId="5FEB98B7"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6C4E94B8" w14:textId="64442E49" w:rsidR="00312042" w:rsidRPr="00F567E1" w:rsidRDefault="00312042" w:rsidP="00CB7E8A">
            <w:pPr>
              <w:spacing w:before="40" w:after="40"/>
              <w:rPr>
                <w:sz w:val="18"/>
                <w:szCs w:val="18"/>
                <w:lang w:val="es-ES_tradnl"/>
              </w:rPr>
            </w:pPr>
            <w:r w:rsidRPr="00F567E1">
              <w:rPr>
                <w:color w:val="000000"/>
                <w:sz w:val="18"/>
                <w:szCs w:val="18"/>
                <w:lang w:val="es-ES_tradnl"/>
              </w:rPr>
              <w:t>5.4. Intercambio de información en el ámbito de las tecnologías de reducción del mercurio</w:t>
            </w:r>
          </w:p>
        </w:tc>
        <w:tc>
          <w:tcPr>
            <w:tcW w:w="1275" w:type="dxa"/>
            <w:noWrap/>
            <w:vAlign w:val="center"/>
            <w:hideMark/>
          </w:tcPr>
          <w:p w14:paraId="1DAC5ACB"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7823F2A3"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16204FB4"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709E62DC" w14:textId="5796B0D1" w:rsidR="00312042" w:rsidRPr="00F567E1" w:rsidRDefault="00312042" w:rsidP="00CB7E8A">
            <w:pPr>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07439427" w14:textId="5ED2149F" w:rsidR="00312042" w:rsidRPr="00F567E1" w:rsidRDefault="00312042" w:rsidP="00CB7E8A">
            <w:pPr>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469743F4" w14:textId="74257342" w:rsidR="00312042" w:rsidRPr="00F567E1" w:rsidRDefault="00312042" w:rsidP="00CB7E8A">
            <w:pPr>
              <w:spacing w:before="40" w:after="40"/>
              <w:jc w:val="right"/>
              <w:rPr>
                <w:sz w:val="18"/>
                <w:szCs w:val="18"/>
                <w:lang w:val="es-ES_tradnl"/>
              </w:rPr>
            </w:pPr>
            <w:r w:rsidRPr="00F567E1">
              <w:rPr>
                <w:color w:val="000000"/>
                <w:sz w:val="18"/>
                <w:szCs w:val="18"/>
                <w:lang w:val="es-ES_tradnl"/>
              </w:rPr>
              <w:t>100</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4AFA578E" w14:textId="77777777" w:rsidTr="00917804">
        <w:trPr>
          <w:trHeight w:val="86"/>
          <w:jc w:val="right"/>
        </w:trPr>
        <w:tc>
          <w:tcPr>
            <w:tcW w:w="284" w:type="dxa"/>
            <w:noWrap/>
            <w:vAlign w:val="center"/>
            <w:hideMark/>
          </w:tcPr>
          <w:p w14:paraId="6AA15F7B"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lastRenderedPageBreak/>
              <w:t> </w:t>
            </w:r>
          </w:p>
        </w:tc>
        <w:tc>
          <w:tcPr>
            <w:tcW w:w="6946" w:type="dxa"/>
            <w:noWrap/>
            <w:vAlign w:val="center"/>
            <w:hideMark/>
          </w:tcPr>
          <w:p w14:paraId="4BD8D231" w14:textId="4C63F83C" w:rsidR="00312042" w:rsidRPr="00F567E1" w:rsidRDefault="00312042" w:rsidP="00CB7E8A">
            <w:pPr>
              <w:spacing w:before="40" w:after="40"/>
              <w:rPr>
                <w:sz w:val="18"/>
                <w:szCs w:val="18"/>
                <w:lang w:val="es-ES_tradnl"/>
              </w:rPr>
            </w:pPr>
            <w:r w:rsidRPr="00F567E1">
              <w:rPr>
                <w:color w:val="000000"/>
                <w:sz w:val="18"/>
                <w:szCs w:val="18"/>
                <w:lang w:val="es-ES_tradnl"/>
              </w:rPr>
              <w:t>5.5. Actividades científicas y técnicas intersectoriales</w:t>
            </w:r>
          </w:p>
        </w:tc>
        <w:tc>
          <w:tcPr>
            <w:tcW w:w="1275" w:type="dxa"/>
            <w:noWrap/>
            <w:vAlign w:val="center"/>
            <w:hideMark/>
          </w:tcPr>
          <w:p w14:paraId="580479D7"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3EC3175B"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5D63C743"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57E040F0" w14:textId="648C2811" w:rsidR="00312042" w:rsidRPr="00F567E1" w:rsidRDefault="00312042" w:rsidP="00CB7E8A">
            <w:pPr>
              <w:spacing w:before="40" w:after="40"/>
              <w:jc w:val="right"/>
              <w:rPr>
                <w:sz w:val="18"/>
                <w:szCs w:val="18"/>
                <w:lang w:val="es-ES_tradnl"/>
              </w:rPr>
            </w:pPr>
            <w:r w:rsidRPr="00F567E1">
              <w:rPr>
                <w:color w:val="000000"/>
                <w:sz w:val="18"/>
                <w:szCs w:val="18"/>
                <w:lang w:val="es-ES_tradnl"/>
              </w:rPr>
              <w:t>570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51280ABB" w14:textId="00145653" w:rsidR="00312042" w:rsidRPr="00F567E1" w:rsidRDefault="00312042" w:rsidP="00CB7E8A">
            <w:pPr>
              <w:spacing w:before="40" w:after="40"/>
              <w:jc w:val="right"/>
              <w:rPr>
                <w:sz w:val="18"/>
                <w:szCs w:val="18"/>
                <w:lang w:val="es-ES_tradnl"/>
              </w:rPr>
            </w:pPr>
            <w:r w:rsidRPr="00F567E1">
              <w:rPr>
                <w:color w:val="000000"/>
                <w:sz w:val="18"/>
                <w:szCs w:val="18"/>
                <w:lang w:val="es-ES_tradnl"/>
              </w:rPr>
              <w:t>400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08309615" w14:textId="7ACA8BE2" w:rsidR="00312042" w:rsidRPr="00F567E1" w:rsidRDefault="00312042" w:rsidP="00CB7E8A">
            <w:pPr>
              <w:spacing w:before="40" w:after="40"/>
              <w:jc w:val="right"/>
              <w:rPr>
                <w:sz w:val="18"/>
                <w:szCs w:val="18"/>
                <w:lang w:val="es-ES_tradnl"/>
              </w:rPr>
            </w:pPr>
            <w:r w:rsidRPr="00F567E1">
              <w:rPr>
                <w:color w:val="000000"/>
                <w:sz w:val="18"/>
                <w:szCs w:val="18"/>
                <w:lang w:val="es-ES_tradnl"/>
              </w:rPr>
              <w:t>970</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67FD4A44" w14:textId="77777777" w:rsidTr="005E40EA">
        <w:trPr>
          <w:trHeight w:val="114"/>
          <w:jc w:val="right"/>
        </w:trPr>
        <w:tc>
          <w:tcPr>
            <w:tcW w:w="7230" w:type="dxa"/>
            <w:gridSpan w:val="2"/>
            <w:shd w:val="clear" w:color="000000" w:fill="B4C6E7"/>
            <w:noWrap/>
            <w:vAlign w:val="center"/>
            <w:hideMark/>
          </w:tcPr>
          <w:p w14:paraId="00FDB7B5"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5.</w:t>
            </w:r>
            <w:r w:rsidRPr="00F567E1">
              <w:rPr>
                <w:color w:val="000000"/>
                <w:sz w:val="18"/>
                <w:szCs w:val="18"/>
                <w:lang w:val="es-ES_tradnl"/>
              </w:rPr>
              <w:t xml:space="preserve"> </w:t>
            </w:r>
            <w:r w:rsidRPr="00F567E1">
              <w:rPr>
                <w:b/>
                <w:bCs/>
                <w:color w:val="000000"/>
                <w:sz w:val="18"/>
                <w:szCs w:val="18"/>
                <w:lang w:val="es-ES_tradnl"/>
              </w:rPr>
              <w:t>Apoyo científico a las Partes en el Convenio de Minamata</w:t>
            </w:r>
          </w:p>
        </w:tc>
        <w:tc>
          <w:tcPr>
            <w:tcW w:w="1275" w:type="dxa"/>
            <w:shd w:val="clear" w:color="000000" w:fill="B4C6E7"/>
            <w:noWrap/>
            <w:vAlign w:val="center"/>
            <w:hideMark/>
          </w:tcPr>
          <w:p w14:paraId="207D5B6B"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0428E859" w14:textId="77777777" w:rsidR="00312042" w:rsidRPr="00F567E1" w:rsidRDefault="00312042" w:rsidP="00CB7E8A">
            <w:pPr>
              <w:spacing w:before="40" w:after="40"/>
              <w:jc w:val="right"/>
              <w:rPr>
                <w:b/>
                <w:bCs/>
                <w:sz w:val="18"/>
                <w:szCs w:val="18"/>
                <w:lang w:val="es-ES_tradnl"/>
              </w:rPr>
            </w:pPr>
          </w:p>
        </w:tc>
        <w:tc>
          <w:tcPr>
            <w:tcW w:w="1276" w:type="dxa"/>
            <w:shd w:val="clear" w:color="000000" w:fill="B4C6E7"/>
            <w:noWrap/>
            <w:vAlign w:val="center"/>
            <w:hideMark/>
          </w:tcPr>
          <w:p w14:paraId="30666075"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628F3A96" w14:textId="7B37A4B7"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795</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2BC77907" w14:textId="68AC94AA"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625</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shd w:val="clear" w:color="000000" w:fill="B4C6E7"/>
            <w:noWrap/>
            <w:vAlign w:val="center"/>
            <w:hideMark/>
          </w:tcPr>
          <w:p w14:paraId="1E7ACC53" w14:textId="0C7FCD18"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w:t>
            </w:r>
            <w:r w:rsidR="00F32374" w:rsidRPr="00F567E1">
              <w:rPr>
                <w:b/>
                <w:bCs/>
                <w:color w:val="000000"/>
                <w:sz w:val="18"/>
                <w:szCs w:val="18"/>
                <w:lang w:val="es-ES_tradnl"/>
              </w:rPr>
              <w:t> </w:t>
            </w:r>
            <w:r w:rsidRPr="00F567E1">
              <w:rPr>
                <w:b/>
                <w:bCs/>
                <w:color w:val="000000"/>
                <w:sz w:val="18"/>
                <w:szCs w:val="18"/>
                <w:lang w:val="es-ES_tradnl"/>
              </w:rPr>
              <w:t>420</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5A2CC4C4" w14:textId="77777777" w:rsidTr="005E40EA">
        <w:trPr>
          <w:trHeight w:val="103"/>
          <w:jc w:val="right"/>
        </w:trPr>
        <w:tc>
          <w:tcPr>
            <w:tcW w:w="7230" w:type="dxa"/>
            <w:gridSpan w:val="2"/>
            <w:noWrap/>
            <w:vAlign w:val="center"/>
            <w:hideMark/>
          </w:tcPr>
          <w:p w14:paraId="7B1702CB"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6.</w:t>
            </w:r>
            <w:r w:rsidRPr="00F567E1">
              <w:rPr>
                <w:color w:val="000000"/>
                <w:sz w:val="18"/>
                <w:szCs w:val="18"/>
                <w:lang w:val="es-ES_tradnl"/>
              </w:rPr>
              <w:t xml:space="preserve"> </w:t>
            </w:r>
            <w:r w:rsidRPr="00F567E1">
              <w:rPr>
                <w:b/>
                <w:bCs/>
                <w:color w:val="000000"/>
                <w:sz w:val="18"/>
                <w:szCs w:val="18"/>
                <w:lang w:val="es-ES_tradnl"/>
              </w:rPr>
              <w:t>Evaluación de la eficacia</w:t>
            </w:r>
            <w:r w:rsidRPr="00F567E1">
              <w:rPr>
                <w:color w:val="000000"/>
                <w:sz w:val="18"/>
                <w:szCs w:val="18"/>
                <w:lang w:val="es-ES_tradnl"/>
              </w:rPr>
              <w:t xml:space="preserve"> </w:t>
            </w:r>
          </w:p>
        </w:tc>
        <w:tc>
          <w:tcPr>
            <w:tcW w:w="1275" w:type="dxa"/>
            <w:noWrap/>
            <w:vAlign w:val="center"/>
            <w:hideMark/>
          </w:tcPr>
          <w:p w14:paraId="3CD31BC2"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09DCBE9E"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74895E68"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54F79FA9"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3AB4F52E"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4B2EB6EF" w14:textId="77777777" w:rsidR="00312042" w:rsidRPr="00F567E1" w:rsidRDefault="00312042" w:rsidP="00CB7E8A">
            <w:pPr>
              <w:spacing w:before="40" w:after="40"/>
              <w:jc w:val="right"/>
              <w:rPr>
                <w:b/>
                <w:bCs/>
                <w:sz w:val="18"/>
                <w:szCs w:val="18"/>
                <w:lang w:val="es-ES_tradnl"/>
              </w:rPr>
            </w:pPr>
          </w:p>
        </w:tc>
      </w:tr>
      <w:tr w:rsidR="00F234CD" w:rsidRPr="00F567E1" w14:paraId="4FEBF33D" w14:textId="77777777" w:rsidTr="005E40EA">
        <w:trPr>
          <w:trHeight w:val="52"/>
          <w:jc w:val="right"/>
        </w:trPr>
        <w:tc>
          <w:tcPr>
            <w:tcW w:w="284" w:type="dxa"/>
            <w:noWrap/>
            <w:vAlign w:val="center"/>
            <w:hideMark/>
          </w:tcPr>
          <w:p w14:paraId="02857A29" w14:textId="77777777" w:rsidR="00312042" w:rsidRPr="00F567E1" w:rsidRDefault="00312042" w:rsidP="00CB7E8A">
            <w:pPr>
              <w:spacing w:before="40" w:after="40"/>
              <w:jc w:val="right"/>
              <w:rPr>
                <w:sz w:val="18"/>
                <w:szCs w:val="18"/>
                <w:lang w:val="es-ES_tradnl"/>
              </w:rPr>
            </w:pPr>
            <w:r w:rsidRPr="00F567E1">
              <w:rPr>
                <w:color w:val="000000"/>
                <w:sz w:val="18"/>
                <w:szCs w:val="18"/>
                <w:lang w:val="es-ES_tradnl"/>
              </w:rPr>
              <w:t> </w:t>
            </w:r>
          </w:p>
        </w:tc>
        <w:tc>
          <w:tcPr>
            <w:tcW w:w="6946" w:type="dxa"/>
            <w:noWrap/>
            <w:vAlign w:val="center"/>
            <w:hideMark/>
          </w:tcPr>
          <w:p w14:paraId="55AC1A09" w14:textId="62344900" w:rsidR="00312042" w:rsidRPr="00F567E1" w:rsidRDefault="00312042" w:rsidP="00CB7E8A">
            <w:pPr>
              <w:spacing w:before="40" w:after="40"/>
              <w:rPr>
                <w:sz w:val="18"/>
                <w:szCs w:val="18"/>
                <w:lang w:val="es-ES_tradnl"/>
              </w:rPr>
            </w:pPr>
            <w:r w:rsidRPr="00F567E1">
              <w:rPr>
                <w:color w:val="000000"/>
                <w:sz w:val="18"/>
                <w:szCs w:val="18"/>
                <w:lang w:val="es-ES_tradnl"/>
              </w:rPr>
              <w:t>6.1. Grupo de Evaluación de la Eficacia</w:t>
            </w:r>
          </w:p>
        </w:tc>
        <w:tc>
          <w:tcPr>
            <w:tcW w:w="1275" w:type="dxa"/>
            <w:noWrap/>
            <w:vAlign w:val="center"/>
            <w:hideMark/>
          </w:tcPr>
          <w:p w14:paraId="466FAC61" w14:textId="09750CAC" w:rsidR="00312042" w:rsidRPr="00F567E1" w:rsidRDefault="00312042" w:rsidP="00CB7E8A">
            <w:pPr>
              <w:spacing w:before="40" w:after="40"/>
              <w:jc w:val="right"/>
              <w:rPr>
                <w:sz w:val="18"/>
                <w:szCs w:val="18"/>
                <w:lang w:val="es-ES_tradnl"/>
              </w:rPr>
            </w:pPr>
            <w:r w:rsidRPr="00F567E1">
              <w:rPr>
                <w:color w:val="000000"/>
                <w:sz w:val="18"/>
                <w:szCs w:val="18"/>
                <w:lang w:val="es-ES_tradnl"/>
              </w:rPr>
              <w:t>110</w:t>
            </w:r>
            <w:r w:rsidR="00BA11CE"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4534DF4D"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1867738D" w14:textId="26BEF577" w:rsidR="00312042" w:rsidRPr="00F567E1" w:rsidRDefault="00312042" w:rsidP="00CB7E8A">
            <w:pPr>
              <w:spacing w:before="40" w:after="40"/>
              <w:jc w:val="right"/>
              <w:rPr>
                <w:sz w:val="18"/>
                <w:szCs w:val="18"/>
                <w:lang w:val="es-ES_tradnl"/>
              </w:rPr>
            </w:pPr>
            <w:r w:rsidRPr="00F567E1">
              <w:rPr>
                <w:color w:val="000000"/>
                <w:sz w:val="18"/>
                <w:szCs w:val="18"/>
                <w:lang w:val="es-ES_tradnl"/>
              </w:rPr>
              <w:t>110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53C8B540"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55DE2799" w14:textId="77777777" w:rsidR="00312042" w:rsidRPr="00F567E1" w:rsidRDefault="00312042" w:rsidP="00CB7E8A">
            <w:pPr>
              <w:spacing w:before="40" w:after="40"/>
              <w:jc w:val="right"/>
              <w:rPr>
                <w:sz w:val="18"/>
                <w:szCs w:val="18"/>
                <w:lang w:val="es-ES_tradnl"/>
              </w:rPr>
            </w:pPr>
          </w:p>
        </w:tc>
        <w:tc>
          <w:tcPr>
            <w:tcW w:w="1245" w:type="dxa"/>
            <w:noWrap/>
            <w:vAlign w:val="center"/>
            <w:hideMark/>
          </w:tcPr>
          <w:p w14:paraId="46A20022" w14:textId="77777777" w:rsidR="00312042" w:rsidRPr="00F567E1" w:rsidRDefault="00312042" w:rsidP="00CB7E8A">
            <w:pPr>
              <w:spacing w:before="40" w:after="40"/>
              <w:jc w:val="right"/>
              <w:rPr>
                <w:sz w:val="18"/>
                <w:szCs w:val="18"/>
                <w:lang w:val="es-ES_tradnl"/>
              </w:rPr>
            </w:pPr>
          </w:p>
        </w:tc>
      </w:tr>
      <w:tr w:rsidR="00F234CD" w:rsidRPr="00F567E1" w14:paraId="48CD6312" w14:textId="77777777" w:rsidTr="009A58EE">
        <w:trPr>
          <w:trHeight w:val="315"/>
          <w:jc w:val="right"/>
        </w:trPr>
        <w:tc>
          <w:tcPr>
            <w:tcW w:w="284" w:type="dxa"/>
            <w:tcBorders>
              <w:top w:val="nil"/>
            </w:tcBorders>
            <w:noWrap/>
            <w:vAlign w:val="center"/>
            <w:hideMark/>
          </w:tcPr>
          <w:p w14:paraId="29DF51AA" w14:textId="77777777" w:rsidR="00312042" w:rsidRPr="00F567E1" w:rsidRDefault="00312042" w:rsidP="00CB7E8A">
            <w:pPr>
              <w:spacing w:before="40" w:after="40"/>
              <w:jc w:val="right"/>
              <w:rPr>
                <w:sz w:val="18"/>
                <w:szCs w:val="18"/>
                <w:lang w:val="es-ES_tradnl"/>
              </w:rPr>
            </w:pPr>
            <w:r w:rsidRPr="00F567E1">
              <w:rPr>
                <w:color w:val="000000"/>
                <w:sz w:val="18"/>
                <w:szCs w:val="18"/>
                <w:lang w:val="es-ES_tradnl"/>
              </w:rPr>
              <w:t> </w:t>
            </w:r>
          </w:p>
        </w:tc>
        <w:tc>
          <w:tcPr>
            <w:tcW w:w="6946" w:type="dxa"/>
            <w:tcBorders>
              <w:top w:val="nil"/>
            </w:tcBorders>
            <w:noWrap/>
            <w:vAlign w:val="center"/>
            <w:hideMark/>
          </w:tcPr>
          <w:p w14:paraId="774CACD0" w14:textId="5BFC33B7" w:rsidR="00312042" w:rsidRPr="00F567E1" w:rsidRDefault="00312042" w:rsidP="00CB7E8A">
            <w:pPr>
              <w:spacing w:before="40" w:after="40"/>
              <w:rPr>
                <w:sz w:val="18"/>
                <w:szCs w:val="18"/>
                <w:lang w:val="es-ES_tradnl"/>
              </w:rPr>
            </w:pPr>
            <w:r w:rsidRPr="00F567E1">
              <w:rPr>
                <w:color w:val="000000"/>
                <w:sz w:val="18"/>
                <w:szCs w:val="18"/>
                <w:lang w:val="es-ES_tradnl"/>
              </w:rPr>
              <w:t>6.2. Otra labor e informes preparatorios en apoyo de la evaluación de la eficacia</w:t>
            </w:r>
          </w:p>
        </w:tc>
        <w:tc>
          <w:tcPr>
            <w:tcW w:w="1275" w:type="dxa"/>
            <w:tcBorders>
              <w:top w:val="nil"/>
            </w:tcBorders>
            <w:noWrap/>
            <w:vAlign w:val="center"/>
            <w:hideMark/>
          </w:tcPr>
          <w:p w14:paraId="538EA165"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21D28705" w14:textId="77777777" w:rsidR="00312042" w:rsidRPr="00F567E1" w:rsidRDefault="00312042" w:rsidP="00CB7E8A">
            <w:pPr>
              <w:spacing w:before="40" w:after="40"/>
              <w:jc w:val="right"/>
              <w:rPr>
                <w:sz w:val="18"/>
                <w:szCs w:val="18"/>
                <w:lang w:val="es-ES_tradnl"/>
              </w:rPr>
            </w:pPr>
          </w:p>
        </w:tc>
        <w:tc>
          <w:tcPr>
            <w:tcW w:w="1276" w:type="dxa"/>
            <w:tcBorders>
              <w:top w:val="nil"/>
            </w:tcBorders>
            <w:noWrap/>
            <w:vAlign w:val="center"/>
            <w:hideMark/>
          </w:tcPr>
          <w:p w14:paraId="249290CD"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25C9D4FA"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4AFC3FC1"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4A26AD26" w14:textId="77777777" w:rsidR="00312042" w:rsidRPr="00F567E1" w:rsidRDefault="00312042" w:rsidP="00CB7E8A">
            <w:pPr>
              <w:spacing w:before="40" w:after="40"/>
              <w:jc w:val="right"/>
              <w:rPr>
                <w:sz w:val="18"/>
                <w:szCs w:val="18"/>
                <w:lang w:val="es-ES_tradnl"/>
              </w:rPr>
            </w:pPr>
          </w:p>
        </w:tc>
      </w:tr>
      <w:tr w:rsidR="00F234CD" w:rsidRPr="00F567E1" w14:paraId="7CE06E70" w14:textId="77777777" w:rsidTr="00917804">
        <w:trPr>
          <w:trHeight w:val="52"/>
          <w:jc w:val="right"/>
        </w:trPr>
        <w:tc>
          <w:tcPr>
            <w:tcW w:w="7230" w:type="dxa"/>
            <w:gridSpan w:val="2"/>
            <w:shd w:val="clear" w:color="000000" w:fill="B4C6E7"/>
            <w:noWrap/>
            <w:vAlign w:val="center"/>
            <w:hideMark/>
          </w:tcPr>
          <w:p w14:paraId="0A5E8255"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6.</w:t>
            </w:r>
            <w:r w:rsidRPr="00F567E1">
              <w:rPr>
                <w:color w:val="000000"/>
                <w:sz w:val="18"/>
                <w:szCs w:val="18"/>
                <w:lang w:val="es-ES_tradnl"/>
              </w:rPr>
              <w:t xml:space="preserve"> </w:t>
            </w:r>
            <w:r w:rsidRPr="00F567E1">
              <w:rPr>
                <w:b/>
                <w:bCs/>
                <w:color w:val="000000"/>
                <w:sz w:val="18"/>
                <w:szCs w:val="18"/>
                <w:lang w:val="es-ES_tradnl"/>
              </w:rPr>
              <w:t>Evaluación de la eficacia</w:t>
            </w:r>
          </w:p>
        </w:tc>
        <w:tc>
          <w:tcPr>
            <w:tcW w:w="1275" w:type="dxa"/>
            <w:shd w:val="clear" w:color="000000" w:fill="B4C6E7"/>
            <w:noWrap/>
            <w:vAlign w:val="center"/>
            <w:hideMark/>
          </w:tcPr>
          <w:p w14:paraId="66BAB3B8" w14:textId="1A046443"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110</w:t>
            </w:r>
            <w:r w:rsidR="003027F0"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238D8691" w14:textId="77777777" w:rsidR="00312042" w:rsidRPr="00F567E1" w:rsidRDefault="00312042" w:rsidP="00CB7E8A">
            <w:pPr>
              <w:spacing w:before="40" w:after="40"/>
              <w:jc w:val="right"/>
              <w:rPr>
                <w:b/>
                <w:bCs/>
                <w:sz w:val="18"/>
                <w:szCs w:val="18"/>
                <w:lang w:val="es-ES_tradnl"/>
              </w:rPr>
            </w:pPr>
          </w:p>
        </w:tc>
        <w:tc>
          <w:tcPr>
            <w:tcW w:w="1276" w:type="dxa"/>
            <w:shd w:val="clear" w:color="000000" w:fill="B4C6E7"/>
            <w:noWrap/>
            <w:vAlign w:val="center"/>
            <w:hideMark/>
          </w:tcPr>
          <w:p w14:paraId="077031A9" w14:textId="7ADB1967"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110</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762DD0B8"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56AD291D" w14:textId="77777777" w:rsidR="00312042" w:rsidRPr="00F567E1" w:rsidRDefault="00312042" w:rsidP="00CB7E8A">
            <w:pPr>
              <w:spacing w:before="40" w:after="40"/>
              <w:jc w:val="right"/>
              <w:rPr>
                <w:b/>
                <w:bCs/>
                <w:sz w:val="18"/>
                <w:szCs w:val="18"/>
                <w:lang w:val="es-ES_tradnl"/>
              </w:rPr>
            </w:pPr>
          </w:p>
        </w:tc>
        <w:tc>
          <w:tcPr>
            <w:tcW w:w="1245" w:type="dxa"/>
            <w:shd w:val="clear" w:color="000000" w:fill="B4C6E7"/>
            <w:noWrap/>
            <w:vAlign w:val="center"/>
            <w:hideMark/>
          </w:tcPr>
          <w:p w14:paraId="4C0F2A8E" w14:textId="77777777" w:rsidR="00312042" w:rsidRPr="00F567E1" w:rsidRDefault="00312042" w:rsidP="00CB7E8A">
            <w:pPr>
              <w:spacing w:before="40" w:after="40"/>
              <w:jc w:val="right"/>
              <w:rPr>
                <w:b/>
                <w:bCs/>
                <w:sz w:val="18"/>
                <w:szCs w:val="18"/>
                <w:lang w:val="es-ES_tradnl"/>
              </w:rPr>
            </w:pPr>
          </w:p>
        </w:tc>
      </w:tr>
      <w:tr w:rsidR="00F234CD" w:rsidRPr="00F567E1" w14:paraId="63EBCC31" w14:textId="77777777" w:rsidTr="005E40EA">
        <w:trPr>
          <w:trHeight w:val="52"/>
          <w:jc w:val="right"/>
        </w:trPr>
        <w:tc>
          <w:tcPr>
            <w:tcW w:w="7230" w:type="dxa"/>
            <w:gridSpan w:val="2"/>
            <w:noWrap/>
            <w:vAlign w:val="center"/>
            <w:hideMark/>
          </w:tcPr>
          <w:p w14:paraId="48F9AB42"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7.</w:t>
            </w:r>
            <w:r w:rsidRPr="00F567E1">
              <w:rPr>
                <w:color w:val="000000"/>
                <w:sz w:val="18"/>
                <w:szCs w:val="18"/>
                <w:lang w:val="es-ES_tradnl"/>
              </w:rPr>
              <w:t xml:space="preserve"> </w:t>
            </w:r>
            <w:r w:rsidRPr="00F567E1">
              <w:rPr>
                <w:b/>
                <w:bCs/>
                <w:color w:val="000000"/>
                <w:sz w:val="18"/>
                <w:szCs w:val="18"/>
                <w:lang w:val="es-ES_tradnl"/>
              </w:rPr>
              <w:t>Presentación de informes nacionales de conformidad con el Convenio de Minamata</w:t>
            </w:r>
          </w:p>
        </w:tc>
        <w:tc>
          <w:tcPr>
            <w:tcW w:w="1275" w:type="dxa"/>
            <w:noWrap/>
            <w:vAlign w:val="center"/>
            <w:hideMark/>
          </w:tcPr>
          <w:p w14:paraId="2D2BE476"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07E84269"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74486AD1"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1936C85E"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65B17C1D"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64F346B0" w14:textId="77777777" w:rsidR="00312042" w:rsidRPr="00F567E1" w:rsidRDefault="00312042" w:rsidP="00CB7E8A">
            <w:pPr>
              <w:spacing w:before="40" w:after="40"/>
              <w:jc w:val="right"/>
              <w:rPr>
                <w:b/>
                <w:bCs/>
                <w:sz w:val="18"/>
                <w:szCs w:val="18"/>
                <w:lang w:val="es-ES_tradnl"/>
              </w:rPr>
            </w:pPr>
          </w:p>
        </w:tc>
      </w:tr>
      <w:tr w:rsidR="00F234CD" w:rsidRPr="00F567E1" w14:paraId="3F2701C9" w14:textId="77777777" w:rsidTr="009A58EE">
        <w:trPr>
          <w:trHeight w:val="300"/>
          <w:jc w:val="right"/>
        </w:trPr>
        <w:tc>
          <w:tcPr>
            <w:tcW w:w="284" w:type="dxa"/>
            <w:tcBorders>
              <w:top w:val="nil"/>
            </w:tcBorders>
            <w:noWrap/>
            <w:vAlign w:val="center"/>
            <w:hideMark/>
          </w:tcPr>
          <w:p w14:paraId="6805501C"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tcBorders>
              <w:top w:val="nil"/>
            </w:tcBorders>
            <w:noWrap/>
            <w:vAlign w:val="center"/>
            <w:hideMark/>
          </w:tcPr>
          <w:p w14:paraId="2EDF39FC" w14:textId="48DF5227" w:rsidR="00312042" w:rsidRPr="00F567E1" w:rsidRDefault="00312042" w:rsidP="00CB7E8A">
            <w:pPr>
              <w:spacing w:before="40" w:after="40"/>
              <w:rPr>
                <w:sz w:val="18"/>
                <w:szCs w:val="18"/>
                <w:lang w:val="es-ES_tradnl"/>
              </w:rPr>
            </w:pPr>
            <w:r w:rsidRPr="00F567E1">
              <w:rPr>
                <w:color w:val="000000"/>
                <w:sz w:val="18"/>
                <w:szCs w:val="18"/>
                <w:lang w:val="es-ES_tradnl"/>
              </w:rPr>
              <w:t>7.1. Tratamiento y análisis de los informes nacionales</w:t>
            </w:r>
          </w:p>
        </w:tc>
        <w:tc>
          <w:tcPr>
            <w:tcW w:w="1275" w:type="dxa"/>
            <w:tcBorders>
              <w:top w:val="nil"/>
            </w:tcBorders>
            <w:noWrap/>
            <w:vAlign w:val="center"/>
            <w:hideMark/>
          </w:tcPr>
          <w:p w14:paraId="44C03D08" w14:textId="0C856CE4" w:rsidR="00312042" w:rsidRPr="00F567E1" w:rsidRDefault="00312042" w:rsidP="00CB7E8A">
            <w:pPr>
              <w:spacing w:before="40" w:after="40"/>
              <w:jc w:val="right"/>
              <w:rPr>
                <w:sz w:val="18"/>
                <w:szCs w:val="18"/>
                <w:lang w:val="es-ES_tradnl"/>
              </w:rPr>
            </w:pPr>
            <w:r w:rsidRPr="00F567E1">
              <w:rPr>
                <w:color w:val="000000"/>
                <w:sz w:val="18"/>
                <w:szCs w:val="18"/>
                <w:lang w:val="es-ES_tradnl"/>
              </w:rPr>
              <w:t>25</w:t>
            </w:r>
            <w:r w:rsidR="00BA11CE"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1DF2367F" w14:textId="77777777" w:rsidR="00312042" w:rsidRPr="00F567E1" w:rsidRDefault="00312042" w:rsidP="00CB7E8A">
            <w:pPr>
              <w:spacing w:before="40" w:after="40"/>
              <w:jc w:val="right"/>
              <w:rPr>
                <w:sz w:val="18"/>
                <w:szCs w:val="18"/>
                <w:lang w:val="es-ES_tradnl"/>
              </w:rPr>
            </w:pPr>
          </w:p>
        </w:tc>
        <w:tc>
          <w:tcPr>
            <w:tcW w:w="1276" w:type="dxa"/>
            <w:tcBorders>
              <w:top w:val="nil"/>
            </w:tcBorders>
            <w:noWrap/>
            <w:vAlign w:val="center"/>
            <w:hideMark/>
          </w:tcPr>
          <w:p w14:paraId="702170C3" w14:textId="31F93700" w:rsidR="00312042" w:rsidRPr="00F567E1" w:rsidRDefault="00312042" w:rsidP="00CB7E8A">
            <w:pPr>
              <w:spacing w:before="40" w:after="40"/>
              <w:jc w:val="right"/>
              <w:rPr>
                <w:sz w:val="18"/>
                <w:szCs w:val="18"/>
                <w:lang w:val="es-ES_tradnl"/>
              </w:rPr>
            </w:pPr>
            <w:r w:rsidRPr="00F567E1">
              <w:rPr>
                <w:color w:val="000000"/>
                <w:sz w:val="18"/>
                <w:szCs w:val="18"/>
                <w:lang w:val="es-ES_tradnl"/>
              </w:rPr>
              <w:t>25</w:t>
            </w:r>
            <w:r w:rsidR="00F32374"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4DEFE5BF"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074DA270"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485D5231" w14:textId="77777777" w:rsidR="00312042" w:rsidRPr="00F567E1" w:rsidRDefault="00312042" w:rsidP="00CB7E8A">
            <w:pPr>
              <w:spacing w:before="40" w:after="40"/>
              <w:jc w:val="right"/>
              <w:rPr>
                <w:sz w:val="18"/>
                <w:szCs w:val="18"/>
                <w:lang w:val="es-ES_tradnl"/>
              </w:rPr>
            </w:pPr>
          </w:p>
        </w:tc>
      </w:tr>
      <w:tr w:rsidR="00F234CD" w:rsidRPr="00F567E1" w14:paraId="45D0988D" w14:textId="77777777" w:rsidTr="009A58EE">
        <w:trPr>
          <w:trHeight w:val="300"/>
          <w:jc w:val="right"/>
        </w:trPr>
        <w:tc>
          <w:tcPr>
            <w:tcW w:w="284" w:type="dxa"/>
            <w:tcBorders>
              <w:top w:val="nil"/>
            </w:tcBorders>
            <w:noWrap/>
            <w:vAlign w:val="center"/>
            <w:hideMark/>
          </w:tcPr>
          <w:p w14:paraId="567C49A5"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tcBorders>
              <w:top w:val="nil"/>
            </w:tcBorders>
            <w:noWrap/>
            <w:vAlign w:val="center"/>
            <w:hideMark/>
          </w:tcPr>
          <w:p w14:paraId="79221FAC" w14:textId="6E4E31F4" w:rsidR="00312042" w:rsidRPr="00F567E1" w:rsidRDefault="00312042" w:rsidP="00CB7E8A">
            <w:pPr>
              <w:spacing w:before="40" w:after="40"/>
              <w:rPr>
                <w:sz w:val="18"/>
                <w:szCs w:val="18"/>
                <w:lang w:val="es-ES_tradnl"/>
              </w:rPr>
            </w:pPr>
            <w:r w:rsidRPr="00F567E1">
              <w:rPr>
                <w:color w:val="000000"/>
                <w:sz w:val="18"/>
                <w:szCs w:val="18"/>
                <w:lang w:val="es-ES_tradnl"/>
              </w:rPr>
              <w:t>7.2. Gestión continua de la información contenida en los informes nacionales</w:t>
            </w:r>
          </w:p>
        </w:tc>
        <w:tc>
          <w:tcPr>
            <w:tcW w:w="1275" w:type="dxa"/>
            <w:tcBorders>
              <w:top w:val="nil"/>
            </w:tcBorders>
            <w:noWrap/>
            <w:vAlign w:val="center"/>
            <w:hideMark/>
          </w:tcPr>
          <w:p w14:paraId="2D25F66E" w14:textId="5CD56E5F" w:rsidR="00312042" w:rsidRPr="00F567E1" w:rsidRDefault="00312042" w:rsidP="00CB7E8A">
            <w:pPr>
              <w:spacing w:before="40" w:after="40"/>
              <w:jc w:val="right"/>
              <w:rPr>
                <w:sz w:val="18"/>
                <w:szCs w:val="18"/>
                <w:lang w:val="es-ES_tradnl"/>
              </w:rPr>
            </w:pPr>
            <w:r w:rsidRPr="00F567E1">
              <w:rPr>
                <w:color w:val="000000"/>
                <w:sz w:val="18"/>
                <w:szCs w:val="18"/>
                <w:lang w:val="es-ES_tradnl"/>
              </w:rPr>
              <w:t>30</w:t>
            </w:r>
            <w:r w:rsidR="00BA11CE"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246BB7FF" w14:textId="77777777" w:rsidR="00312042" w:rsidRPr="00F567E1" w:rsidRDefault="00312042" w:rsidP="00CB7E8A">
            <w:pPr>
              <w:spacing w:before="40" w:after="40"/>
              <w:jc w:val="right"/>
              <w:rPr>
                <w:sz w:val="18"/>
                <w:szCs w:val="18"/>
                <w:lang w:val="es-ES_tradnl"/>
              </w:rPr>
            </w:pPr>
          </w:p>
        </w:tc>
        <w:tc>
          <w:tcPr>
            <w:tcW w:w="1276" w:type="dxa"/>
            <w:tcBorders>
              <w:top w:val="nil"/>
            </w:tcBorders>
            <w:noWrap/>
            <w:vAlign w:val="center"/>
            <w:hideMark/>
          </w:tcPr>
          <w:p w14:paraId="537E89E7" w14:textId="19AB7569" w:rsidR="00312042" w:rsidRPr="00F567E1" w:rsidRDefault="00312042" w:rsidP="00CB7E8A">
            <w:pPr>
              <w:spacing w:before="40" w:after="40"/>
              <w:jc w:val="right"/>
              <w:rPr>
                <w:sz w:val="18"/>
                <w:szCs w:val="18"/>
                <w:lang w:val="es-ES_tradnl"/>
              </w:rPr>
            </w:pPr>
            <w:r w:rsidRPr="00F567E1">
              <w:rPr>
                <w:color w:val="000000"/>
                <w:sz w:val="18"/>
                <w:szCs w:val="18"/>
                <w:lang w:val="es-ES_tradnl"/>
              </w:rPr>
              <w:t>30</w:t>
            </w:r>
            <w:r w:rsidR="00F32374"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387D3BB5"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376871F6"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3CE8B0BA" w14:textId="77777777" w:rsidR="00312042" w:rsidRPr="00F567E1" w:rsidRDefault="00312042" w:rsidP="00CB7E8A">
            <w:pPr>
              <w:spacing w:before="40" w:after="40"/>
              <w:jc w:val="right"/>
              <w:rPr>
                <w:sz w:val="18"/>
                <w:szCs w:val="18"/>
                <w:lang w:val="es-ES_tradnl"/>
              </w:rPr>
            </w:pPr>
          </w:p>
        </w:tc>
      </w:tr>
      <w:tr w:rsidR="00F234CD" w:rsidRPr="00F567E1" w14:paraId="5FF7FE2E" w14:textId="77777777" w:rsidTr="009A58EE">
        <w:trPr>
          <w:trHeight w:val="315"/>
          <w:jc w:val="right"/>
        </w:trPr>
        <w:tc>
          <w:tcPr>
            <w:tcW w:w="284" w:type="dxa"/>
            <w:tcBorders>
              <w:top w:val="nil"/>
            </w:tcBorders>
            <w:noWrap/>
            <w:vAlign w:val="center"/>
            <w:hideMark/>
          </w:tcPr>
          <w:p w14:paraId="6E792FEA"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tcBorders>
              <w:top w:val="nil"/>
            </w:tcBorders>
            <w:noWrap/>
            <w:vAlign w:val="center"/>
            <w:hideMark/>
          </w:tcPr>
          <w:p w14:paraId="3A3003EB" w14:textId="06028D1F" w:rsidR="00312042" w:rsidRPr="00F567E1" w:rsidRDefault="00312042" w:rsidP="00CB7E8A">
            <w:pPr>
              <w:spacing w:before="40" w:after="40"/>
              <w:rPr>
                <w:sz w:val="18"/>
                <w:szCs w:val="18"/>
                <w:lang w:val="es-ES_tradnl"/>
              </w:rPr>
            </w:pPr>
            <w:r w:rsidRPr="00F567E1">
              <w:rPr>
                <w:color w:val="000000"/>
                <w:sz w:val="18"/>
                <w:szCs w:val="18"/>
                <w:lang w:val="es-ES_tradnl"/>
              </w:rPr>
              <w:t>7.3. Mejora de la capacidad de las Partes en materia de presentación de informes nacionales</w:t>
            </w:r>
          </w:p>
        </w:tc>
        <w:tc>
          <w:tcPr>
            <w:tcW w:w="1275" w:type="dxa"/>
            <w:tcBorders>
              <w:top w:val="nil"/>
            </w:tcBorders>
            <w:noWrap/>
            <w:vAlign w:val="center"/>
            <w:hideMark/>
          </w:tcPr>
          <w:p w14:paraId="5F131507" w14:textId="0531BA01" w:rsidR="00312042" w:rsidRPr="00F567E1" w:rsidRDefault="00312042" w:rsidP="00CB7E8A">
            <w:pPr>
              <w:spacing w:before="40" w:after="40"/>
              <w:jc w:val="right"/>
              <w:rPr>
                <w:sz w:val="18"/>
                <w:szCs w:val="18"/>
                <w:lang w:val="es-ES_tradnl"/>
              </w:rPr>
            </w:pPr>
            <w:r w:rsidRPr="00F567E1">
              <w:rPr>
                <w:color w:val="000000"/>
                <w:sz w:val="18"/>
                <w:szCs w:val="18"/>
                <w:lang w:val="es-ES_tradnl"/>
              </w:rPr>
              <w:t>16</w:t>
            </w:r>
            <w:r w:rsidR="00BA11CE"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7A1A9265" w14:textId="77777777" w:rsidR="00312042" w:rsidRPr="00F567E1" w:rsidRDefault="00312042" w:rsidP="00CB7E8A">
            <w:pPr>
              <w:spacing w:before="40" w:after="40"/>
              <w:jc w:val="right"/>
              <w:rPr>
                <w:sz w:val="18"/>
                <w:szCs w:val="18"/>
                <w:lang w:val="es-ES_tradnl"/>
              </w:rPr>
            </w:pPr>
          </w:p>
        </w:tc>
        <w:tc>
          <w:tcPr>
            <w:tcW w:w="1276" w:type="dxa"/>
            <w:tcBorders>
              <w:top w:val="nil"/>
            </w:tcBorders>
            <w:noWrap/>
            <w:vAlign w:val="center"/>
            <w:hideMark/>
          </w:tcPr>
          <w:p w14:paraId="686F1943" w14:textId="36D2DFD6" w:rsidR="00312042" w:rsidRPr="00F567E1" w:rsidRDefault="00312042" w:rsidP="00CB7E8A">
            <w:pPr>
              <w:spacing w:before="40" w:after="40"/>
              <w:jc w:val="right"/>
              <w:rPr>
                <w:sz w:val="18"/>
                <w:szCs w:val="18"/>
                <w:lang w:val="es-ES_tradnl"/>
              </w:rPr>
            </w:pPr>
            <w:r w:rsidRPr="00F567E1">
              <w:rPr>
                <w:color w:val="000000"/>
                <w:sz w:val="18"/>
                <w:szCs w:val="18"/>
                <w:lang w:val="es-ES_tradnl"/>
              </w:rPr>
              <w:t>16</w:t>
            </w:r>
            <w:r w:rsidR="00F32374"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092900D3"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05115E32" w14:textId="40D27891" w:rsidR="00312042" w:rsidRPr="00F567E1" w:rsidRDefault="00312042" w:rsidP="00CB7E8A">
            <w:pPr>
              <w:spacing w:before="40" w:after="40"/>
              <w:jc w:val="right"/>
              <w:rPr>
                <w:sz w:val="18"/>
                <w:szCs w:val="18"/>
                <w:lang w:val="es-ES_tradnl"/>
              </w:rPr>
            </w:pPr>
            <w:r w:rsidRPr="00F567E1">
              <w:rPr>
                <w:color w:val="000000"/>
                <w:sz w:val="18"/>
                <w:szCs w:val="18"/>
                <w:lang w:val="es-ES_tradnl"/>
              </w:rPr>
              <w:t>12</w:t>
            </w:r>
            <w:r w:rsidR="00F32374" w:rsidRPr="00F567E1">
              <w:rPr>
                <w:color w:val="000000"/>
                <w:sz w:val="18"/>
                <w:szCs w:val="18"/>
                <w:lang w:val="es-ES_tradnl"/>
              </w:rPr>
              <w:t> </w:t>
            </w:r>
            <w:r w:rsidRPr="00F567E1">
              <w:rPr>
                <w:color w:val="000000"/>
                <w:sz w:val="18"/>
                <w:szCs w:val="18"/>
                <w:lang w:val="es-ES_tradnl"/>
              </w:rPr>
              <w:t>000</w:t>
            </w:r>
          </w:p>
        </w:tc>
        <w:tc>
          <w:tcPr>
            <w:tcW w:w="1245" w:type="dxa"/>
            <w:tcBorders>
              <w:top w:val="nil"/>
            </w:tcBorders>
            <w:noWrap/>
            <w:vAlign w:val="center"/>
            <w:hideMark/>
          </w:tcPr>
          <w:p w14:paraId="065758D8" w14:textId="24DF805B" w:rsidR="00312042" w:rsidRPr="00F567E1" w:rsidRDefault="00312042" w:rsidP="00CB7E8A">
            <w:pPr>
              <w:spacing w:before="40" w:after="40"/>
              <w:jc w:val="right"/>
              <w:rPr>
                <w:sz w:val="18"/>
                <w:szCs w:val="18"/>
                <w:lang w:val="es-ES_tradnl"/>
              </w:rPr>
            </w:pPr>
            <w:r w:rsidRPr="00F567E1">
              <w:rPr>
                <w:color w:val="000000"/>
                <w:sz w:val="18"/>
                <w:szCs w:val="18"/>
                <w:lang w:val="es-ES_tradnl"/>
              </w:rPr>
              <w:t>12</w:t>
            </w:r>
            <w:r w:rsidR="001921C8" w:rsidRPr="00F567E1">
              <w:rPr>
                <w:color w:val="000000"/>
                <w:sz w:val="18"/>
                <w:szCs w:val="18"/>
                <w:lang w:val="es-ES_tradnl"/>
              </w:rPr>
              <w:t> </w:t>
            </w:r>
            <w:r w:rsidRPr="00F567E1">
              <w:rPr>
                <w:color w:val="000000"/>
                <w:sz w:val="18"/>
                <w:szCs w:val="18"/>
                <w:lang w:val="es-ES_tradnl"/>
              </w:rPr>
              <w:t>000</w:t>
            </w:r>
          </w:p>
        </w:tc>
      </w:tr>
      <w:tr w:rsidR="00F234CD" w:rsidRPr="00F567E1" w14:paraId="220743CC" w14:textId="77777777" w:rsidTr="00917804">
        <w:trPr>
          <w:trHeight w:val="52"/>
          <w:jc w:val="right"/>
        </w:trPr>
        <w:tc>
          <w:tcPr>
            <w:tcW w:w="7230" w:type="dxa"/>
            <w:gridSpan w:val="2"/>
            <w:tcBorders>
              <w:bottom w:val="single" w:sz="4" w:space="0" w:color="auto"/>
            </w:tcBorders>
            <w:shd w:val="clear" w:color="000000" w:fill="B4C6E7"/>
            <w:noWrap/>
            <w:vAlign w:val="center"/>
            <w:hideMark/>
          </w:tcPr>
          <w:p w14:paraId="47DF0EE4"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7.</w:t>
            </w:r>
            <w:r w:rsidRPr="00F567E1">
              <w:rPr>
                <w:color w:val="000000"/>
                <w:sz w:val="18"/>
                <w:szCs w:val="18"/>
                <w:lang w:val="es-ES_tradnl"/>
              </w:rPr>
              <w:t xml:space="preserve"> </w:t>
            </w:r>
            <w:r w:rsidRPr="00F567E1">
              <w:rPr>
                <w:b/>
                <w:bCs/>
                <w:color w:val="000000"/>
                <w:sz w:val="18"/>
                <w:szCs w:val="18"/>
                <w:lang w:val="es-ES_tradnl"/>
              </w:rPr>
              <w:t>Presentación de informes nacionales de conformidad con el Convenio de Minamata</w:t>
            </w:r>
          </w:p>
        </w:tc>
        <w:tc>
          <w:tcPr>
            <w:tcW w:w="1275" w:type="dxa"/>
            <w:tcBorders>
              <w:bottom w:val="single" w:sz="4" w:space="0" w:color="auto"/>
            </w:tcBorders>
            <w:shd w:val="clear" w:color="000000" w:fill="B4C6E7"/>
            <w:noWrap/>
            <w:vAlign w:val="center"/>
            <w:hideMark/>
          </w:tcPr>
          <w:p w14:paraId="534B150C" w14:textId="5E4D4F30"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71</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02734D7F" w14:textId="77777777" w:rsidR="00312042" w:rsidRPr="00F567E1" w:rsidRDefault="00312042" w:rsidP="00CB7E8A">
            <w:pPr>
              <w:spacing w:before="40" w:after="40"/>
              <w:jc w:val="right"/>
              <w:rPr>
                <w:b/>
                <w:bCs/>
                <w:sz w:val="18"/>
                <w:szCs w:val="18"/>
                <w:lang w:val="es-ES_tradnl"/>
              </w:rPr>
            </w:pPr>
          </w:p>
        </w:tc>
        <w:tc>
          <w:tcPr>
            <w:tcW w:w="1276" w:type="dxa"/>
            <w:tcBorders>
              <w:bottom w:val="single" w:sz="4" w:space="0" w:color="auto"/>
            </w:tcBorders>
            <w:shd w:val="clear" w:color="000000" w:fill="B4C6E7"/>
            <w:noWrap/>
            <w:vAlign w:val="center"/>
            <w:hideMark/>
          </w:tcPr>
          <w:p w14:paraId="1C70B657" w14:textId="66570C2F"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71</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2B0FD9BD" w14:textId="77777777" w:rsidR="00312042" w:rsidRPr="00F567E1" w:rsidRDefault="00312042" w:rsidP="00CB7E8A">
            <w:pPr>
              <w:spacing w:before="40" w:after="40"/>
              <w:jc w:val="right"/>
              <w:rPr>
                <w:b/>
                <w:bCs/>
                <w:sz w:val="18"/>
                <w:szCs w:val="18"/>
                <w:lang w:val="es-ES_tradnl"/>
              </w:rPr>
            </w:pPr>
          </w:p>
        </w:tc>
        <w:tc>
          <w:tcPr>
            <w:tcW w:w="1134" w:type="dxa"/>
            <w:tcBorders>
              <w:bottom w:val="single" w:sz="4" w:space="0" w:color="auto"/>
            </w:tcBorders>
            <w:shd w:val="clear" w:color="000000" w:fill="B4C6E7"/>
            <w:noWrap/>
            <w:vAlign w:val="center"/>
            <w:hideMark/>
          </w:tcPr>
          <w:p w14:paraId="1A20DFA2" w14:textId="6A3E2194"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12</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bottom w:val="single" w:sz="4" w:space="0" w:color="auto"/>
            </w:tcBorders>
            <w:shd w:val="clear" w:color="000000" w:fill="B4C6E7"/>
            <w:noWrap/>
            <w:vAlign w:val="center"/>
            <w:hideMark/>
          </w:tcPr>
          <w:p w14:paraId="7A3017A0" w14:textId="13FDC99C"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12</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67A3A5CC" w14:textId="77777777" w:rsidTr="00917804">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0BC0A787" w14:textId="77777777" w:rsidR="00312042" w:rsidRPr="00F567E1" w:rsidRDefault="00312042" w:rsidP="00CB7E8A">
            <w:pPr>
              <w:spacing w:before="40" w:after="40"/>
              <w:ind w:firstLineChars="100" w:firstLine="181"/>
              <w:rPr>
                <w:b/>
                <w:bCs/>
                <w:sz w:val="18"/>
                <w:szCs w:val="18"/>
                <w:lang w:val="es-ES_tradnl"/>
              </w:rPr>
            </w:pPr>
            <w:r w:rsidRPr="00F567E1">
              <w:rPr>
                <w:b/>
                <w:bCs/>
                <w:color w:val="000000"/>
                <w:sz w:val="18"/>
                <w:szCs w:val="18"/>
                <w:lang w:val="es-ES_tradnl"/>
              </w:rPr>
              <w:t>Total (C)</w:t>
            </w:r>
          </w:p>
        </w:tc>
        <w:tc>
          <w:tcPr>
            <w:tcW w:w="1275" w:type="dxa"/>
            <w:tcBorders>
              <w:top w:val="single" w:sz="4" w:space="0" w:color="auto"/>
              <w:bottom w:val="single" w:sz="4" w:space="0" w:color="auto"/>
            </w:tcBorders>
            <w:shd w:val="clear" w:color="000000" w:fill="DBB731"/>
            <w:noWrap/>
            <w:vAlign w:val="center"/>
            <w:hideMark/>
          </w:tcPr>
          <w:p w14:paraId="78E7A548" w14:textId="7EDE63B9"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181</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69BCA0AF"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bottom w:val="single" w:sz="4" w:space="0" w:color="auto"/>
            </w:tcBorders>
            <w:shd w:val="clear" w:color="000000" w:fill="DBB731"/>
            <w:noWrap/>
            <w:vAlign w:val="center"/>
            <w:hideMark/>
          </w:tcPr>
          <w:p w14:paraId="046D3836" w14:textId="7B4A5694"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181</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6D1232E6" w14:textId="5B237D93"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795</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6E37A61A" w14:textId="2D029385"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637</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top w:val="single" w:sz="4" w:space="0" w:color="auto"/>
              <w:bottom w:val="single" w:sz="4" w:space="0" w:color="auto"/>
            </w:tcBorders>
            <w:shd w:val="clear" w:color="000000" w:fill="DBB731"/>
            <w:noWrap/>
            <w:vAlign w:val="center"/>
            <w:hideMark/>
          </w:tcPr>
          <w:p w14:paraId="67EC19B8" w14:textId="710D7787"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w:t>
            </w:r>
            <w:r w:rsidR="00F32374" w:rsidRPr="00F567E1">
              <w:rPr>
                <w:b/>
                <w:bCs/>
                <w:color w:val="000000"/>
                <w:sz w:val="18"/>
                <w:szCs w:val="18"/>
                <w:lang w:val="es-ES_tradnl"/>
              </w:rPr>
              <w:t> </w:t>
            </w:r>
            <w:r w:rsidRPr="00F567E1">
              <w:rPr>
                <w:b/>
                <w:bCs/>
                <w:color w:val="000000"/>
                <w:sz w:val="18"/>
                <w:szCs w:val="18"/>
                <w:lang w:val="es-ES_tradnl"/>
              </w:rPr>
              <w:t>432</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370AA60A" w14:textId="77777777" w:rsidTr="00DD753D">
        <w:trPr>
          <w:trHeight w:val="315"/>
          <w:jc w:val="right"/>
        </w:trPr>
        <w:tc>
          <w:tcPr>
            <w:tcW w:w="7230" w:type="dxa"/>
            <w:gridSpan w:val="2"/>
            <w:tcBorders>
              <w:top w:val="single" w:sz="4" w:space="0" w:color="auto"/>
            </w:tcBorders>
            <w:noWrap/>
            <w:vAlign w:val="center"/>
            <w:hideMark/>
          </w:tcPr>
          <w:p w14:paraId="0C1C69EA" w14:textId="3A5F8D64" w:rsidR="00312042" w:rsidRPr="00F567E1" w:rsidRDefault="00312042" w:rsidP="00CB7E8A">
            <w:pPr>
              <w:spacing w:before="40" w:after="40"/>
              <w:rPr>
                <w:b/>
                <w:bCs/>
                <w:sz w:val="18"/>
                <w:szCs w:val="18"/>
                <w:lang w:val="es-ES_tradnl"/>
              </w:rPr>
            </w:pPr>
            <w:r w:rsidRPr="00F567E1">
              <w:rPr>
                <w:b/>
                <w:bCs/>
                <w:color w:val="000000"/>
                <w:sz w:val="18"/>
                <w:szCs w:val="18"/>
                <w:lang w:val="es-ES_tradnl"/>
              </w:rPr>
              <w:t>D.</w:t>
            </w:r>
            <w:r w:rsidRPr="00F567E1">
              <w:rPr>
                <w:color w:val="000000"/>
                <w:sz w:val="18"/>
                <w:szCs w:val="18"/>
                <w:lang w:val="es-ES_tradnl"/>
              </w:rPr>
              <w:t xml:space="preserve"> </w:t>
            </w:r>
            <w:r w:rsidRPr="00F567E1">
              <w:rPr>
                <w:b/>
                <w:bCs/>
                <w:color w:val="000000"/>
                <w:sz w:val="18"/>
                <w:szCs w:val="18"/>
                <w:lang w:val="es-ES_tradnl"/>
              </w:rPr>
              <w:t>Gestión de los conocimientos y la información, y actividades de divulgación</w:t>
            </w:r>
          </w:p>
        </w:tc>
        <w:tc>
          <w:tcPr>
            <w:tcW w:w="1275" w:type="dxa"/>
            <w:tcBorders>
              <w:top w:val="single" w:sz="4" w:space="0" w:color="auto"/>
            </w:tcBorders>
            <w:noWrap/>
            <w:vAlign w:val="center"/>
            <w:hideMark/>
          </w:tcPr>
          <w:p w14:paraId="3917F194"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669B7DC0"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tcBorders>
            <w:noWrap/>
            <w:vAlign w:val="center"/>
            <w:hideMark/>
          </w:tcPr>
          <w:p w14:paraId="7634176C"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477380EC"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3525ACC9" w14:textId="77777777" w:rsidR="00312042" w:rsidRPr="00F567E1" w:rsidRDefault="00312042" w:rsidP="00CB7E8A">
            <w:pPr>
              <w:spacing w:before="40" w:after="40"/>
              <w:jc w:val="right"/>
              <w:rPr>
                <w:b/>
                <w:bCs/>
                <w:sz w:val="18"/>
                <w:szCs w:val="18"/>
                <w:lang w:val="es-ES_tradnl"/>
              </w:rPr>
            </w:pPr>
          </w:p>
        </w:tc>
        <w:tc>
          <w:tcPr>
            <w:tcW w:w="1245" w:type="dxa"/>
            <w:tcBorders>
              <w:top w:val="single" w:sz="4" w:space="0" w:color="auto"/>
            </w:tcBorders>
            <w:noWrap/>
            <w:vAlign w:val="center"/>
            <w:hideMark/>
          </w:tcPr>
          <w:p w14:paraId="016266B4" w14:textId="77777777" w:rsidR="00312042" w:rsidRPr="00F567E1" w:rsidRDefault="00312042" w:rsidP="00CB7E8A">
            <w:pPr>
              <w:spacing w:before="40" w:after="40"/>
              <w:jc w:val="right"/>
              <w:rPr>
                <w:b/>
                <w:bCs/>
                <w:sz w:val="18"/>
                <w:szCs w:val="18"/>
                <w:lang w:val="es-ES_tradnl"/>
              </w:rPr>
            </w:pPr>
          </w:p>
        </w:tc>
      </w:tr>
      <w:tr w:rsidR="00F234CD" w:rsidRPr="00F567E1" w14:paraId="13CC9D32" w14:textId="77777777" w:rsidTr="00917804">
        <w:trPr>
          <w:trHeight w:val="52"/>
          <w:jc w:val="right"/>
        </w:trPr>
        <w:tc>
          <w:tcPr>
            <w:tcW w:w="7230" w:type="dxa"/>
            <w:gridSpan w:val="2"/>
            <w:noWrap/>
            <w:vAlign w:val="center"/>
            <w:hideMark/>
          </w:tcPr>
          <w:p w14:paraId="2E908C47"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8.</w:t>
            </w:r>
            <w:r w:rsidRPr="00F567E1">
              <w:rPr>
                <w:color w:val="000000"/>
                <w:sz w:val="18"/>
                <w:szCs w:val="18"/>
                <w:lang w:val="es-ES_tradnl"/>
              </w:rPr>
              <w:t xml:space="preserve"> </w:t>
            </w:r>
            <w:r w:rsidRPr="00F567E1">
              <w:rPr>
                <w:b/>
                <w:bCs/>
                <w:color w:val="000000"/>
                <w:sz w:val="18"/>
                <w:szCs w:val="18"/>
                <w:lang w:val="es-ES_tradnl"/>
              </w:rPr>
              <w:t>Publicaciones</w:t>
            </w:r>
          </w:p>
        </w:tc>
        <w:tc>
          <w:tcPr>
            <w:tcW w:w="1275" w:type="dxa"/>
            <w:noWrap/>
            <w:vAlign w:val="center"/>
            <w:hideMark/>
          </w:tcPr>
          <w:p w14:paraId="7A623909"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253305C8"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317198B5"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6DFC236E"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7CE81E54"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6FE087F4" w14:textId="77777777" w:rsidR="00312042" w:rsidRPr="00F567E1" w:rsidRDefault="00312042" w:rsidP="00CB7E8A">
            <w:pPr>
              <w:spacing w:before="40" w:after="40"/>
              <w:jc w:val="right"/>
              <w:rPr>
                <w:sz w:val="18"/>
                <w:szCs w:val="18"/>
                <w:lang w:val="es-ES_tradnl"/>
              </w:rPr>
            </w:pPr>
          </w:p>
        </w:tc>
      </w:tr>
      <w:tr w:rsidR="00F234CD" w:rsidRPr="00F567E1" w14:paraId="1FA7F381" w14:textId="77777777" w:rsidTr="00917804">
        <w:trPr>
          <w:trHeight w:val="52"/>
          <w:jc w:val="right"/>
        </w:trPr>
        <w:tc>
          <w:tcPr>
            <w:tcW w:w="284" w:type="dxa"/>
            <w:noWrap/>
            <w:vAlign w:val="center"/>
            <w:hideMark/>
          </w:tcPr>
          <w:p w14:paraId="2BB73CE4"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2FA7B35F" w14:textId="77777777" w:rsidR="00312042" w:rsidRPr="00F567E1" w:rsidRDefault="00312042" w:rsidP="00CB7E8A">
            <w:pPr>
              <w:spacing w:before="40" w:after="40"/>
              <w:rPr>
                <w:sz w:val="18"/>
                <w:szCs w:val="18"/>
                <w:lang w:val="es-ES_tradnl"/>
              </w:rPr>
            </w:pPr>
            <w:r w:rsidRPr="00F567E1">
              <w:rPr>
                <w:color w:val="000000"/>
                <w:sz w:val="18"/>
                <w:szCs w:val="18"/>
                <w:lang w:val="es-ES_tradnl"/>
              </w:rPr>
              <w:t xml:space="preserve">8.1. </w:t>
            </w:r>
            <w:r w:rsidRPr="00F567E1">
              <w:rPr>
                <w:b/>
                <w:bCs/>
                <w:color w:val="000000"/>
                <w:sz w:val="18"/>
                <w:szCs w:val="18"/>
                <w:lang w:val="es-ES_tradnl"/>
              </w:rPr>
              <w:t>Publicaciones</w:t>
            </w:r>
          </w:p>
        </w:tc>
        <w:tc>
          <w:tcPr>
            <w:tcW w:w="1275" w:type="dxa"/>
            <w:noWrap/>
            <w:vAlign w:val="center"/>
            <w:hideMark/>
          </w:tcPr>
          <w:p w14:paraId="4F99145C" w14:textId="04D12578" w:rsidR="00312042" w:rsidRPr="00F567E1" w:rsidRDefault="00312042" w:rsidP="00CB7E8A">
            <w:pPr>
              <w:spacing w:before="40" w:after="40"/>
              <w:jc w:val="right"/>
              <w:rPr>
                <w:sz w:val="18"/>
                <w:szCs w:val="18"/>
                <w:lang w:val="es-ES_tradnl"/>
              </w:rPr>
            </w:pPr>
            <w:r w:rsidRPr="00F567E1">
              <w:rPr>
                <w:color w:val="000000"/>
                <w:sz w:val="18"/>
                <w:szCs w:val="18"/>
                <w:lang w:val="es-ES_tradnl"/>
              </w:rPr>
              <w:t>25</w:t>
            </w:r>
            <w:r w:rsidR="00BA11CE"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3EAEE6E3" w14:textId="4CF5B863" w:rsidR="00312042" w:rsidRPr="00F567E1" w:rsidRDefault="00312042" w:rsidP="00CB7E8A">
            <w:pPr>
              <w:spacing w:before="40" w:after="40"/>
              <w:jc w:val="right"/>
              <w:rPr>
                <w:sz w:val="18"/>
                <w:szCs w:val="18"/>
                <w:lang w:val="es-ES_tradnl"/>
              </w:rPr>
            </w:pPr>
            <w:r w:rsidRPr="00F567E1">
              <w:rPr>
                <w:color w:val="000000"/>
                <w:sz w:val="18"/>
                <w:szCs w:val="18"/>
                <w:lang w:val="es-ES_tradnl"/>
              </w:rPr>
              <w:t>20</w:t>
            </w:r>
            <w:r w:rsidR="00BA11CE" w:rsidRPr="00F567E1">
              <w:rPr>
                <w:color w:val="000000"/>
                <w:sz w:val="18"/>
                <w:szCs w:val="18"/>
                <w:lang w:val="es-ES_tradnl"/>
              </w:rPr>
              <w:t> </w:t>
            </w:r>
            <w:r w:rsidRPr="00F567E1">
              <w:rPr>
                <w:color w:val="000000"/>
                <w:sz w:val="18"/>
                <w:szCs w:val="18"/>
                <w:lang w:val="es-ES_tradnl"/>
              </w:rPr>
              <w:t>000</w:t>
            </w:r>
          </w:p>
        </w:tc>
        <w:tc>
          <w:tcPr>
            <w:tcW w:w="1276" w:type="dxa"/>
            <w:noWrap/>
            <w:vAlign w:val="center"/>
            <w:hideMark/>
          </w:tcPr>
          <w:p w14:paraId="56DC67A8" w14:textId="5606E2AD" w:rsidR="00312042" w:rsidRPr="00F567E1" w:rsidRDefault="00312042" w:rsidP="00CB7E8A">
            <w:pPr>
              <w:spacing w:before="40" w:after="40"/>
              <w:jc w:val="right"/>
              <w:rPr>
                <w:sz w:val="18"/>
                <w:szCs w:val="18"/>
                <w:lang w:val="es-ES_tradnl"/>
              </w:rPr>
            </w:pPr>
            <w:r w:rsidRPr="00F567E1">
              <w:rPr>
                <w:color w:val="000000"/>
                <w:sz w:val="18"/>
                <w:szCs w:val="18"/>
                <w:lang w:val="es-ES_tradnl"/>
              </w:rPr>
              <w:t>45</w:t>
            </w:r>
            <w:r w:rsidR="001921C8"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60818606" w14:textId="4D5BE569" w:rsidR="00312042" w:rsidRPr="00F567E1" w:rsidRDefault="00312042" w:rsidP="00CB7E8A">
            <w:pPr>
              <w:spacing w:before="40" w:after="40"/>
              <w:jc w:val="right"/>
              <w:rPr>
                <w:sz w:val="18"/>
                <w:szCs w:val="18"/>
                <w:lang w:val="es-ES_tradnl"/>
              </w:rPr>
            </w:pPr>
            <w:r w:rsidRPr="00F567E1">
              <w:rPr>
                <w:color w:val="000000"/>
                <w:sz w:val="18"/>
                <w:szCs w:val="18"/>
                <w:lang w:val="es-ES_tradnl"/>
              </w:rPr>
              <w:t>12</w:t>
            </w:r>
            <w:r w:rsidR="00F32374" w:rsidRPr="00F567E1">
              <w:rPr>
                <w:color w:val="000000"/>
                <w:sz w:val="18"/>
                <w:szCs w:val="18"/>
                <w:lang w:val="es-ES_tradnl"/>
              </w:rPr>
              <w:t> </w:t>
            </w:r>
            <w:r w:rsidRPr="00F567E1">
              <w:rPr>
                <w:color w:val="000000"/>
                <w:sz w:val="18"/>
                <w:szCs w:val="18"/>
                <w:lang w:val="es-ES_tradnl"/>
              </w:rPr>
              <w:t>500</w:t>
            </w:r>
          </w:p>
        </w:tc>
        <w:tc>
          <w:tcPr>
            <w:tcW w:w="1134" w:type="dxa"/>
            <w:noWrap/>
            <w:vAlign w:val="center"/>
            <w:hideMark/>
          </w:tcPr>
          <w:p w14:paraId="63FF86E5" w14:textId="67F2F672" w:rsidR="00312042" w:rsidRPr="00F567E1" w:rsidRDefault="00312042" w:rsidP="00CB7E8A">
            <w:pPr>
              <w:spacing w:before="40" w:after="40"/>
              <w:jc w:val="right"/>
              <w:rPr>
                <w:sz w:val="18"/>
                <w:szCs w:val="18"/>
                <w:lang w:val="es-ES_tradnl"/>
              </w:rPr>
            </w:pPr>
            <w:r w:rsidRPr="00F567E1">
              <w:rPr>
                <w:color w:val="000000"/>
                <w:sz w:val="18"/>
                <w:szCs w:val="18"/>
                <w:lang w:val="es-ES_tradnl"/>
              </w:rPr>
              <w:t>12</w:t>
            </w:r>
            <w:r w:rsidR="00F32374" w:rsidRPr="00F567E1">
              <w:rPr>
                <w:color w:val="000000"/>
                <w:sz w:val="18"/>
                <w:szCs w:val="18"/>
                <w:lang w:val="es-ES_tradnl"/>
              </w:rPr>
              <w:t> </w:t>
            </w:r>
            <w:r w:rsidRPr="00F567E1">
              <w:rPr>
                <w:color w:val="000000"/>
                <w:sz w:val="18"/>
                <w:szCs w:val="18"/>
                <w:lang w:val="es-ES_tradnl"/>
              </w:rPr>
              <w:t>500</w:t>
            </w:r>
          </w:p>
        </w:tc>
        <w:tc>
          <w:tcPr>
            <w:tcW w:w="1245" w:type="dxa"/>
            <w:noWrap/>
            <w:vAlign w:val="center"/>
            <w:hideMark/>
          </w:tcPr>
          <w:p w14:paraId="5CE6DC8D" w14:textId="6900EDEE" w:rsidR="00312042" w:rsidRPr="00F567E1" w:rsidRDefault="00312042" w:rsidP="00CB7E8A">
            <w:pPr>
              <w:spacing w:before="40" w:after="40"/>
              <w:jc w:val="right"/>
              <w:rPr>
                <w:sz w:val="18"/>
                <w:szCs w:val="18"/>
                <w:lang w:val="es-ES_tradnl"/>
              </w:rPr>
            </w:pPr>
            <w:r w:rsidRPr="00F567E1">
              <w:rPr>
                <w:color w:val="000000"/>
                <w:sz w:val="18"/>
                <w:szCs w:val="18"/>
                <w:lang w:val="es-ES_tradnl"/>
              </w:rPr>
              <w:t>25</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15B1E822" w14:textId="77777777" w:rsidTr="00C4751C">
        <w:trPr>
          <w:trHeight w:val="52"/>
          <w:jc w:val="right"/>
        </w:trPr>
        <w:tc>
          <w:tcPr>
            <w:tcW w:w="7230" w:type="dxa"/>
            <w:gridSpan w:val="2"/>
            <w:shd w:val="clear" w:color="000000" w:fill="B4C6E7"/>
            <w:noWrap/>
            <w:vAlign w:val="center"/>
            <w:hideMark/>
          </w:tcPr>
          <w:p w14:paraId="09354D05"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8.</w:t>
            </w:r>
            <w:r w:rsidRPr="00F567E1">
              <w:rPr>
                <w:color w:val="000000"/>
                <w:sz w:val="18"/>
                <w:szCs w:val="18"/>
                <w:lang w:val="es-ES_tradnl"/>
              </w:rPr>
              <w:t xml:space="preserve"> </w:t>
            </w:r>
            <w:r w:rsidRPr="00F567E1">
              <w:rPr>
                <w:b/>
                <w:bCs/>
                <w:color w:val="000000"/>
                <w:sz w:val="18"/>
                <w:szCs w:val="18"/>
                <w:lang w:val="es-ES_tradnl"/>
              </w:rPr>
              <w:t>Publicaciones</w:t>
            </w:r>
          </w:p>
        </w:tc>
        <w:tc>
          <w:tcPr>
            <w:tcW w:w="1275" w:type="dxa"/>
            <w:shd w:val="clear" w:color="000000" w:fill="B4C6E7"/>
            <w:noWrap/>
            <w:vAlign w:val="center"/>
            <w:hideMark/>
          </w:tcPr>
          <w:p w14:paraId="5CD87249" w14:textId="2B477261"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25</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76A54092" w14:textId="2C840C52"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20</w:t>
            </w:r>
            <w:r w:rsidR="00BA11CE" w:rsidRPr="00F567E1">
              <w:rPr>
                <w:b/>
                <w:bCs/>
                <w:color w:val="000000"/>
                <w:sz w:val="18"/>
                <w:szCs w:val="18"/>
                <w:lang w:val="es-ES_tradnl"/>
              </w:rPr>
              <w:t> </w:t>
            </w:r>
            <w:r w:rsidRPr="00F567E1">
              <w:rPr>
                <w:b/>
                <w:bCs/>
                <w:color w:val="000000"/>
                <w:sz w:val="18"/>
                <w:szCs w:val="18"/>
                <w:lang w:val="es-ES_tradnl"/>
              </w:rPr>
              <w:t>000</w:t>
            </w:r>
          </w:p>
        </w:tc>
        <w:tc>
          <w:tcPr>
            <w:tcW w:w="1276" w:type="dxa"/>
            <w:shd w:val="clear" w:color="000000" w:fill="B4C6E7"/>
            <w:noWrap/>
            <w:vAlign w:val="center"/>
            <w:hideMark/>
          </w:tcPr>
          <w:p w14:paraId="3CAB0A04" w14:textId="12BD1844"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45</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08AC015D" w14:textId="243DB3F6"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12</w:t>
            </w:r>
            <w:r w:rsidR="00F32374" w:rsidRPr="00F567E1">
              <w:rPr>
                <w:b/>
                <w:bCs/>
                <w:color w:val="000000"/>
                <w:sz w:val="18"/>
                <w:szCs w:val="18"/>
                <w:lang w:val="es-ES_tradnl"/>
              </w:rPr>
              <w:t> </w:t>
            </w:r>
            <w:r w:rsidRPr="00F567E1">
              <w:rPr>
                <w:b/>
                <w:bCs/>
                <w:color w:val="000000"/>
                <w:sz w:val="18"/>
                <w:szCs w:val="18"/>
                <w:lang w:val="es-ES_tradnl"/>
              </w:rPr>
              <w:t>500</w:t>
            </w:r>
          </w:p>
        </w:tc>
        <w:tc>
          <w:tcPr>
            <w:tcW w:w="1134" w:type="dxa"/>
            <w:shd w:val="clear" w:color="000000" w:fill="B4C6E7"/>
            <w:noWrap/>
            <w:vAlign w:val="center"/>
            <w:hideMark/>
          </w:tcPr>
          <w:p w14:paraId="49BD1251" w14:textId="7271D300"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12</w:t>
            </w:r>
            <w:r w:rsidR="00F32374" w:rsidRPr="00F567E1">
              <w:rPr>
                <w:b/>
                <w:bCs/>
                <w:color w:val="000000"/>
                <w:sz w:val="18"/>
                <w:szCs w:val="18"/>
                <w:lang w:val="es-ES_tradnl"/>
              </w:rPr>
              <w:t> </w:t>
            </w:r>
            <w:r w:rsidRPr="00F567E1">
              <w:rPr>
                <w:b/>
                <w:bCs/>
                <w:color w:val="000000"/>
                <w:sz w:val="18"/>
                <w:szCs w:val="18"/>
                <w:lang w:val="es-ES_tradnl"/>
              </w:rPr>
              <w:t>500</w:t>
            </w:r>
          </w:p>
        </w:tc>
        <w:tc>
          <w:tcPr>
            <w:tcW w:w="1245" w:type="dxa"/>
            <w:shd w:val="clear" w:color="000000" w:fill="B4C6E7"/>
            <w:noWrap/>
            <w:vAlign w:val="center"/>
            <w:hideMark/>
          </w:tcPr>
          <w:p w14:paraId="75749CD7" w14:textId="2C6C593A"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25</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0CA623B9" w14:textId="77777777" w:rsidTr="00917804">
        <w:trPr>
          <w:trHeight w:val="52"/>
          <w:jc w:val="right"/>
        </w:trPr>
        <w:tc>
          <w:tcPr>
            <w:tcW w:w="7230" w:type="dxa"/>
            <w:gridSpan w:val="2"/>
            <w:tcBorders>
              <w:top w:val="nil"/>
            </w:tcBorders>
            <w:noWrap/>
            <w:vAlign w:val="center"/>
            <w:hideMark/>
          </w:tcPr>
          <w:p w14:paraId="652315EC"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9.</w:t>
            </w:r>
            <w:r w:rsidRPr="00F567E1">
              <w:rPr>
                <w:color w:val="000000"/>
                <w:sz w:val="18"/>
                <w:szCs w:val="18"/>
                <w:lang w:val="es-ES_tradnl"/>
              </w:rPr>
              <w:t xml:space="preserve"> </w:t>
            </w:r>
            <w:r w:rsidRPr="00F567E1">
              <w:rPr>
                <w:b/>
                <w:bCs/>
                <w:color w:val="000000"/>
                <w:sz w:val="18"/>
                <w:szCs w:val="18"/>
                <w:lang w:val="es-ES_tradnl"/>
              </w:rPr>
              <w:t>Actividades de comunicación, divulgación y sensibilización</w:t>
            </w:r>
          </w:p>
        </w:tc>
        <w:tc>
          <w:tcPr>
            <w:tcW w:w="1275" w:type="dxa"/>
            <w:tcBorders>
              <w:top w:val="nil"/>
            </w:tcBorders>
            <w:noWrap/>
            <w:vAlign w:val="center"/>
            <w:hideMark/>
          </w:tcPr>
          <w:p w14:paraId="0E0CFA12" w14:textId="77777777" w:rsidR="00312042" w:rsidRPr="00F567E1" w:rsidRDefault="00312042" w:rsidP="00CB7E8A">
            <w:pPr>
              <w:spacing w:before="40" w:after="40"/>
              <w:jc w:val="right"/>
              <w:rPr>
                <w:b/>
                <w:bCs/>
                <w:sz w:val="18"/>
                <w:szCs w:val="18"/>
                <w:lang w:val="es-ES_tradnl"/>
              </w:rPr>
            </w:pPr>
          </w:p>
        </w:tc>
        <w:tc>
          <w:tcPr>
            <w:tcW w:w="1134" w:type="dxa"/>
            <w:tcBorders>
              <w:top w:val="nil"/>
            </w:tcBorders>
            <w:noWrap/>
            <w:vAlign w:val="center"/>
            <w:hideMark/>
          </w:tcPr>
          <w:p w14:paraId="22E23745" w14:textId="77777777" w:rsidR="00312042" w:rsidRPr="00F567E1" w:rsidRDefault="00312042" w:rsidP="00CB7E8A">
            <w:pPr>
              <w:spacing w:before="40" w:after="40"/>
              <w:jc w:val="right"/>
              <w:rPr>
                <w:b/>
                <w:bCs/>
                <w:sz w:val="18"/>
                <w:szCs w:val="18"/>
                <w:lang w:val="es-ES_tradnl"/>
              </w:rPr>
            </w:pPr>
          </w:p>
        </w:tc>
        <w:tc>
          <w:tcPr>
            <w:tcW w:w="1276" w:type="dxa"/>
            <w:tcBorders>
              <w:top w:val="nil"/>
            </w:tcBorders>
            <w:noWrap/>
            <w:vAlign w:val="center"/>
            <w:hideMark/>
          </w:tcPr>
          <w:p w14:paraId="5B6F046B" w14:textId="77777777" w:rsidR="00312042" w:rsidRPr="00F567E1" w:rsidRDefault="00312042" w:rsidP="00CB7E8A">
            <w:pPr>
              <w:spacing w:before="40" w:after="40"/>
              <w:jc w:val="right"/>
              <w:rPr>
                <w:b/>
                <w:bCs/>
                <w:sz w:val="18"/>
                <w:szCs w:val="18"/>
                <w:lang w:val="es-ES_tradnl"/>
              </w:rPr>
            </w:pPr>
          </w:p>
        </w:tc>
        <w:tc>
          <w:tcPr>
            <w:tcW w:w="1134" w:type="dxa"/>
            <w:tcBorders>
              <w:top w:val="nil"/>
            </w:tcBorders>
            <w:noWrap/>
            <w:vAlign w:val="center"/>
            <w:hideMark/>
          </w:tcPr>
          <w:p w14:paraId="4D09591B" w14:textId="77777777" w:rsidR="00312042" w:rsidRPr="00F567E1" w:rsidRDefault="00312042" w:rsidP="00CB7E8A">
            <w:pPr>
              <w:spacing w:before="40" w:after="40"/>
              <w:jc w:val="right"/>
              <w:rPr>
                <w:b/>
                <w:bCs/>
                <w:sz w:val="18"/>
                <w:szCs w:val="18"/>
                <w:lang w:val="es-ES_tradnl"/>
              </w:rPr>
            </w:pPr>
          </w:p>
        </w:tc>
        <w:tc>
          <w:tcPr>
            <w:tcW w:w="1134" w:type="dxa"/>
            <w:tcBorders>
              <w:top w:val="nil"/>
            </w:tcBorders>
            <w:noWrap/>
            <w:vAlign w:val="center"/>
            <w:hideMark/>
          </w:tcPr>
          <w:p w14:paraId="7AAC51A6" w14:textId="77777777" w:rsidR="00312042" w:rsidRPr="00F567E1" w:rsidRDefault="00312042" w:rsidP="00CB7E8A">
            <w:pPr>
              <w:spacing w:before="40" w:after="40"/>
              <w:jc w:val="right"/>
              <w:rPr>
                <w:b/>
                <w:bCs/>
                <w:sz w:val="18"/>
                <w:szCs w:val="18"/>
                <w:lang w:val="es-ES_tradnl"/>
              </w:rPr>
            </w:pPr>
          </w:p>
        </w:tc>
        <w:tc>
          <w:tcPr>
            <w:tcW w:w="1245" w:type="dxa"/>
            <w:tcBorders>
              <w:top w:val="nil"/>
            </w:tcBorders>
            <w:noWrap/>
            <w:vAlign w:val="center"/>
            <w:hideMark/>
          </w:tcPr>
          <w:p w14:paraId="3FC53C46" w14:textId="77777777" w:rsidR="00312042" w:rsidRPr="00F567E1" w:rsidRDefault="00312042" w:rsidP="00CB7E8A">
            <w:pPr>
              <w:spacing w:before="40" w:after="40"/>
              <w:jc w:val="right"/>
              <w:rPr>
                <w:b/>
                <w:bCs/>
                <w:sz w:val="18"/>
                <w:szCs w:val="18"/>
                <w:lang w:val="es-ES_tradnl"/>
              </w:rPr>
            </w:pPr>
          </w:p>
        </w:tc>
      </w:tr>
      <w:tr w:rsidR="00F234CD" w:rsidRPr="00F567E1" w14:paraId="2C0C5039" w14:textId="77777777" w:rsidTr="00917804">
        <w:trPr>
          <w:trHeight w:val="52"/>
          <w:jc w:val="right"/>
        </w:trPr>
        <w:tc>
          <w:tcPr>
            <w:tcW w:w="284" w:type="dxa"/>
            <w:tcBorders>
              <w:top w:val="nil"/>
            </w:tcBorders>
            <w:noWrap/>
            <w:vAlign w:val="center"/>
            <w:hideMark/>
          </w:tcPr>
          <w:p w14:paraId="5CB51EF6"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tcBorders>
              <w:top w:val="nil"/>
            </w:tcBorders>
            <w:noWrap/>
            <w:vAlign w:val="center"/>
            <w:hideMark/>
          </w:tcPr>
          <w:p w14:paraId="2B71AA65" w14:textId="77777777" w:rsidR="00312042" w:rsidRPr="00F567E1" w:rsidRDefault="00312042" w:rsidP="00CB7E8A">
            <w:pPr>
              <w:spacing w:before="40" w:after="40"/>
              <w:rPr>
                <w:sz w:val="18"/>
                <w:szCs w:val="18"/>
                <w:lang w:val="es-ES_tradnl"/>
              </w:rPr>
            </w:pPr>
            <w:r w:rsidRPr="00F567E1">
              <w:rPr>
                <w:color w:val="000000"/>
                <w:sz w:val="18"/>
                <w:szCs w:val="18"/>
                <w:lang w:val="es-ES_tradnl"/>
              </w:rPr>
              <w:t xml:space="preserve">9.1. </w:t>
            </w:r>
            <w:r w:rsidRPr="00F567E1">
              <w:rPr>
                <w:b/>
                <w:bCs/>
                <w:color w:val="000000"/>
                <w:sz w:val="18"/>
                <w:szCs w:val="18"/>
                <w:lang w:val="es-ES_tradnl"/>
              </w:rPr>
              <w:t>Actividades de comunicación, divulgación y sensibilización</w:t>
            </w:r>
          </w:p>
        </w:tc>
        <w:tc>
          <w:tcPr>
            <w:tcW w:w="1275" w:type="dxa"/>
            <w:tcBorders>
              <w:top w:val="nil"/>
            </w:tcBorders>
            <w:noWrap/>
            <w:vAlign w:val="center"/>
            <w:hideMark/>
          </w:tcPr>
          <w:p w14:paraId="42A2B52A" w14:textId="14ADFCE2" w:rsidR="00312042" w:rsidRPr="00F567E1" w:rsidRDefault="00312042" w:rsidP="00CB7E8A">
            <w:pPr>
              <w:spacing w:before="40" w:after="40"/>
              <w:jc w:val="right"/>
              <w:rPr>
                <w:sz w:val="18"/>
                <w:szCs w:val="18"/>
                <w:lang w:val="es-ES_tradnl"/>
              </w:rPr>
            </w:pPr>
            <w:r w:rsidRPr="00F567E1">
              <w:rPr>
                <w:color w:val="000000"/>
                <w:sz w:val="18"/>
                <w:szCs w:val="18"/>
                <w:lang w:val="es-ES_tradnl"/>
              </w:rPr>
              <w:t>34</w:t>
            </w:r>
            <w:r w:rsidR="00BA11CE"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770CE93E" w14:textId="1749134E" w:rsidR="00312042" w:rsidRPr="00F567E1" w:rsidRDefault="00312042" w:rsidP="00CB7E8A">
            <w:pPr>
              <w:spacing w:before="40" w:after="40"/>
              <w:jc w:val="right"/>
              <w:rPr>
                <w:sz w:val="18"/>
                <w:szCs w:val="18"/>
                <w:lang w:val="es-ES_tradnl"/>
              </w:rPr>
            </w:pPr>
            <w:r w:rsidRPr="00F567E1">
              <w:rPr>
                <w:color w:val="000000"/>
                <w:sz w:val="18"/>
                <w:szCs w:val="18"/>
                <w:lang w:val="es-ES_tradnl"/>
              </w:rPr>
              <w:t>42</w:t>
            </w:r>
            <w:r w:rsidR="00BA11CE" w:rsidRPr="00F567E1">
              <w:rPr>
                <w:color w:val="000000"/>
                <w:sz w:val="18"/>
                <w:szCs w:val="18"/>
                <w:lang w:val="es-ES_tradnl"/>
              </w:rPr>
              <w:t> </w:t>
            </w:r>
            <w:r w:rsidRPr="00F567E1">
              <w:rPr>
                <w:color w:val="000000"/>
                <w:sz w:val="18"/>
                <w:szCs w:val="18"/>
                <w:lang w:val="es-ES_tradnl"/>
              </w:rPr>
              <w:t>000</w:t>
            </w:r>
          </w:p>
        </w:tc>
        <w:tc>
          <w:tcPr>
            <w:tcW w:w="1276" w:type="dxa"/>
            <w:tcBorders>
              <w:top w:val="nil"/>
            </w:tcBorders>
            <w:noWrap/>
            <w:vAlign w:val="center"/>
            <w:hideMark/>
          </w:tcPr>
          <w:p w14:paraId="455CD952" w14:textId="23BE3C3E" w:rsidR="00312042" w:rsidRPr="00F567E1" w:rsidRDefault="00312042" w:rsidP="00CB7E8A">
            <w:pPr>
              <w:spacing w:before="40" w:after="40"/>
              <w:jc w:val="right"/>
              <w:rPr>
                <w:sz w:val="18"/>
                <w:szCs w:val="18"/>
                <w:lang w:val="es-ES_tradnl"/>
              </w:rPr>
            </w:pPr>
            <w:r w:rsidRPr="00F567E1">
              <w:rPr>
                <w:color w:val="000000"/>
                <w:sz w:val="18"/>
                <w:szCs w:val="18"/>
                <w:lang w:val="es-ES_tradnl"/>
              </w:rPr>
              <w:t>76</w:t>
            </w:r>
            <w:r w:rsidR="00F32374"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160A0AEA"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1A516A9B"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40738D9B" w14:textId="77777777" w:rsidR="00312042" w:rsidRPr="00F567E1" w:rsidRDefault="00312042" w:rsidP="00CB7E8A">
            <w:pPr>
              <w:spacing w:before="40" w:after="40"/>
              <w:jc w:val="right"/>
              <w:rPr>
                <w:sz w:val="18"/>
                <w:szCs w:val="18"/>
                <w:lang w:val="es-ES_tradnl"/>
              </w:rPr>
            </w:pPr>
          </w:p>
        </w:tc>
      </w:tr>
      <w:tr w:rsidR="00F234CD" w:rsidRPr="00F567E1" w14:paraId="6D638437" w14:textId="77777777" w:rsidTr="00917804">
        <w:trPr>
          <w:trHeight w:val="52"/>
          <w:jc w:val="right"/>
        </w:trPr>
        <w:tc>
          <w:tcPr>
            <w:tcW w:w="7230" w:type="dxa"/>
            <w:gridSpan w:val="2"/>
            <w:shd w:val="clear" w:color="000000" w:fill="B4C6E7"/>
            <w:noWrap/>
            <w:vAlign w:val="center"/>
            <w:hideMark/>
          </w:tcPr>
          <w:p w14:paraId="6F6E572C"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9.</w:t>
            </w:r>
            <w:r w:rsidRPr="00F567E1">
              <w:rPr>
                <w:color w:val="000000"/>
                <w:sz w:val="18"/>
                <w:szCs w:val="18"/>
                <w:lang w:val="es-ES_tradnl"/>
              </w:rPr>
              <w:t xml:space="preserve"> </w:t>
            </w:r>
            <w:r w:rsidRPr="00F567E1">
              <w:rPr>
                <w:b/>
                <w:bCs/>
                <w:color w:val="000000"/>
                <w:sz w:val="18"/>
                <w:szCs w:val="18"/>
                <w:lang w:val="es-ES_tradnl"/>
              </w:rPr>
              <w:t>Actividades de comunicación, divulgación y sensibilización</w:t>
            </w:r>
          </w:p>
        </w:tc>
        <w:tc>
          <w:tcPr>
            <w:tcW w:w="1275" w:type="dxa"/>
            <w:shd w:val="clear" w:color="000000" w:fill="B4C6E7"/>
            <w:noWrap/>
            <w:vAlign w:val="center"/>
            <w:hideMark/>
          </w:tcPr>
          <w:p w14:paraId="77132339" w14:textId="7C6FD348"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34</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343B45CF" w14:textId="7A37DE32"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42</w:t>
            </w:r>
            <w:r w:rsidR="00BA11CE" w:rsidRPr="00F567E1">
              <w:rPr>
                <w:b/>
                <w:bCs/>
                <w:color w:val="000000"/>
                <w:sz w:val="18"/>
                <w:szCs w:val="18"/>
                <w:lang w:val="es-ES_tradnl"/>
              </w:rPr>
              <w:t> </w:t>
            </w:r>
            <w:r w:rsidRPr="00F567E1">
              <w:rPr>
                <w:b/>
                <w:bCs/>
                <w:color w:val="000000"/>
                <w:sz w:val="18"/>
                <w:szCs w:val="18"/>
                <w:lang w:val="es-ES_tradnl"/>
              </w:rPr>
              <w:t>000</w:t>
            </w:r>
          </w:p>
        </w:tc>
        <w:tc>
          <w:tcPr>
            <w:tcW w:w="1276" w:type="dxa"/>
            <w:shd w:val="clear" w:color="000000" w:fill="B4C6E7"/>
            <w:noWrap/>
            <w:vAlign w:val="center"/>
            <w:hideMark/>
          </w:tcPr>
          <w:p w14:paraId="60F1D2AA" w14:textId="53C1B35C"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76</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382BB400"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7FA54195" w14:textId="77777777" w:rsidR="00312042" w:rsidRPr="00F567E1" w:rsidRDefault="00312042" w:rsidP="00CB7E8A">
            <w:pPr>
              <w:spacing w:before="40" w:after="40"/>
              <w:jc w:val="right"/>
              <w:rPr>
                <w:b/>
                <w:bCs/>
                <w:sz w:val="18"/>
                <w:szCs w:val="18"/>
                <w:lang w:val="es-ES_tradnl"/>
              </w:rPr>
            </w:pPr>
          </w:p>
        </w:tc>
        <w:tc>
          <w:tcPr>
            <w:tcW w:w="1245" w:type="dxa"/>
            <w:shd w:val="clear" w:color="000000" w:fill="B4C6E7"/>
            <w:noWrap/>
            <w:vAlign w:val="center"/>
            <w:hideMark/>
          </w:tcPr>
          <w:p w14:paraId="01D1EC51" w14:textId="77777777" w:rsidR="00312042" w:rsidRPr="00F567E1" w:rsidRDefault="00312042" w:rsidP="00CB7E8A">
            <w:pPr>
              <w:spacing w:before="40" w:after="40"/>
              <w:jc w:val="right"/>
              <w:rPr>
                <w:b/>
                <w:bCs/>
                <w:sz w:val="18"/>
                <w:szCs w:val="18"/>
                <w:lang w:val="es-ES_tradnl"/>
              </w:rPr>
            </w:pPr>
          </w:p>
        </w:tc>
      </w:tr>
      <w:tr w:rsidR="00F234CD" w:rsidRPr="00F567E1" w14:paraId="36C34EE7" w14:textId="77777777" w:rsidTr="00917804">
        <w:trPr>
          <w:trHeight w:val="52"/>
          <w:jc w:val="right"/>
        </w:trPr>
        <w:tc>
          <w:tcPr>
            <w:tcW w:w="7230" w:type="dxa"/>
            <w:gridSpan w:val="2"/>
            <w:noWrap/>
            <w:vAlign w:val="center"/>
            <w:hideMark/>
          </w:tcPr>
          <w:p w14:paraId="1DD412F1" w14:textId="77777777" w:rsidR="00312042" w:rsidRPr="00F567E1" w:rsidRDefault="00312042" w:rsidP="00CB7E8A">
            <w:pPr>
              <w:keepNext/>
              <w:keepLines/>
              <w:spacing w:before="40" w:after="40"/>
              <w:rPr>
                <w:b/>
                <w:bCs/>
                <w:sz w:val="18"/>
                <w:szCs w:val="18"/>
                <w:lang w:val="es-ES_tradnl"/>
              </w:rPr>
            </w:pPr>
            <w:r w:rsidRPr="00F567E1">
              <w:rPr>
                <w:b/>
                <w:bCs/>
                <w:color w:val="000000"/>
                <w:sz w:val="18"/>
                <w:szCs w:val="18"/>
                <w:lang w:val="es-ES_tradnl"/>
              </w:rPr>
              <w:t>10.</w:t>
            </w:r>
            <w:r w:rsidRPr="00F567E1">
              <w:rPr>
                <w:color w:val="000000"/>
                <w:sz w:val="18"/>
                <w:szCs w:val="18"/>
                <w:lang w:val="es-ES_tradnl"/>
              </w:rPr>
              <w:t xml:space="preserve"> </w:t>
            </w:r>
            <w:r w:rsidRPr="00F567E1">
              <w:rPr>
                <w:b/>
                <w:bCs/>
                <w:color w:val="000000"/>
                <w:sz w:val="18"/>
                <w:szCs w:val="18"/>
                <w:lang w:val="es-ES_tradnl"/>
              </w:rPr>
              <w:t>Presencia digital</w:t>
            </w:r>
          </w:p>
        </w:tc>
        <w:tc>
          <w:tcPr>
            <w:tcW w:w="1275" w:type="dxa"/>
            <w:noWrap/>
            <w:vAlign w:val="center"/>
            <w:hideMark/>
          </w:tcPr>
          <w:p w14:paraId="6BE773C0" w14:textId="77777777" w:rsidR="00312042" w:rsidRPr="00F567E1" w:rsidRDefault="00312042" w:rsidP="00CB7E8A">
            <w:pPr>
              <w:keepNext/>
              <w:keepLines/>
              <w:spacing w:before="40" w:after="40"/>
              <w:jc w:val="right"/>
              <w:rPr>
                <w:b/>
                <w:bCs/>
                <w:sz w:val="18"/>
                <w:szCs w:val="18"/>
                <w:lang w:val="es-ES_tradnl"/>
              </w:rPr>
            </w:pPr>
          </w:p>
        </w:tc>
        <w:tc>
          <w:tcPr>
            <w:tcW w:w="1134" w:type="dxa"/>
            <w:noWrap/>
            <w:vAlign w:val="center"/>
            <w:hideMark/>
          </w:tcPr>
          <w:p w14:paraId="2950828A" w14:textId="77777777" w:rsidR="00312042" w:rsidRPr="00F567E1" w:rsidRDefault="00312042" w:rsidP="00CB7E8A">
            <w:pPr>
              <w:keepNext/>
              <w:keepLines/>
              <w:spacing w:before="40" w:after="40"/>
              <w:jc w:val="right"/>
              <w:rPr>
                <w:b/>
                <w:bCs/>
                <w:sz w:val="18"/>
                <w:szCs w:val="18"/>
                <w:lang w:val="es-ES_tradnl"/>
              </w:rPr>
            </w:pPr>
          </w:p>
        </w:tc>
        <w:tc>
          <w:tcPr>
            <w:tcW w:w="1276" w:type="dxa"/>
            <w:noWrap/>
            <w:vAlign w:val="center"/>
            <w:hideMark/>
          </w:tcPr>
          <w:p w14:paraId="10ACB04B" w14:textId="77777777" w:rsidR="00312042" w:rsidRPr="00F567E1" w:rsidRDefault="00312042" w:rsidP="00CB7E8A">
            <w:pPr>
              <w:keepNext/>
              <w:keepLines/>
              <w:spacing w:before="40" w:after="40"/>
              <w:jc w:val="right"/>
              <w:rPr>
                <w:b/>
                <w:bCs/>
                <w:sz w:val="18"/>
                <w:szCs w:val="18"/>
                <w:lang w:val="es-ES_tradnl"/>
              </w:rPr>
            </w:pPr>
          </w:p>
        </w:tc>
        <w:tc>
          <w:tcPr>
            <w:tcW w:w="1134" w:type="dxa"/>
            <w:noWrap/>
            <w:vAlign w:val="center"/>
            <w:hideMark/>
          </w:tcPr>
          <w:p w14:paraId="4BF3DDA6" w14:textId="77777777" w:rsidR="00312042" w:rsidRPr="00F567E1" w:rsidRDefault="00312042" w:rsidP="00CB7E8A">
            <w:pPr>
              <w:keepNext/>
              <w:keepLines/>
              <w:spacing w:before="40" w:after="40"/>
              <w:jc w:val="right"/>
              <w:rPr>
                <w:b/>
                <w:bCs/>
                <w:sz w:val="18"/>
                <w:szCs w:val="18"/>
                <w:lang w:val="es-ES_tradnl"/>
              </w:rPr>
            </w:pPr>
          </w:p>
        </w:tc>
        <w:tc>
          <w:tcPr>
            <w:tcW w:w="1134" w:type="dxa"/>
            <w:noWrap/>
            <w:vAlign w:val="center"/>
            <w:hideMark/>
          </w:tcPr>
          <w:p w14:paraId="658B102E" w14:textId="77777777" w:rsidR="00312042" w:rsidRPr="00F567E1" w:rsidRDefault="00312042" w:rsidP="00CB7E8A">
            <w:pPr>
              <w:keepNext/>
              <w:keepLines/>
              <w:spacing w:before="40" w:after="40"/>
              <w:jc w:val="right"/>
              <w:rPr>
                <w:b/>
                <w:bCs/>
                <w:sz w:val="18"/>
                <w:szCs w:val="18"/>
                <w:lang w:val="es-ES_tradnl"/>
              </w:rPr>
            </w:pPr>
          </w:p>
        </w:tc>
        <w:tc>
          <w:tcPr>
            <w:tcW w:w="1245" w:type="dxa"/>
            <w:noWrap/>
            <w:vAlign w:val="center"/>
            <w:hideMark/>
          </w:tcPr>
          <w:p w14:paraId="22F89D9D" w14:textId="77777777" w:rsidR="00312042" w:rsidRPr="00F567E1" w:rsidRDefault="00312042" w:rsidP="00CB7E8A">
            <w:pPr>
              <w:keepNext/>
              <w:keepLines/>
              <w:spacing w:before="40" w:after="40"/>
              <w:jc w:val="right"/>
              <w:rPr>
                <w:b/>
                <w:bCs/>
                <w:sz w:val="18"/>
                <w:szCs w:val="18"/>
                <w:lang w:val="es-ES_tradnl"/>
              </w:rPr>
            </w:pPr>
          </w:p>
        </w:tc>
      </w:tr>
      <w:tr w:rsidR="00F234CD" w:rsidRPr="00F567E1" w14:paraId="55033C0E" w14:textId="77777777" w:rsidTr="00917804">
        <w:trPr>
          <w:trHeight w:val="52"/>
          <w:jc w:val="right"/>
        </w:trPr>
        <w:tc>
          <w:tcPr>
            <w:tcW w:w="284" w:type="dxa"/>
            <w:tcBorders>
              <w:top w:val="nil"/>
            </w:tcBorders>
            <w:noWrap/>
            <w:vAlign w:val="center"/>
            <w:hideMark/>
          </w:tcPr>
          <w:p w14:paraId="7DB6B69A" w14:textId="77777777" w:rsidR="00312042" w:rsidRPr="00F567E1" w:rsidRDefault="00312042" w:rsidP="00CB7E8A">
            <w:pPr>
              <w:keepNext/>
              <w:keepLines/>
              <w:spacing w:before="40" w:after="40"/>
              <w:rPr>
                <w:b/>
                <w:bCs/>
                <w:sz w:val="18"/>
                <w:szCs w:val="18"/>
                <w:lang w:val="es-ES_tradnl"/>
              </w:rPr>
            </w:pPr>
            <w:r w:rsidRPr="00F567E1">
              <w:rPr>
                <w:b/>
                <w:bCs/>
                <w:color w:val="000000"/>
                <w:sz w:val="18"/>
                <w:szCs w:val="18"/>
                <w:lang w:val="es-ES_tradnl"/>
              </w:rPr>
              <w:t> </w:t>
            </w:r>
          </w:p>
        </w:tc>
        <w:tc>
          <w:tcPr>
            <w:tcW w:w="6946" w:type="dxa"/>
            <w:tcBorders>
              <w:top w:val="nil"/>
            </w:tcBorders>
            <w:noWrap/>
            <w:vAlign w:val="center"/>
            <w:hideMark/>
          </w:tcPr>
          <w:p w14:paraId="6588251C" w14:textId="680A700B" w:rsidR="00312042" w:rsidRPr="00F567E1" w:rsidRDefault="00312042" w:rsidP="00CB7E8A">
            <w:pPr>
              <w:keepNext/>
              <w:keepLines/>
              <w:spacing w:before="40" w:after="40"/>
              <w:rPr>
                <w:sz w:val="18"/>
                <w:szCs w:val="18"/>
                <w:lang w:val="es-ES_tradnl"/>
              </w:rPr>
            </w:pPr>
            <w:r w:rsidRPr="00F567E1">
              <w:rPr>
                <w:color w:val="000000"/>
                <w:sz w:val="18"/>
                <w:szCs w:val="18"/>
                <w:lang w:val="es-ES_tradnl"/>
              </w:rPr>
              <w:t>10.1. Estrategia digital</w:t>
            </w:r>
          </w:p>
        </w:tc>
        <w:tc>
          <w:tcPr>
            <w:tcW w:w="1275" w:type="dxa"/>
            <w:tcBorders>
              <w:top w:val="nil"/>
            </w:tcBorders>
            <w:noWrap/>
            <w:vAlign w:val="center"/>
            <w:hideMark/>
          </w:tcPr>
          <w:p w14:paraId="3304840E" w14:textId="39A878B6" w:rsidR="00312042" w:rsidRPr="00F567E1" w:rsidRDefault="00312042" w:rsidP="00CB7E8A">
            <w:pPr>
              <w:keepNext/>
              <w:keepLines/>
              <w:spacing w:before="40" w:after="40"/>
              <w:jc w:val="right"/>
              <w:rPr>
                <w:sz w:val="18"/>
                <w:szCs w:val="18"/>
                <w:lang w:val="es-ES_tradnl"/>
              </w:rPr>
            </w:pPr>
            <w:r w:rsidRPr="00F567E1">
              <w:rPr>
                <w:color w:val="000000"/>
                <w:sz w:val="18"/>
                <w:szCs w:val="18"/>
                <w:lang w:val="es-ES_tradnl"/>
              </w:rPr>
              <w:t>22</w:t>
            </w:r>
            <w:r w:rsidR="00BA11CE" w:rsidRPr="00F567E1">
              <w:rPr>
                <w:color w:val="000000"/>
                <w:sz w:val="18"/>
                <w:szCs w:val="18"/>
                <w:lang w:val="es-ES_tradnl"/>
              </w:rPr>
              <w:t> </w:t>
            </w:r>
            <w:r w:rsidRPr="00F567E1">
              <w:rPr>
                <w:color w:val="000000"/>
                <w:sz w:val="18"/>
                <w:szCs w:val="18"/>
                <w:lang w:val="es-ES_tradnl"/>
              </w:rPr>
              <w:t>500</w:t>
            </w:r>
          </w:p>
        </w:tc>
        <w:tc>
          <w:tcPr>
            <w:tcW w:w="1134" w:type="dxa"/>
            <w:tcBorders>
              <w:top w:val="nil"/>
            </w:tcBorders>
            <w:noWrap/>
            <w:vAlign w:val="center"/>
            <w:hideMark/>
          </w:tcPr>
          <w:p w14:paraId="4F4AE19B" w14:textId="18D8BF3A" w:rsidR="00312042" w:rsidRPr="00F567E1" w:rsidRDefault="00312042" w:rsidP="00CB7E8A">
            <w:pPr>
              <w:keepNext/>
              <w:keepLines/>
              <w:spacing w:before="40" w:after="40"/>
              <w:jc w:val="right"/>
              <w:rPr>
                <w:sz w:val="18"/>
                <w:szCs w:val="18"/>
                <w:lang w:val="es-ES_tradnl"/>
              </w:rPr>
            </w:pPr>
            <w:r w:rsidRPr="00F567E1">
              <w:rPr>
                <w:color w:val="000000"/>
                <w:sz w:val="18"/>
                <w:szCs w:val="18"/>
                <w:lang w:val="es-ES_tradnl"/>
              </w:rPr>
              <w:t>27</w:t>
            </w:r>
            <w:r w:rsidR="00BA11CE" w:rsidRPr="00F567E1">
              <w:rPr>
                <w:color w:val="000000"/>
                <w:sz w:val="18"/>
                <w:szCs w:val="18"/>
                <w:lang w:val="es-ES_tradnl"/>
              </w:rPr>
              <w:t> </w:t>
            </w:r>
            <w:r w:rsidRPr="00F567E1">
              <w:rPr>
                <w:color w:val="000000"/>
                <w:sz w:val="18"/>
                <w:szCs w:val="18"/>
                <w:lang w:val="es-ES_tradnl"/>
              </w:rPr>
              <w:t>500</w:t>
            </w:r>
          </w:p>
        </w:tc>
        <w:tc>
          <w:tcPr>
            <w:tcW w:w="1276" w:type="dxa"/>
            <w:tcBorders>
              <w:top w:val="nil"/>
            </w:tcBorders>
            <w:noWrap/>
            <w:vAlign w:val="center"/>
            <w:hideMark/>
          </w:tcPr>
          <w:p w14:paraId="06BDCCF5" w14:textId="51C936DE" w:rsidR="00312042" w:rsidRPr="00F567E1" w:rsidRDefault="00312042" w:rsidP="00CB7E8A">
            <w:pPr>
              <w:keepNext/>
              <w:keepLines/>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3A6C77B8" w14:textId="633BE16A" w:rsidR="00312042" w:rsidRPr="00F567E1" w:rsidRDefault="00312042" w:rsidP="00CB7E8A">
            <w:pPr>
              <w:keepNext/>
              <w:keepLines/>
              <w:spacing w:before="40" w:after="40"/>
              <w:jc w:val="right"/>
              <w:rPr>
                <w:sz w:val="18"/>
                <w:szCs w:val="18"/>
                <w:lang w:val="es-ES_tradnl"/>
              </w:rPr>
            </w:pPr>
            <w:r w:rsidRPr="00F567E1">
              <w:rPr>
                <w:color w:val="000000"/>
                <w:sz w:val="18"/>
                <w:szCs w:val="18"/>
                <w:lang w:val="es-ES_tradnl"/>
              </w:rPr>
              <w:t>120</w:t>
            </w:r>
            <w:r w:rsidR="00F32374"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6E39A7D5" w14:textId="0733E552" w:rsidR="00312042" w:rsidRPr="00F567E1" w:rsidRDefault="00312042" w:rsidP="00CB7E8A">
            <w:pPr>
              <w:keepNext/>
              <w:keepLines/>
              <w:spacing w:before="40" w:after="40"/>
              <w:jc w:val="right"/>
              <w:rPr>
                <w:sz w:val="18"/>
                <w:szCs w:val="18"/>
                <w:lang w:val="es-ES_tradnl"/>
              </w:rPr>
            </w:pPr>
            <w:r w:rsidRPr="00F567E1">
              <w:rPr>
                <w:color w:val="000000"/>
                <w:sz w:val="18"/>
                <w:szCs w:val="18"/>
                <w:lang w:val="es-ES_tradnl"/>
              </w:rPr>
              <w:t>85</w:t>
            </w:r>
            <w:r w:rsidR="00F32374" w:rsidRPr="00F567E1">
              <w:rPr>
                <w:color w:val="000000"/>
                <w:sz w:val="18"/>
                <w:szCs w:val="18"/>
                <w:lang w:val="es-ES_tradnl"/>
              </w:rPr>
              <w:t> </w:t>
            </w:r>
            <w:r w:rsidRPr="00F567E1">
              <w:rPr>
                <w:color w:val="000000"/>
                <w:sz w:val="18"/>
                <w:szCs w:val="18"/>
                <w:lang w:val="es-ES_tradnl"/>
              </w:rPr>
              <w:t>000</w:t>
            </w:r>
          </w:p>
        </w:tc>
        <w:tc>
          <w:tcPr>
            <w:tcW w:w="1245" w:type="dxa"/>
            <w:tcBorders>
              <w:top w:val="nil"/>
            </w:tcBorders>
            <w:noWrap/>
            <w:vAlign w:val="center"/>
            <w:hideMark/>
          </w:tcPr>
          <w:p w14:paraId="34E875FD" w14:textId="7D88615A" w:rsidR="00312042" w:rsidRPr="00F567E1" w:rsidRDefault="00312042" w:rsidP="00CB7E8A">
            <w:pPr>
              <w:keepNext/>
              <w:keepLines/>
              <w:spacing w:before="40" w:after="40"/>
              <w:jc w:val="right"/>
              <w:rPr>
                <w:sz w:val="18"/>
                <w:szCs w:val="18"/>
                <w:lang w:val="es-ES_tradnl"/>
              </w:rPr>
            </w:pPr>
            <w:r w:rsidRPr="00F567E1">
              <w:rPr>
                <w:color w:val="000000"/>
                <w:sz w:val="18"/>
                <w:szCs w:val="18"/>
                <w:lang w:val="es-ES_tradnl"/>
              </w:rPr>
              <w:t>205</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0C292389" w14:textId="77777777" w:rsidTr="00DD753D">
        <w:trPr>
          <w:trHeight w:val="315"/>
          <w:jc w:val="right"/>
        </w:trPr>
        <w:tc>
          <w:tcPr>
            <w:tcW w:w="7230" w:type="dxa"/>
            <w:gridSpan w:val="2"/>
            <w:tcBorders>
              <w:bottom w:val="single" w:sz="4" w:space="0" w:color="auto"/>
            </w:tcBorders>
            <w:shd w:val="clear" w:color="000000" w:fill="B4C6E7"/>
            <w:noWrap/>
            <w:vAlign w:val="center"/>
            <w:hideMark/>
          </w:tcPr>
          <w:p w14:paraId="7823DA6C" w14:textId="77777777" w:rsidR="00312042" w:rsidRPr="00F567E1" w:rsidRDefault="00312042" w:rsidP="00CB7E8A">
            <w:pPr>
              <w:keepNext/>
              <w:keepLines/>
              <w:spacing w:before="40" w:after="40"/>
              <w:rPr>
                <w:b/>
                <w:bCs/>
                <w:sz w:val="18"/>
                <w:szCs w:val="18"/>
                <w:lang w:val="es-ES_tradnl"/>
              </w:rPr>
            </w:pPr>
            <w:r w:rsidRPr="00F567E1">
              <w:rPr>
                <w:b/>
                <w:bCs/>
                <w:color w:val="000000"/>
                <w:sz w:val="18"/>
                <w:szCs w:val="18"/>
                <w:lang w:val="es-ES_tradnl"/>
              </w:rPr>
              <w:t>10.</w:t>
            </w:r>
            <w:r w:rsidRPr="00F567E1">
              <w:rPr>
                <w:color w:val="000000"/>
                <w:sz w:val="18"/>
                <w:szCs w:val="18"/>
                <w:lang w:val="es-ES_tradnl"/>
              </w:rPr>
              <w:t xml:space="preserve"> </w:t>
            </w:r>
            <w:r w:rsidRPr="00F567E1">
              <w:rPr>
                <w:b/>
                <w:bCs/>
                <w:color w:val="000000"/>
                <w:sz w:val="18"/>
                <w:szCs w:val="18"/>
                <w:lang w:val="es-ES_tradnl"/>
              </w:rPr>
              <w:t>Presencia digital</w:t>
            </w:r>
          </w:p>
        </w:tc>
        <w:tc>
          <w:tcPr>
            <w:tcW w:w="1275" w:type="dxa"/>
            <w:tcBorders>
              <w:bottom w:val="single" w:sz="4" w:space="0" w:color="auto"/>
            </w:tcBorders>
            <w:shd w:val="clear" w:color="000000" w:fill="B4C6E7"/>
            <w:noWrap/>
            <w:vAlign w:val="center"/>
            <w:hideMark/>
          </w:tcPr>
          <w:p w14:paraId="127F4C4F" w14:textId="28631E36"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22</w:t>
            </w:r>
            <w:r w:rsidR="00F32374" w:rsidRPr="00F567E1">
              <w:rPr>
                <w:b/>
                <w:bCs/>
                <w:color w:val="000000"/>
                <w:sz w:val="18"/>
                <w:szCs w:val="18"/>
                <w:lang w:val="es-ES_tradnl"/>
              </w:rPr>
              <w:t> </w:t>
            </w:r>
            <w:r w:rsidRPr="00F567E1">
              <w:rPr>
                <w:b/>
                <w:bCs/>
                <w:color w:val="000000"/>
                <w:sz w:val="18"/>
                <w:szCs w:val="18"/>
                <w:lang w:val="es-ES_tradnl"/>
              </w:rPr>
              <w:t>500</w:t>
            </w:r>
          </w:p>
        </w:tc>
        <w:tc>
          <w:tcPr>
            <w:tcW w:w="1134" w:type="dxa"/>
            <w:tcBorders>
              <w:bottom w:val="single" w:sz="4" w:space="0" w:color="auto"/>
            </w:tcBorders>
            <w:shd w:val="clear" w:color="000000" w:fill="B4C6E7"/>
            <w:noWrap/>
            <w:vAlign w:val="center"/>
            <w:hideMark/>
          </w:tcPr>
          <w:p w14:paraId="389F3BE8" w14:textId="262F8033"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27</w:t>
            </w:r>
            <w:r w:rsidR="00BA11CE" w:rsidRPr="00F567E1">
              <w:rPr>
                <w:b/>
                <w:bCs/>
                <w:color w:val="000000"/>
                <w:sz w:val="18"/>
                <w:szCs w:val="18"/>
                <w:lang w:val="es-ES_tradnl"/>
              </w:rPr>
              <w:t> </w:t>
            </w:r>
            <w:r w:rsidRPr="00F567E1">
              <w:rPr>
                <w:b/>
                <w:bCs/>
                <w:color w:val="000000"/>
                <w:sz w:val="18"/>
                <w:szCs w:val="18"/>
                <w:lang w:val="es-ES_tradnl"/>
              </w:rPr>
              <w:t>500</w:t>
            </w:r>
          </w:p>
        </w:tc>
        <w:tc>
          <w:tcPr>
            <w:tcW w:w="1276" w:type="dxa"/>
            <w:tcBorders>
              <w:bottom w:val="single" w:sz="4" w:space="0" w:color="auto"/>
            </w:tcBorders>
            <w:shd w:val="clear" w:color="000000" w:fill="B4C6E7"/>
            <w:noWrap/>
            <w:vAlign w:val="center"/>
            <w:hideMark/>
          </w:tcPr>
          <w:p w14:paraId="4FC9F884" w14:textId="045D83C1"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50</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124FB380" w14:textId="3878E726"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120</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16A5FD49" w14:textId="4791FC35"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85</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bottom w:val="single" w:sz="4" w:space="0" w:color="auto"/>
            </w:tcBorders>
            <w:shd w:val="clear" w:color="000000" w:fill="B4C6E7"/>
            <w:noWrap/>
            <w:vAlign w:val="center"/>
            <w:hideMark/>
          </w:tcPr>
          <w:p w14:paraId="78F28D71" w14:textId="0024071A"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205</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33413769" w14:textId="77777777" w:rsidTr="00DD753D">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2144FF6F" w14:textId="77777777" w:rsidR="00312042" w:rsidRPr="00F567E1" w:rsidRDefault="00312042" w:rsidP="00CB7E8A">
            <w:pPr>
              <w:keepNext/>
              <w:keepLines/>
              <w:spacing w:before="40" w:after="40"/>
              <w:ind w:firstLineChars="100" w:firstLine="181"/>
              <w:rPr>
                <w:b/>
                <w:bCs/>
                <w:sz w:val="18"/>
                <w:szCs w:val="18"/>
                <w:lang w:val="es-ES_tradnl"/>
              </w:rPr>
            </w:pPr>
            <w:r w:rsidRPr="00F567E1">
              <w:rPr>
                <w:b/>
                <w:bCs/>
                <w:color w:val="000000"/>
                <w:sz w:val="18"/>
                <w:szCs w:val="18"/>
                <w:lang w:val="es-ES_tradnl"/>
              </w:rPr>
              <w:t>Total (D)</w:t>
            </w:r>
          </w:p>
        </w:tc>
        <w:tc>
          <w:tcPr>
            <w:tcW w:w="1275" w:type="dxa"/>
            <w:tcBorders>
              <w:top w:val="single" w:sz="4" w:space="0" w:color="auto"/>
              <w:bottom w:val="single" w:sz="4" w:space="0" w:color="auto"/>
            </w:tcBorders>
            <w:shd w:val="clear" w:color="000000" w:fill="DBB731"/>
            <w:noWrap/>
            <w:vAlign w:val="center"/>
            <w:hideMark/>
          </w:tcPr>
          <w:p w14:paraId="6F0815CB" w14:textId="4EC6BFB9"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81</w:t>
            </w:r>
            <w:r w:rsidR="00F32374" w:rsidRPr="00F567E1">
              <w:rPr>
                <w:b/>
                <w:bCs/>
                <w:color w:val="000000"/>
                <w:sz w:val="18"/>
                <w:szCs w:val="18"/>
                <w:lang w:val="es-ES_tradnl"/>
              </w:rPr>
              <w:t> </w:t>
            </w:r>
            <w:r w:rsidRPr="00F567E1">
              <w:rPr>
                <w:b/>
                <w:bCs/>
                <w:color w:val="000000"/>
                <w:sz w:val="18"/>
                <w:szCs w:val="18"/>
                <w:lang w:val="es-ES_tradnl"/>
              </w:rPr>
              <w:t>500</w:t>
            </w:r>
          </w:p>
        </w:tc>
        <w:tc>
          <w:tcPr>
            <w:tcW w:w="1134" w:type="dxa"/>
            <w:tcBorders>
              <w:top w:val="single" w:sz="4" w:space="0" w:color="auto"/>
              <w:bottom w:val="single" w:sz="4" w:space="0" w:color="auto"/>
            </w:tcBorders>
            <w:shd w:val="clear" w:color="000000" w:fill="DBB731"/>
            <w:noWrap/>
            <w:vAlign w:val="center"/>
            <w:hideMark/>
          </w:tcPr>
          <w:p w14:paraId="24391019" w14:textId="59BFFEE2"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89</w:t>
            </w:r>
            <w:r w:rsidR="00BA11CE" w:rsidRPr="00F567E1">
              <w:rPr>
                <w:b/>
                <w:bCs/>
                <w:color w:val="000000"/>
                <w:sz w:val="18"/>
                <w:szCs w:val="18"/>
                <w:lang w:val="es-ES_tradnl"/>
              </w:rPr>
              <w:t> </w:t>
            </w:r>
            <w:r w:rsidRPr="00F567E1">
              <w:rPr>
                <w:b/>
                <w:bCs/>
                <w:color w:val="000000"/>
                <w:sz w:val="18"/>
                <w:szCs w:val="18"/>
                <w:lang w:val="es-ES_tradnl"/>
              </w:rPr>
              <w:t>500</w:t>
            </w:r>
          </w:p>
        </w:tc>
        <w:tc>
          <w:tcPr>
            <w:tcW w:w="1276" w:type="dxa"/>
            <w:tcBorders>
              <w:top w:val="single" w:sz="4" w:space="0" w:color="auto"/>
              <w:bottom w:val="single" w:sz="4" w:space="0" w:color="auto"/>
            </w:tcBorders>
            <w:shd w:val="clear" w:color="000000" w:fill="DBB731"/>
            <w:noWrap/>
            <w:vAlign w:val="center"/>
            <w:hideMark/>
          </w:tcPr>
          <w:p w14:paraId="3C2B5298" w14:textId="22167E0B"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171</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650C5DF2" w14:textId="1695A60C"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132</w:t>
            </w:r>
            <w:r w:rsidR="00F32374" w:rsidRPr="00F567E1">
              <w:rPr>
                <w:b/>
                <w:bCs/>
                <w:color w:val="000000"/>
                <w:sz w:val="18"/>
                <w:szCs w:val="18"/>
                <w:lang w:val="es-ES_tradnl"/>
              </w:rPr>
              <w:t> </w:t>
            </w:r>
            <w:r w:rsidRPr="00F567E1">
              <w:rPr>
                <w:b/>
                <w:bCs/>
                <w:color w:val="000000"/>
                <w:sz w:val="18"/>
                <w:szCs w:val="18"/>
                <w:lang w:val="es-ES_tradnl"/>
              </w:rPr>
              <w:t>500</w:t>
            </w:r>
          </w:p>
        </w:tc>
        <w:tc>
          <w:tcPr>
            <w:tcW w:w="1134" w:type="dxa"/>
            <w:tcBorders>
              <w:top w:val="single" w:sz="4" w:space="0" w:color="auto"/>
              <w:bottom w:val="single" w:sz="4" w:space="0" w:color="auto"/>
            </w:tcBorders>
            <w:shd w:val="clear" w:color="000000" w:fill="DBB731"/>
            <w:noWrap/>
            <w:vAlign w:val="center"/>
            <w:hideMark/>
          </w:tcPr>
          <w:p w14:paraId="267CE6C1" w14:textId="2B85AC4E"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97</w:t>
            </w:r>
            <w:r w:rsidR="00F32374" w:rsidRPr="00F567E1">
              <w:rPr>
                <w:b/>
                <w:bCs/>
                <w:color w:val="000000"/>
                <w:sz w:val="18"/>
                <w:szCs w:val="18"/>
                <w:lang w:val="es-ES_tradnl"/>
              </w:rPr>
              <w:t> </w:t>
            </w:r>
            <w:r w:rsidRPr="00F567E1">
              <w:rPr>
                <w:b/>
                <w:bCs/>
                <w:color w:val="000000"/>
                <w:sz w:val="18"/>
                <w:szCs w:val="18"/>
                <w:lang w:val="es-ES_tradnl"/>
              </w:rPr>
              <w:t>500</w:t>
            </w:r>
          </w:p>
        </w:tc>
        <w:tc>
          <w:tcPr>
            <w:tcW w:w="1245" w:type="dxa"/>
            <w:tcBorders>
              <w:top w:val="single" w:sz="4" w:space="0" w:color="auto"/>
              <w:bottom w:val="single" w:sz="4" w:space="0" w:color="auto"/>
            </w:tcBorders>
            <w:shd w:val="clear" w:color="000000" w:fill="DBB731"/>
            <w:noWrap/>
            <w:vAlign w:val="center"/>
            <w:hideMark/>
          </w:tcPr>
          <w:p w14:paraId="20AD4BCA" w14:textId="52398911" w:rsidR="00312042" w:rsidRPr="00F567E1" w:rsidRDefault="00312042" w:rsidP="00CB7E8A">
            <w:pPr>
              <w:keepNext/>
              <w:keepLines/>
              <w:spacing w:before="40" w:after="40"/>
              <w:jc w:val="right"/>
              <w:rPr>
                <w:b/>
                <w:bCs/>
                <w:sz w:val="18"/>
                <w:szCs w:val="18"/>
                <w:lang w:val="es-ES_tradnl"/>
              </w:rPr>
            </w:pPr>
            <w:r w:rsidRPr="00F567E1">
              <w:rPr>
                <w:b/>
                <w:bCs/>
                <w:color w:val="000000"/>
                <w:sz w:val="18"/>
                <w:szCs w:val="18"/>
                <w:lang w:val="es-ES_tradnl"/>
              </w:rPr>
              <w:t>230</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2E7F2300" w14:textId="77777777" w:rsidTr="00DD753D">
        <w:trPr>
          <w:trHeight w:val="300"/>
          <w:jc w:val="right"/>
        </w:trPr>
        <w:tc>
          <w:tcPr>
            <w:tcW w:w="7230" w:type="dxa"/>
            <w:gridSpan w:val="2"/>
            <w:tcBorders>
              <w:top w:val="single" w:sz="4" w:space="0" w:color="auto"/>
            </w:tcBorders>
            <w:noWrap/>
            <w:vAlign w:val="center"/>
            <w:hideMark/>
          </w:tcPr>
          <w:p w14:paraId="67F7855E"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E.</w:t>
            </w:r>
            <w:r w:rsidRPr="00F567E1">
              <w:rPr>
                <w:color w:val="000000"/>
                <w:sz w:val="18"/>
                <w:szCs w:val="18"/>
                <w:lang w:val="es-ES_tradnl"/>
              </w:rPr>
              <w:t xml:space="preserve"> </w:t>
            </w:r>
            <w:r w:rsidRPr="00F567E1">
              <w:rPr>
                <w:b/>
                <w:bCs/>
                <w:color w:val="000000"/>
                <w:sz w:val="18"/>
                <w:szCs w:val="18"/>
                <w:lang w:val="es-ES_tradnl"/>
              </w:rPr>
              <w:t>Gestión general</w:t>
            </w:r>
          </w:p>
        </w:tc>
        <w:tc>
          <w:tcPr>
            <w:tcW w:w="1275" w:type="dxa"/>
            <w:tcBorders>
              <w:top w:val="single" w:sz="4" w:space="0" w:color="auto"/>
            </w:tcBorders>
            <w:noWrap/>
            <w:vAlign w:val="center"/>
            <w:hideMark/>
          </w:tcPr>
          <w:p w14:paraId="1DC45944"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10A151AF"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tcBorders>
            <w:noWrap/>
            <w:vAlign w:val="center"/>
            <w:hideMark/>
          </w:tcPr>
          <w:p w14:paraId="17C76119"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56E4AA3D"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1D63BBCE" w14:textId="77777777" w:rsidR="00312042" w:rsidRPr="00F567E1" w:rsidRDefault="00312042" w:rsidP="00CB7E8A">
            <w:pPr>
              <w:spacing w:before="40" w:after="40"/>
              <w:jc w:val="right"/>
              <w:rPr>
                <w:b/>
                <w:bCs/>
                <w:sz w:val="18"/>
                <w:szCs w:val="18"/>
                <w:lang w:val="es-ES_tradnl"/>
              </w:rPr>
            </w:pPr>
          </w:p>
        </w:tc>
        <w:tc>
          <w:tcPr>
            <w:tcW w:w="1245" w:type="dxa"/>
            <w:tcBorders>
              <w:top w:val="single" w:sz="4" w:space="0" w:color="auto"/>
            </w:tcBorders>
            <w:noWrap/>
            <w:vAlign w:val="center"/>
            <w:hideMark/>
          </w:tcPr>
          <w:p w14:paraId="162898EB" w14:textId="77777777" w:rsidR="00312042" w:rsidRPr="00F567E1" w:rsidRDefault="00312042" w:rsidP="00CB7E8A">
            <w:pPr>
              <w:spacing w:before="40" w:after="40"/>
              <w:jc w:val="right"/>
              <w:rPr>
                <w:b/>
                <w:bCs/>
                <w:sz w:val="18"/>
                <w:szCs w:val="18"/>
                <w:lang w:val="es-ES_tradnl"/>
              </w:rPr>
            </w:pPr>
          </w:p>
        </w:tc>
      </w:tr>
      <w:tr w:rsidR="00F234CD" w:rsidRPr="00F567E1" w14:paraId="09DDE2C6" w14:textId="77777777" w:rsidTr="00C4751C">
        <w:trPr>
          <w:trHeight w:val="117"/>
          <w:jc w:val="right"/>
        </w:trPr>
        <w:tc>
          <w:tcPr>
            <w:tcW w:w="7230" w:type="dxa"/>
            <w:gridSpan w:val="2"/>
            <w:noWrap/>
            <w:vAlign w:val="center"/>
            <w:hideMark/>
          </w:tcPr>
          <w:p w14:paraId="5E6E703E"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11.</w:t>
            </w:r>
            <w:r w:rsidRPr="00F567E1">
              <w:rPr>
                <w:color w:val="000000"/>
                <w:sz w:val="18"/>
                <w:szCs w:val="18"/>
                <w:lang w:val="es-ES_tradnl"/>
              </w:rPr>
              <w:t xml:space="preserve"> </w:t>
            </w:r>
            <w:r w:rsidRPr="00F567E1">
              <w:rPr>
                <w:b/>
                <w:bCs/>
                <w:color w:val="000000"/>
                <w:sz w:val="18"/>
                <w:szCs w:val="18"/>
                <w:lang w:val="es-ES_tradnl"/>
              </w:rPr>
              <w:t>Dirección y gestión ejecutivas</w:t>
            </w:r>
          </w:p>
        </w:tc>
        <w:tc>
          <w:tcPr>
            <w:tcW w:w="1275" w:type="dxa"/>
            <w:noWrap/>
            <w:vAlign w:val="center"/>
            <w:hideMark/>
          </w:tcPr>
          <w:p w14:paraId="4DD4F209"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7D56123E"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6A06BF98"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1FF119CA"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7F771F9D"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1804C3F2" w14:textId="77777777" w:rsidR="00312042" w:rsidRPr="00F567E1" w:rsidRDefault="00312042" w:rsidP="00CB7E8A">
            <w:pPr>
              <w:spacing w:before="40" w:after="40"/>
              <w:jc w:val="right"/>
              <w:rPr>
                <w:sz w:val="18"/>
                <w:szCs w:val="18"/>
                <w:lang w:val="es-ES_tradnl"/>
              </w:rPr>
            </w:pPr>
          </w:p>
        </w:tc>
      </w:tr>
      <w:tr w:rsidR="00F234CD" w:rsidRPr="00F567E1" w14:paraId="271326B5" w14:textId="77777777" w:rsidTr="00C4751C">
        <w:trPr>
          <w:trHeight w:val="80"/>
          <w:jc w:val="right"/>
        </w:trPr>
        <w:tc>
          <w:tcPr>
            <w:tcW w:w="284" w:type="dxa"/>
            <w:noWrap/>
            <w:vAlign w:val="center"/>
            <w:hideMark/>
          </w:tcPr>
          <w:p w14:paraId="205180D3"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71C7EFA6" w14:textId="77777777" w:rsidR="00312042" w:rsidRPr="00F567E1" w:rsidRDefault="00312042" w:rsidP="00CB7E8A">
            <w:pPr>
              <w:spacing w:before="40" w:after="40"/>
              <w:rPr>
                <w:sz w:val="18"/>
                <w:szCs w:val="18"/>
                <w:lang w:val="es-ES_tradnl"/>
              </w:rPr>
            </w:pPr>
            <w:r w:rsidRPr="00F567E1">
              <w:rPr>
                <w:color w:val="000000"/>
                <w:sz w:val="18"/>
                <w:szCs w:val="18"/>
                <w:lang w:val="es-ES_tradnl"/>
              </w:rPr>
              <w:t>11.1. Gestión general*</w:t>
            </w:r>
          </w:p>
        </w:tc>
        <w:tc>
          <w:tcPr>
            <w:tcW w:w="1275" w:type="dxa"/>
            <w:noWrap/>
            <w:vAlign w:val="center"/>
            <w:hideMark/>
          </w:tcPr>
          <w:p w14:paraId="1E419AB5" w14:textId="0BA5467B" w:rsidR="00312042" w:rsidRPr="00F567E1" w:rsidRDefault="00312042" w:rsidP="00CB7E8A">
            <w:pPr>
              <w:spacing w:before="40" w:after="40"/>
              <w:jc w:val="right"/>
              <w:rPr>
                <w:sz w:val="18"/>
                <w:szCs w:val="18"/>
                <w:lang w:val="es-ES_tradnl"/>
              </w:rPr>
            </w:pPr>
            <w:r w:rsidRPr="00F567E1">
              <w:rPr>
                <w:color w:val="000000"/>
                <w:sz w:val="18"/>
                <w:szCs w:val="18"/>
                <w:lang w:val="es-ES_tradnl"/>
              </w:rPr>
              <w:t>2</w:t>
            </w:r>
            <w:r w:rsidR="00BA11CE" w:rsidRPr="00F567E1">
              <w:rPr>
                <w:color w:val="000000"/>
                <w:sz w:val="18"/>
                <w:szCs w:val="18"/>
                <w:lang w:val="es-ES_tradnl"/>
              </w:rPr>
              <w:t> </w:t>
            </w:r>
            <w:r w:rsidRPr="00F567E1">
              <w:rPr>
                <w:color w:val="000000"/>
                <w:sz w:val="18"/>
                <w:szCs w:val="18"/>
                <w:lang w:val="es-ES_tradnl"/>
              </w:rPr>
              <w:t>724</w:t>
            </w:r>
            <w:r w:rsidR="00BA11CE" w:rsidRPr="00F567E1">
              <w:rPr>
                <w:color w:val="000000"/>
                <w:sz w:val="18"/>
                <w:szCs w:val="18"/>
                <w:lang w:val="es-ES_tradnl"/>
              </w:rPr>
              <w:t> </w:t>
            </w:r>
            <w:r w:rsidRPr="00F567E1">
              <w:rPr>
                <w:color w:val="000000"/>
                <w:sz w:val="18"/>
                <w:szCs w:val="18"/>
                <w:lang w:val="es-ES_tradnl"/>
              </w:rPr>
              <w:t>996</w:t>
            </w:r>
          </w:p>
        </w:tc>
        <w:tc>
          <w:tcPr>
            <w:tcW w:w="1134" w:type="dxa"/>
            <w:noWrap/>
            <w:vAlign w:val="center"/>
            <w:hideMark/>
          </w:tcPr>
          <w:p w14:paraId="55D8DEB4" w14:textId="53B828B2" w:rsidR="00312042" w:rsidRPr="00F567E1" w:rsidRDefault="00312042" w:rsidP="00CB7E8A">
            <w:pPr>
              <w:spacing w:before="40" w:after="40"/>
              <w:jc w:val="right"/>
              <w:rPr>
                <w:sz w:val="18"/>
                <w:szCs w:val="18"/>
                <w:lang w:val="es-ES_tradnl"/>
              </w:rPr>
            </w:pPr>
            <w:r w:rsidRPr="00F567E1">
              <w:rPr>
                <w:color w:val="000000"/>
                <w:sz w:val="18"/>
                <w:szCs w:val="18"/>
                <w:lang w:val="es-ES_tradnl"/>
              </w:rPr>
              <w:t>2</w:t>
            </w:r>
            <w:r w:rsidR="00BA11CE" w:rsidRPr="00F567E1">
              <w:rPr>
                <w:color w:val="000000"/>
                <w:sz w:val="18"/>
                <w:szCs w:val="18"/>
                <w:lang w:val="es-ES_tradnl"/>
              </w:rPr>
              <w:t> </w:t>
            </w:r>
            <w:r w:rsidRPr="00F567E1">
              <w:rPr>
                <w:color w:val="000000"/>
                <w:sz w:val="18"/>
                <w:szCs w:val="18"/>
                <w:lang w:val="es-ES_tradnl"/>
              </w:rPr>
              <w:t>692</w:t>
            </w:r>
            <w:r w:rsidR="00BA11CE" w:rsidRPr="00F567E1">
              <w:rPr>
                <w:color w:val="000000"/>
                <w:sz w:val="18"/>
                <w:szCs w:val="18"/>
                <w:lang w:val="es-ES_tradnl"/>
              </w:rPr>
              <w:t> </w:t>
            </w:r>
            <w:r w:rsidRPr="00F567E1">
              <w:rPr>
                <w:color w:val="000000"/>
                <w:sz w:val="18"/>
                <w:szCs w:val="18"/>
                <w:lang w:val="es-ES_tradnl"/>
              </w:rPr>
              <w:t>495</w:t>
            </w:r>
          </w:p>
        </w:tc>
        <w:tc>
          <w:tcPr>
            <w:tcW w:w="1276" w:type="dxa"/>
            <w:noWrap/>
            <w:vAlign w:val="center"/>
            <w:hideMark/>
          </w:tcPr>
          <w:p w14:paraId="7BE48E22" w14:textId="0C97472B" w:rsidR="00312042" w:rsidRPr="00F567E1" w:rsidRDefault="00312042" w:rsidP="00CB7E8A">
            <w:pPr>
              <w:spacing w:before="40" w:after="40"/>
              <w:jc w:val="right"/>
              <w:rPr>
                <w:sz w:val="18"/>
                <w:szCs w:val="18"/>
                <w:lang w:val="es-ES_tradnl"/>
              </w:rPr>
            </w:pPr>
            <w:r w:rsidRPr="00F567E1">
              <w:rPr>
                <w:color w:val="000000"/>
                <w:sz w:val="18"/>
                <w:szCs w:val="18"/>
                <w:lang w:val="es-ES_tradnl"/>
              </w:rPr>
              <w:t>5</w:t>
            </w:r>
            <w:r w:rsidR="00F32374" w:rsidRPr="00F567E1">
              <w:rPr>
                <w:color w:val="000000"/>
                <w:sz w:val="18"/>
                <w:szCs w:val="18"/>
                <w:lang w:val="es-ES_tradnl"/>
              </w:rPr>
              <w:t> </w:t>
            </w:r>
            <w:r w:rsidRPr="00F567E1">
              <w:rPr>
                <w:color w:val="000000"/>
                <w:sz w:val="18"/>
                <w:szCs w:val="18"/>
                <w:lang w:val="es-ES_tradnl"/>
              </w:rPr>
              <w:t>417</w:t>
            </w:r>
            <w:r w:rsidR="00F32374" w:rsidRPr="00F567E1">
              <w:rPr>
                <w:color w:val="000000"/>
                <w:sz w:val="18"/>
                <w:szCs w:val="18"/>
                <w:lang w:val="es-ES_tradnl"/>
              </w:rPr>
              <w:t> </w:t>
            </w:r>
            <w:r w:rsidRPr="00F567E1">
              <w:rPr>
                <w:color w:val="000000"/>
                <w:sz w:val="18"/>
                <w:szCs w:val="18"/>
                <w:lang w:val="es-ES_tradnl"/>
              </w:rPr>
              <w:t>491</w:t>
            </w:r>
          </w:p>
        </w:tc>
        <w:tc>
          <w:tcPr>
            <w:tcW w:w="1134" w:type="dxa"/>
            <w:noWrap/>
            <w:vAlign w:val="center"/>
            <w:hideMark/>
          </w:tcPr>
          <w:p w14:paraId="0A2D9A07"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127AB2C5" w14:textId="77777777" w:rsidR="00312042" w:rsidRPr="00F567E1" w:rsidRDefault="00312042" w:rsidP="00CB7E8A">
            <w:pPr>
              <w:spacing w:before="40" w:after="40"/>
              <w:jc w:val="right"/>
              <w:rPr>
                <w:sz w:val="18"/>
                <w:szCs w:val="18"/>
                <w:lang w:val="es-ES_tradnl"/>
              </w:rPr>
            </w:pPr>
          </w:p>
        </w:tc>
        <w:tc>
          <w:tcPr>
            <w:tcW w:w="1245" w:type="dxa"/>
            <w:noWrap/>
            <w:vAlign w:val="center"/>
            <w:hideMark/>
          </w:tcPr>
          <w:p w14:paraId="0828FA33" w14:textId="77777777" w:rsidR="00312042" w:rsidRPr="00F567E1" w:rsidRDefault="00312042" w:rsidP="00CB7E8A">
            <w:pPr>
              <w:spacing w:before="40" w:after="40"/>
              <w:jc w:val="right"/>
              <w:rPr>
                <w:sz w:val="18"/>
                <w:szCs w:val="18"/>
                <w:lang w:val="es-ES_tradnl"/>
              </w:rPr>
            </w:pPr>
          </w:p>
        </w:tc>
      </w:tr>
      <w:tr w:rsidR="00F234CD" w:rsidRPr="00F567E1" w14:paraId="764D548A" w14:textId="77777777" w:rsidTr="00C4751C">
        <w:trPr>
          <w:trHeight w:val="111"/>
          <w:jc w:val="right"/>
        </w:trPr>
        <w:tc>
          <w:tcPr>
            <w:tcW w:w="284" w:type="dxa"/>
            <w:tcBorders>
              <w:top w:val="nil"/>
            </w:tcBorders>
            <w:noWrap/>
            <w:hideMark/>
          </w:tcPr>
          <w:p w14:paraId="24C0BFBA"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tcBorders>
              <w:top w:val="nil"/>
            </w:tcBorders>
            <w:noWrap/>
            <w:vAlign w:val="center"/>
            <w:hideMark/>
          </w:tcPr>
          <w:p w14:paraId="11881179" w14:textId="77777777" w:rsidR="00312042" w:rsidRPr="00F567E1" w:rsidRDefault="00312042" w:rsidP="00CB7E8A">
            <w:pPr>
              <w:spacing w:before="40" w:after="40"/>
              <w:rPr>
                <w:sz w:val="18"/>
                <w:szCs w:val="18"/>
                <w:lang w:val="es-ES_tradnl"/>
              </w:rPr>
            </w:pPr>
            <w:r w:rsidRPr="00F567E1">
              <w:rPr>
                <w:color w:val="000000"/>
                <w:sz w:val="18"/>
                <w:szCs w:val="18"/>
                <w:lang w:val="es-ES_tradnl"/>
              </w:rPr>
              <w:t>11.2. Viajes del personal</w:t>
            </w:r>
          </w:p>
        </w:tc>
        <w:tc>
          <w:tcPr>
            <w:tcW w:w="1275" w:type="dxa"/>
            <w:tcBorders>
              <w:top w:val="nil"/>
            </w:tcBorders>
            <w:noWrap/>
            <w:vAlign w:val="center"/>
            <w:hideMark/>
          </w:tcPr>
          <w:p w14:paraId="2C130CB3" w14:textId="60A74F36" w:rsidR="00312042" w:rsidRPr="00F567E1" w:rsidRDefault="00312042" w:rsidP="00CB7E8A">
            <w:pPr>
              <w:spacing w:before="40" w:after="40"/>
              <w:jc w:val="right"/>
              <w:rPr>
                <w:sz w:val="18"/>
                <w:szCs w:val="18"/>
                <w:lang w:val="es-ES_tradnl"/>
              </w:rPr>
            </w:pPr>
            <w:r w:rsidRPr="00F567E1">
              <w:rPr>
                <w:color w:val="000000"/>
                <w:sz w:val="18"/>
                <w:szCs w:val="18"/>
                <w:lang w:val="es-ES_tradnl"/>
              </w:rPr>
              <w:t>82</w:t>
            </w:r>
            <w:r w:rsidR="00BA11CE" w:rsidRPr="00F567E1">
              <w:rPr>
                <w:color w:val="000000"/>
                <w:sz w:val="18"/>
                <w:szCs w:val="18"/>
                <w:lang w:val="es-ES_tradnl"/>
              </w:rPr>
              <w:t> </w:t>
            </w:r>
            <w:r w:rsidRPr="00F567E1">
              <w:rPr>
                <w:color w:val="000000"/>
                <w:sz w:val="18"/>
                <w:szCs w:val="18"/>
                <w:lang w:val="es-ES_tradnl"/>
              </w:rPr>
              <w:t>061</w:t>
            </w:r>
          </w:p>
        </w:tc>
        <w:tc>
          <w:tcPr>
            <w:tcW w:w="1134" w:type="dxa"/>
            <w:tcBorders>
              <w:top w:val="nil"/>
            </w:tcBorders>
            <w:noWrap/>
            <w:vAlign w:val="center"/>
            <w:hideMark/>
          </w:tcPr>
          <w:p w14:paraId="71DAFC47" w14:textId="6C7F9101" w:rsidR="00312042" w:rsidRPr="00F567E1" w:rsidRDefault="00312042" w:rsidP="00CB7E8A">
            <w:pPr>
              <w:spacing w:before="40" w:after="40"/>
              <w:jc w:val="right"/>
              <w:rPr>
                <w:sz w:val="18"/>
                <w:szCs w:val="18"/>
                <w:lang w:val="es-ES_tradnl"/>
              </w:rPr>
            </w:pPr>
            <w:r w:rsidRPr="00F567E1">
              <w:rPr>
                <w:color w:val="000000"/>
                <w:sz w:val="18"/>
                <w:szCs w:val="18"/>
                <w:lang w:val="es-ES_tradnl"/>
              </w:rPr>
              <w:t>100</w:t>
            </w:r>
            <w:r w:rsidR="00BA11CE" w:rsidRPr="00F567E1">
              <w:rPr>
                <w:color w:val="000000"/>
                <w:sz w:val="18"/>
                <w:szCs w:val="18"/>
                <w:lang w:val="es-ES_tradnl"/>
              </w:rPr>
              <w:t> </w:t>
            </w:r>
            <w:r w:rsidRPr="00F567E1">
              <w:rPr>
                <w:color w:val="000000"/>
                <w:sz w:val="18"/>
                <w:szCs w:val="18"/>
                <w:lang w:val="es-ES_tradnl"/>
              </w:rPr>
              <w:t>000</w:t>
            </w:r>
          </w:p>
        </w:tc>
        <w:tc>
          <w:tcPr>
            <w:tcW w:w="1276" w:type="dxa"/>
            <w:tcBorders>
              <w:top w:val="nil"/>
            </w:tcBorders>
            <w:noWrap/>
            <w:vAlign w:val="center"/>
            <w:hideMark/>
          </w:tcPr>
          <w:p w14:paraId="790D140B" w14:textId="6A579CE7" w:rsidR="00312042" w:rsidRPr="00F567E1" w:rsidRDefault="00312042" w:rsidP="00CB7E8A">
            <w:pPr>
              <w:spacing w:before="40" w:after="40"/>
              <w:jc w:val="right"/>
              <w:rPr>
                <w:sz w:val="18"/>
                <w:szCs w:val="18"/>
                <w:lang w:val="es-ES_tradnl"/>
              </w:rPr>
            </w:pPr>
            <w:r w:rsidRPr="00F567E1">
              <w:rPr>
                <w:color w:val="000000"/>
                <w:sz w:val="18"/>
                <w:szCs w:val="18"/>
                <w:lang w:val="es-ES_tradnl"/>
              </w:rPr>
              <w:t>182</w:t>
            </w:r>
            <w:r w:rsidR="003027F0" w:rsidRPr="00F567E1">
              <w:rPr>
                <w:color w:val="000000"/>
                <w:sz w:val="18"/>
                <w:szCs w:val="18"/>
                <w:lang w:val="es-ES_tradnl"/>
              </w:rPr>
              <w:t> </w:t>
            </w:r>
            <w:r w:rsidRPr="00F567E1">
              <w:rPr>
                <w:color w:val="000000"/>
                <w:sz w:val="18"/>
                <w:szCs w:val="18"/>
                <w:lang w:val="es-ES_tradnl"/>
              </w:rPr>
              <w:t>061</w:t>
            </w:r>
          </w:p>
        </w:tc>
        <w:tc>
          <w:tcPr>
            <w:tcW w:w="1134" w:type="dxa"/>
            <w:tcBorders>
              <w:top w:val="nil"/>
            </w:tcBorders>
            <w:noWrap/>
            <w:vAlign w:val="center"/>
            <w:hideMark/>
          </w:tcPr>
          <w:p w14:paraId="05C6EBB3"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3B4CF5B0"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127A3B9B" w14:textId="77777777" w:rsidR="00312042" w:rsidRPr="00F567E1" w:rsidRDefault="00312042" w:rsidP="00CB7E8A">
            <w:pPr>
              <w:spacing w:before="40" w:after="40"/>
              <w:jc w:val="right"/>
              <w:rPr>
                <w:sz w:val="18"/>
                <w:szCs w:val="18"/>
                <w:lang w:val="es-ES_tradnl"/>
              </w:rPr>
            </w:pPr>
          </w:p>
        </w:tc>
      </w:tr>
      <w:tr w:rsidR="00F234CD" w:rsidRPr="00F567E1" w14:paraId="3BF1F913" w14:textId="77777777" w:rsidTr="009A58EE">
        <w:trPr>
          <w:trHeight w:val="315"/>
          <w:jc w:val="right"/>
        </w:trPr>
        <w:tc>
          <w:tcPr>
            <w:tcW w:w="7230" w:type="dxa"/>
            <w:gridSpan w:val="2"/>
            <w:shd w:val="clear" w:color="000000" w:fill="B4C6E7"/>
            <w:noWrap/>
            <w:vAlign w:val="center"/>
            <w:hideMark/>
          </w:tcPr>
          <w:p w14:paraId="0FB12AEC"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11.</w:t>
            </w:r>
            <w:r w:rsidRPr="00F567E1">
              <w:rPr>
                <w:color w:val="000000"/>
                <w:sz w:val="18"/>
                <w:szCs w:val="18"/>
                <w:lang w:val="es-ES_tradnl"/>
              </w:rPr>
              <w:t xml:space="preserve"> </w:t>
            </w:r>
            <w:r w:rsidRPr="00F567E1">
              <w:rPr>
                <w:b/>
                <w:bCs/>
                <w:color w:val="000000"/>
                <w:sz w:val="18"/>
                <w:szCs w:val="18"/>
                <w:lang w:val="es-ES_tradnl"/>
              </w:rPr>
              <w:t>Dirección y gestión ejecutivas</w:t>
            </w:r>
          </w:p>
        </w:tc>
        <w:tc>
          <w:tcPr>
            <w:tcW w:w="1275" w:type="dxa"/>
            <w:shd w:val="clear" w:color="000000" w:fill="B4C6E7"/>
            <w:noWrap/>
            <w:vAlign w:val="center"/>
            <w:hideMark/>
          </w:tcPr>
          <w:p w14:paraId="1AC84BB8" w14:textId="72876B20"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w:t>
            </w:r>
            <w:r w:rsidR="00F32374" w:rsidRPr="00F567E1">
              <w:rPr>
                <w:b/>
                <w:bCs/>
                <w:color w:val="000000"/>
                <w:sz w:val="18"/>
                <w:szCs w:val="18"/>
                <w:lang w:val="es-ES_tradnl"/>
              </w:rPr>
              <w:t> </w:t>
            </w:r>
            <w:r w:rsidRPr="00F567E1">
              <w:rPr>
                <w:b/>
                <w:bCs/>
                <w:color w:val="000000"/>
                <w:sz w:val="18"/>
                <w:szCs w:val="18"/>
                <w:lang w:val="es-ES_tradnl"/>
              </w:rPr>
              <w:t>807</w:t>
            </w:r>
            <w:r w:rsidR="00F32374" w:rsidRPr="00F567E1">
              <w:rPr>
                <w:b/>
                <w:bCs/>
                <w:color w:val="000000"/>
                <w:sz w:val="18"/>
                <w:szCs w:val="18"/>
                <w:lang w:val="es-ES_tradnl"/>
              </w:rPr>
              <w:t> </w:t>
            </w:r>
            <w:r w:rsidRPr="00F567E1">
              <w:rPr>
                <w:b/>
                <w:bCs/>
                <w:color w:val="000000"/>
                <w:sz w:val="18"/>
                <w:szCs w:val="18"/>
                <w:lang w:val="es-ES_tradnl"/>
              </w:rPr>
              <w:t>057</w:t>
            </w:r>
          </w:p>
        </w:tc>
        <w:tc>
          <w:tcPr>
            <w:tcW w:w="1134" w:type="dxa"/>
            <w:shd w:val="clear" w:color="000000" w:fill="B4C6E7"/>
            <w:noWrap/>
            <w:vAlign w:val="center"/>
            <w:hideMark/>
          </w:tcPr>
          <w:p w14:paraId="110D9D3A" w14:textId="309F73CC"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w:t>
            </w:r>
            <w:r w:rsidR="00BA11CE" w:rsidRPr="00F567E1">
              <w:rPr>
                <w:b/>
                <w:bCs/>
                <w:color w:val="000000"/>
                <w:sz w:val="18"/>
                <w:szCs w:val="18"/>
                <w:lang w:val="es-ES_tradnl"/>
              </w:rPr>
              <w:t> </w:t>
            </w:r>
            <w:r w:rsidRPr="00F567E1">
              <w:rPr>
                <w:b/>
                <w:bCs/>
                <w:color w:val="000000"/>
                <w:sz w:val="18"/>
                <w:szCs w:val="18"/>
                <w:lang w:val="es-ES_tradnl"/>
              </w:rPr>
              <w:t>792</w:t>
            </w:r>
            <w:r w:rsidR="00BA11CE" w:rsidRPr="00F567E1">
              <w:rPr>
                <w:b/>
                <w:bCs/>
                <w:color w:val="000000"/>
                <w:sz w:val="18"/>
                <w:szCs w:val="18"/>
                <w:lang w:val="es-ES_tradnl"/>
              </w:rPr>
              <w:t> </w:t>
            </w:r>
            <w:r w:rsidRPr="00F567E1">
              <w:rPr>
                <w:b/>
                <w:bCs/>
                <w:color w:val="000000"/>
                <w:sz w:val="18"/>
                <w:szCs w:val="18"/>
                <w:lang w:val="es-ES_tradnl"/>
              </w:rPr>
              <w:t>495</w:t>
            </w:r>
          </w:p>
        </w:tc>
        <w:tc>
          <w:tcPr>
            <w:tcW w:w="1276" w:type="dxa"/>
            <w:shd w:val="clear" w:color="000000" w:fill="B4C6E7"/>
            <w:noWrap/>
            <w:vAlign w:val="center"/>
            <w:hideMark/>
          </w:tcPr>
          <w:p w14:paraId="52556335" w14:textId="3E696121"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5</w:t>
            </w:r>
            <w:r w:rsidR="00BA11CE" w:rsidRPr="00F567E1">
              <w:rPr>
                <w:b/>
                <w:bCs/>
                <w:color w:val="000000"/>
                <w:sz w:val="18"/>
                <w:szCs w:val="18"/>
                <w:lang w:val="es-ES_tradnl"/>
              </w:rPr>
              <w:t> </w:t>
            </w:r>
            <w:r w:rsidRPr="00F567E1">
              <w:rPr>
                <w:b/>
                <w:bCs/>
                <w:color w:val="000000"/>
                <w:sz w:val="18"/>
                <w:szCs w:val="18"/>
                <w:lang w:val="es-ES_tradnl"/>
              </w:rPr>
              <w:t>599</w:t>
            </w:r>
            <w:r w:rsidR="00BA11CE" w:rsidRPr="00F567E1">
              <w:rPr>
                <w:b/>
                <w:bCs/>
                <w:color w:val="000000"/>
                <w:sz w:val="18"/>
                <w:szCs w:val="18"/>
                <w:lang w:val="es-ES_tradnl"/>
              </w:rPr>
              <w:t> </w:t>
            </w:r>
            <w:r w:rsidRPr="00F567E1">
              <w:rPr>
                <w:b/>
                <w:bCs/>
                <w:color w:val="000000"/>
                <w:sz w:val="18"/>
                <w:szCs w:val="18"/>
                <w:lang w:val="es-ES_tradnl"/>
              </w:rPr>
              <w:t>552</w:t>
            </w:r>
          </w:p>
        </w:tc>
        <w:tc>
          <w:tcPr>
            <w:tcW w:w="1134" w:type="dxa"/>
            <w:shd w:val="clear" w:color="000000" w:fill="B4C6E7"/>
            <w:noWrap/>
            <w:vAlign w:val="center"/>
            <w:hideMark/>
          </w:tcPr>
          <w:p w14:paraId="30CBB761"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1246D6E3" w14:textId="77777777" w:rsidR="00312042" w:rsidRPr="00F567E1" w:rsidRDefault="00312042" w:rsidP="00CB7E8A">
            <w:pPr>
              <w:spacing w:before="40" w:after="40"/>
              <w:jc w:val="right"/>
              <w:rPr>
                <w:b/>
                <w:bCs/>
                <w:sz w:val="18"/>
                <w:szCs w:val="18"/>
                <w:lang w:val="es-ES_tradnl"/>
              </w:rPr>
            </w:pPr>
          </w:p>
        </w:tc>
        <w:tc>
          <w:tcPr>
            <w:tcW w:w="1245" w:type="dxa"/>
            <w:shd w:val="clear" w:color="000000" w:fill="B4C6E7"/>
            <w:noWrap/>
            <w:vAlign w:val="center"/>
            <w:hideMark/>
          </w:tcPr>
          <w:p w14:paraId="42AE835A" w14:textId="77777777" w:rsidR="00312042" w:rsidRPr="00F567E1" w:rsidRDefault="00312042" w:rsidP="00CB7E8A">
            <w:pPr>
              <w:spacing w:before="40" w:after="40"/>
              <w:jc w:val="right"/>
              <w:rPr>
                <w:b/>
                <w:bCs/>
                <w:sz w:val="18"/>
                <w:szCs w:val="18"/>
                <w:lang w:val="es-ES_tradnl"/>
              </w:rPr>
            </w:pPr>
          </w:p>
        </w:tc>
      </w:tr>
      <w:tr w:rsidR="00F234CD" w:rsidRPr="00F567E1" w14:paraId="151FFC74" w14:textId="77777777" w:rsidTr="00C4751C">
        <w:trPr>
          <w:trHeight w:val="52"/>
          <w:jc w:val="right"/>
        </w:trPr>
        <w:tc>
          <w:tcPr>
            <w:tcW w:w="7230" w:type="dxa"/>
            <w:gridSpan w:val="2"/>
            <w:noWrap/>
            <w:vAlign w:val="center"/>
            <w:hideMark/>
          </w:tcPr>
          <w:p w14:paraId="4CED1E86"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12.</w:t>
            </w:r>
            <w:r w:rsidRPr="00F567E1">
              <w:rPr>
                <w:color w:val="000000"/>
                <w:sz w:val="18"/>
                <w:szCs w:val="18"/>
                <w:lang w:val="es-ES_tradnl"/>
              </w:rPr>
              <w:t xml:space="preserve"> </w:t>
            </w:r>
            <w:r w:rsidRPr="00F567E1">
              <w:rPr>
                <w:b/>
                <w:bCs/>
                <w:color w:val="000000"/>
                <w:sz w:val="18"/>
                <w:szCs w:val="18"/>
                <w:lang w:val="es-ES_tradnl"/>
              </w:rPr>
              <w:t>Cooperación y coordinación internacionales</w:t>
            </w:r>
          </w:p>
        </w:tc>
        <w:tc>
          <w:tcPr>
            <w:tcW w:w="1275" w:type="dxa"/>
            <w:noWrap/>
            <w:vAlign w:val="center"/>
            <w:hideMark/>
          </w:tcPr>
          <w:p w14:paraId="3FB8E59A"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334D2681"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31CAE95F"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5067B86E"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361B2269"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4A03F6CD" w14:textId="77777777" w:rsidR="00312042" w:rsidRPr="00F567E1" w:rsidRDefault="00312042" w:rsidP="00CB7E8A">
            <w:pPr>
              <w:spacing w:before="40" w:after="40"/>
              <w:jc w:val="right"/>
              <w:rPr>
                <w:b/>
                <w:bCs/>
                <w:sz w:val="18"/>
                <w:szCs w:val="18"/>
                <w:lang w:val="es-ES_tradnl"/>
              </w:rPr>
            </w:pPr>
          </w:p>
        </w:tc>
      </w:tr>
      <w:tr w:rsidR="00F234CD" w:rsidRPr="00F567E1" w14:paraId="05ED90C2" w14:textId="77777777" w:rsidTr="009A58EE">
        <w:trPr>
          <w:trHeight w:val="300"/>
          <w:jc w:val="right"/>
        </w:trPr>
        <w:tc>
          <w:tcPr>
            <w:tcW w:w="284" w:type="dxa"/>
            <w:tcBorders>
              <w:top w:val="nil"/>
            </w:tcBorders>
            <w:noWrap/>
            <w:hideMark/>
          </w:tcPr>
          <w:p w14:paraId="0724A9CA"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tcBorders>
              <w:top w:val="nil"/>
            </w:tcBorders>
            <w:noWrap/>
            <w:vAlign w:val="center"/>
            <w:hideMark/>
          </w:tcPr>
          <w:p w14:paraId="24924DFA" w14:textId="77777777" w:rsidR="00312042" w:rsidRPr="00F567E1" w:rsidRDefault="00312042" w:rsidP="00CB7E8A">
            <w:pPr>
              <w:spacing w:before="40" w:after="40"/>
              <w:rPr>
                <w:sz w:val="18"/>
                <w:szCs w:val="18"/>
                <w:lang w:val="es-ES_tradnl"/>
              </w:rPr>
            </w:pPr>
            <w:r w:rsidRPr="00F567E1">
              <w:rPr>
                <w:color w:val="000000"/>
                <w:sz w:val="18"/>
                <w:szCs w:val="18"/>
                <w:lang w:val="es-ES_tradnl"/>
              </w:rPr>
              <w:t>12.1. Cooperación en el programa más general de desarrollo sostenible y medio ambiente</w:t>
            </w:r>
          </w:p>
        </w:tc>
        <w:tc>
          <w:tcPr>
            <w:tcW w:w="1275" w:type="dxa"/>
            <w:tcBorders>
              <w:top w:val="nil"/>
            </w:tcBorders>
            <w:noWrap/>
            <w:vAlign w:val="center"/>
            <w:hideMark/>
          </w:tcPr>
          <w:p w14:paraId="1BC62E03"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1CDFF9CA" w14:textId="77777777" w:rsidR="00312042" w:rsidRPr="00F567E1" w:rsidRDefault="00312042" w:rsidP="00CB7E8A">
            <w:pPr>
              <w:spacing w:before="40" w:after="40"/>
              <w:jc w:val="right"/>
              <w:rPr>
                <w:sz w:val="18"/>
                <w:szCs w:val="18"/>
                <w:lang w:val="es-ES_tradnl"/>
              </w:rPr>
            </w:pPr>
          </w:p>
        </w:tc>
        <w:tc>
          <w:tcPr>
            <w:tcW w:w="1276" w:type="dxa"/>
            <w:tcBorders>
              <w:top w:val="nil"/>
            </w:tcBorders>
            <w:noWrap/>
            <w:vAlign w:val="center"/>
            <w:hideMark/>
          </w:tcPr>
          <w:p w14:paraId="577E85E9"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2BE41915" w14:textId="2308149C" w:rsidR="00312042" w:rsidRPr="00F567E1" w:rsidRDefault="00312042" w:rsidP="00CB7E8A">
            <w:pPr>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68A30182" w14:textId="36F0D397" w:rsidR="00312042" w:rsidRPr="00F567E1" w:rsidRDefault="00312042" w:rsidP="00CB7E8A">
            <w:pPr>
              <w:spacing w:before="40" w:after="40"/>
              <w:jc w:val="right"/>
              <w:rPr>
                <w:sz w:val="18"/>
                <w:szCs w:val="18"/>
                <w:lang w:val="es-ES_tradnl"/>
              </w:rPr>
            </w:pPr>
            <w:r w:rsidRPr="00F567E1">
              <w:rPr>
                <w:color w:val="000000"/>
                <w:sz w:val="18"/>
                <w:szCs w:val="18"/>
                <w:lang w:val="es-ES_tradnl"/>
              </w:rPr>
              <w:t>50</w:t>
            </w:r>
            <w:r w:rsidR="00F32374" w:rsidRPr="00F567E1">
              <w:rPr>
                <w:color w:val="000000"/>
                <w:sz w:val="18"/>
                <w:szCs w:val="18"/>
                <w:lang w:val="es-ES_tradnl"/>
              </w:rPr>
              <w:t> </w:t>
            </w:r>
            <w:r w:rsidRPr="00F567E1">
              <w:rPr>
                <w:color w:val="000000"/>
                <w:sz w:val="18"/>
                <w:szCs w:val="18"/>
                <w:lang w:val="es-ES_tradnl"/>
              </w:rPr>
              <w:t>000</w:t>
            </w:r>
          </w:p>
        </w:tc>
        <w:tc>
          <w:tcPr>
            <w:tcW w:w="1245" w:type="dxa"/>
            <w:tcBorders>
              <w:top w:val="nil"/>
            </w:tcBorders>
            <w:noWrap/>
            <w:vAlign w:val="center"/>
            <w:hideMark/>
          </w:tcPr>
          <w:p w14:paraId="507DD1FC" w14:textId="13C4C0B7" w:rsidR="00312042" w:rsidRPr="00F567E1" w:rsidRDefault="00312042" w:rsidP="00CB7E8A">
            <w:pPr>
              <w:spacing w:before="40" w:after="40"/>
              <w:jc w:val="right"/>
              <w:rPr>
                <w:sz w:val="18"/>
                <w:szCs w:val="18"/>
                <w:lang w:val="es-ES_tradnl"/>
              </w:rPr>
            </w:pPr>
            <w:r w:rsidRPr="00F567E1">
              <w:rPr>
                <w:color w:val="000000"/>
                <w:sz w:val="18"/>
                <w:szCs w:val="18"/>
                <w:lang w:val="es-ES_tradnl"/>
              </w:rPr>
              <w:t>100</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7D68AEAB" w14:textId="77777777" w:rsidTr="00C4751C">
        <w:trPr>
          <w:trHeight w:val="86"/>
          <w:jc w:val="right"/>
        </w:trPr>
        <w:tc>
          <w:tcPr>
            <w:tcW w:w="284" w:type="dxa"/>
            <w:tcBorders>
              <w:top w:val="nil"/>
            </w:tcBorders>
            <w:noWrap/>
            <w:hideMark/>
          </w:tcPr>
          <w:p w14:paraId="05D71EA6" w14:textId="77777777" w:rsidR="00312042" w:rsidRPr="00F567E1" w:rsidRDefault="00312042" w:rsidP="00CB7E8A">
            <w:pPr>
              <w:spacing w:before="40" w:after="40"/>
              <w:rPr>
                <w:sz w:val="18"/>
                <w:szCs w:val="18"/>
                <w:lang w:val="es-ES_tradnl"/>
              </w:rPr>
            </w:pPr>
            <w:r w:rsidRPr="00F567E1">
              <w:rPr>
                <w:color w:val="000000"/>
                <w:sz w:val="18"/>
                <w:szCs w:val="18"/>
                <w:lang w:val="es-ES_tradnl"/>
              </w:rPr>
              <w:lastRenderedPageBreak/>
              <w:t> </w:t>
            </w:r>
          </w:p>
        </w:tc>
        <w:tc>
          <w:tcPr>
            <w:tcW w:w="6946" w:type="dxa"/>
            <w:tcBorders>
              <w:top w:val="nil"/>
            </w:tcBorders>
            <w:noWrap/>
            <w:vAlign w:val="center"/>
            <w:hideMark/>
          </w:tcPr>
          <w:p w14:paraId="28BF7450" w14:textId="77777777" w:rsidR="00312042" w:rsidRPr="00F567E1" w:rsidRDefault="00312042" w:rsidP="00CB7E8A">
            <w:pPr>
              <w:spacing w:before="40" w:after="40"/>
              <w:rPr>
                <w:sz w:val="18"/>
                <w:szCs w:val="18"/>
                <w:lang w:val="es-ES_tradnl"/>
              </w:rPr>
            </w:pPr>
            <w:r w:rsidRPr="00F567E1">
              <w:rPr>
                <w:color w:val="000000"/>
                <w:sz w:val="18"/>
                <w:szCs w:val="18"/>
                <w:lang w:val="es-ES_tradnl"/>
              </w:rPr>
              <w:t>12.2. Cooperación en el ámbito de los productos químicos y los desechos</w:t>
            </w:r>
          </w:p>
        </w:tc>
        <w:tc>
          <w:tcPr>
            <w:tcW w:w="1275" w:type="dxa"/>
            <w:tcBorders>
              <w:top w:val="nil"/>
            </w:tcBorders>
            <w:noWrap/>
            <w:vAlign w:val="center"/>
            <w:hideMark/>
          </w:tcPr>
          <w:p w14:paraId="53DDE8C5"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0337A0E4" w14:textId="4113FF34" w:rsidR="00312042" w:rsidRPr="00F567E1" w:rsidRDefault="00312042" w:rsidP="00CB7E8A">
            <w:pPr>
              <w:spacing w:before="40" w:after="40"/>
              <w:jc w:val="right"/>
              <w:rPr>
                <w:sz w:val="18"/>
                <w:szCs w:val="18"/>
                <w:lang w:val="es-ES_tradnl"/>
              </w:rPr>
            </w:pPr>
            <w:r w:rsidRPr="00F567E1">
              <w:rPr>
                <w:color w:val="000000"/>
                <w:sz w:val="18"/>
                <w:szCs w:val="18"/>
                <w:lang w:val="es-ES_tradnl"/>
              </w:rPr>
              <w:t>10</w:t>
            </w:r>
            <w:r w:rsidR="00BA11CE" w:rsidRPr="00F567E1">
              <w:rPr>
                <w:color w:val="000000"/>
                <w:sz w:val="18"/>
                <w:szCs w:val="18"/>
                <w:lang w:val="es-ES_tradnl"/>
              </w:rPr>
              <w:t> </w:t>
            </w:r>
            <w:r w:rsidRPr="00F567E1">
              <w:rPr>
                <w:color w:val="000000"/>
                <w:sz w:val="18"/>
                <w:szCs w:val="18"/>
                <w:lang w:val="es-ES_tradnl"/>
              </w:rPr>
              <w:t>000</w:t>
            </w:r>
          </w:p>
        </w:tc>
        <w:tc>
          <w:tcPr>
            <w:tcW w:w="1276" w:type="dxa"/>
            <w:tcBorders>
              <w:top w:val="nil"/>
            </w:tcBorders>
            <w:noWrap/>
            <w:vAlign w:val="center"/>
            <w:hideMark/>
          </w:tcPr>
          <w:p w14:paraId="0823FDB5" w14:textId="78CE4700" w:rsidR="00312042" w:rsidRPr="00F567E1" w:rsidRDefault="00312042" w:rsidP="00CB7E8A">
            <w:pPr>
              <w:spacing w:before="40" w:after="40"/>
              <w:jc w:val="right"/>
              <w:rPr>
                <w:sz w:val="18"/>
                <w:szCs w:val="18"/>
                <w:lang w:val="es-ES_tradnl"/>
              </w:rPr>
            </w:pPr>
            <w:r w:rsidRPr="00F567E1">
              <w:rPr>
                <w:color w:val="000000"/>
                <w:sz w:val="18"/>
                <w:szCs w:val="18"/>
                <w:lang w:val="es-ES_tradnl"/>
              </w:rPr>
              <w:t>10</w:t>
            </w:r>
            <w:r w:rsidR="001921C8"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67C8C90B"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1CD595FD"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48E7BDC9" w14:textId="77777777" w:rsidR="00312042" w:rsidRPr="00F567E1" w:rsidRDefault="00312042" w:rsidP="00CB7E8A">
            <w:pPr>
              <w:spacing w:before="40" w:after="40"/>
              <w:jc w:val="right"/>
              <w:rPr>
                <w:sz w:val="18"/>
                <w:szCs w:val="18"/>
                <w:lang w:val="es-ES_tradnl"/>
              </w:rPr>
            </w:pPr>
          </w:p>
        </w:tc>
      </w:tr>
      <w:tr w:rsidR="00F234CD" w:rsidRPr="00F567E1" w14:paraId="254616B0" w14:textId="77777777" w:rsidTr="00C4751C">
        <w:trPr>
          <w:trHeight w:val="52"/>
          <w:jc w:val="right"/>
        </w:trPr>
        <w:tc>
          <w:tcPr>
            <w:tcW w:w="284" w:type="dxa"/>
            <w:tcBorders>
              <w:top w:val="nil"/>
            </w:tcBorders>
            <w:noWrap/>
            <w:hideMark/>
          </w:tcPr>
          <w:p w14:paraId="3401D07B"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tcBorders>
              <w:top w:val="nil"/>
            </w:tcBorders>
            <w:noWrap/>
            <w:vAlign w:val="center"/>
            <w:hideMark/>
          </w:tcPr>
          <w:p w14:paraId="44A7C9FD" w14:textId="77777777" w:rsidR="00312042" w:rsidRPr="00F567E1" w:rsidRDefault="00312042" w:rsidP="00CB7E8A">
            <w:pPr>
              <w:spacing w:before="40" w:after="40"/>
              <w:rPr>
                <w:sz w:val="18"/>
                <w:szCs w:val="18"/>
                <w:lang w:val="es-ES_tradnl"/>
              </w:rPr>
            </w:pPr>
            <w:r w:rsidRPr="00F567E1">
              <w:rPr>
                <w:color w:val="000000"/>
                <w:sz w:val="18"/>
                <w:szCs w:val="18"/>
                <w:lang w:val="es-ES_tradnl"/>
              </w:rPr>
              <w:t>12.3. Otras formas de cooperación y coordinación</w:t>
            </w:r>
          </w:p>
        </w:tc>
        <w:tc>
          <w:tcPr>
            <w:tcW w:w="1275" w:type="dxa"/>
            <w:tcBorders>
              <w:top w:val="nil"/>
            </w:tcBorders>
            <w:noWrap/>
            <w:vAlign w:val="center"/>
            <w:hideMark/>
          </w:tcPr>
          <w:p w14:paraId="73FCB770"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41163D4C" w14:textId="77777777" w:rsidR="00312042" w:rsidRPr="00F567E1" w:rsidRDefault="00312042" w:rsidP="00CB7E8A">
            <w:pPr>
              <w:spacing w:before="40" w:after="40"/>
              <w:jc w:val="right"/>
              <w:rPr>
                <w:sz w:val="18"/>
                <w:szCs w:val="18"/>
                <w:lang w:val="es-ES_tradnl"/>
              </w:rPr>
            </w:pPr>
          </w:p>
        </w:tc>
        <w:tc>
          <w:tcPr>
            <w:tcW w:w="1276" w:type="dxa"/>
            <w:tcBorders>
              <w:top w:val="nil"/>
            </w:tcBorders>
            <w:noWrap/>
            <w:vAlign w:val="center"/>
            <w:hideMark/>
          </w:tcPr>
          <w:p w14:paraId="0D3A5EF6"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1359A863"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719D8719"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4354BF92" w14:textId="77777777" w:rsidR="00312042" w:rsidRPr="00F567E1" w:rsidRDefault="00312042" w:rsidP="00CB7E8A">
            <w:pPr>
              <w:spacing w:before="40" w:after="40"/>
              <w:jc w:val="right"/>
              <w:rPr>
                <w:sz w:val="18"/>
                <w:szCs w:val="18"/>
                <w:lang w:val="es-ES_tradnl"/>
              </w:rPr>
            </w:pPr>
          </w:p>
        </w:tc>
      </w:tr>
      <w:tr w:rsidR="00F234CD" w:rsidRPr="00F567E1" w14:paraId="07BC3A57" w14:textId="77777777" w:rsidTr="00C4751C">
        <w:trPr>
          <w:trHeight w:val="93"/>
          <w:jc w:val="right"/>
        </w:trPr>
        <w:tc>
          <w:tcPr>
            <w:tcW w:w="7230" w:type="dxa"/>
            <w:gridSpan w:val="2"/>
            <w:shd w:val="clear" w:color="000000" w:fill="B4C6E7"/>
            <w:noWrap/>
            <w:vAlign w:val="center"/>
            <w:hideMark/>
          </w:tcPr>
          <w:p w14:paraId="0CE11ED4"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12.</w:t>
            </w:r>
            <w:r w:rsidRPr="00F567E1">
              <w:rPr>
                <w:color w:val="000000"/>
                <w:sz w:val="18"/>
                <w:szCs w:val="18"/>
                <w:lang w:val="es-ES_tradnl"/>
              </w:rPr>
              <w:t xml:space="preserve"> </w:t>
            </w:r>
            <w:r w:rsidRPr="00F567E1">
              <w:rPr>
                <w:b/>
                <w:bCs/>
                <w:color w:val="000000"/>
                <w:sz w:val="18"/>
                <w:szCs w:val="18"/>
                <w:lang w:val="es-ES_tradnl"/>
              </w:rPr>
              <w:t>Cooperación y coordinación internacionales</w:t>
            </w:r>
          </w:p>
        </w:tc>
        <w:tc>
          <w:tcPr>
            <w:tcW w:w="1275" w:type="dxa"/>
            <w:shd w:val="clear" w:color="000000" w:fill="B4C6E7"/>
            <w:noWrap/>
            <w:vAlign w:val="center"/>
            <w:hideMark/>
          </w:tcPr>
          <w:p w14:paraId="33686A08"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47B88587" w14:textId="216386AC"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10</w:t>
            </w:r>
            <w:r w:rsidR="00BA11CE" w:rsidRPr="00F567E1">
              <w:rPr>
                <w:b/>
                <w:bCs/>
                <w:color w:val="000000"/>
                <w:sz w:val="18"/>
                <w:szCs w:val="18"/>
                <w:lang w:val="es-ES_tradnl"/>
              </w:rPr>
              <w:t> </w:t>
            </w:r>
            <w:r w:rsidRPr="00F567E1">
              <w:rPr>
                <w:b/>
                <w:bCs/>
                <w:color w:val="000000"/>
                <w:sz w:val="18"/>
                <w:szCs w:val="18"/>
                <w:lang w:val="es-ES_tradnl"/>
              </w:rPr>
              <w:t>000</w:t>
            </w:r>
          </w:p>
        </w:tc>
        <w:tc>
          <w:tcPr>
            <w:tcW w:w="1276" w:type="dxa"/>
            <w:shd w:val="clear" w:color="000000" w:fill="B4C6E7"/>
            <w:noWrap/>
            <w:vAlign w:val="center"/>
            <w:hideMark/>
          </w:tcPr>
          <w:p w14:paraId="0CE776F8" w14:textId="5DB7660C"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10</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26CBC34A" w14:textId="3040E59D"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50</w:t>
            </w:r>
            <w:r w:rsidR="003027F0"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720FB463" w14:textId="03511F92"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50</w:t>
            </w:r>
            <w:r w:rsidR="003027F0" w:rsidRPr="00F567E1">
              <w:rPr>
                <w:b/>
                <w:bCs/>
                <w:color w:val="000000"/>
                <w:sz w:val="18"/>
                <w:szCs w:val="18"/>
                <w:lang w:val="es-ES_tradnl"/>
              </w:rPr>
              <w:t> </w:t>
            </w:r>
            <w:r w:rsidRPr="00F567E1">
              <w:rPr>
                <w:b/>
                <w:bCs/>
                <w:color w:val="000000"/>
                <w:sz w:val="18"/>
                <w:szCs w:val="18"/>
                <w:lang w:val="es-ES_tradnl"/>
              </w:rPr>
              <w:t>000</w:t>
            </w:r>
          </w:p>
        </w:tc>
        <w:tc>
          <w:tcPr>
            <w:tcW w:w="1245" w:type="dxa"/>
            <w:shd w:val="clear" w:color="000000" w:fill="B4C6E7"/>
            <w:noWrap/>
            <w:vAlign w:val="center"/>
            <w:hideMark/>
          </w:tcPr>
          <w:p w14:paraId="5F88373E" w14:textId="378A7CA5"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100</w:t>
            </w:r>
            <w:r w:rsidR="003027F0" w:rsidRPr="00F567E1">
              <w:rPr>
                <w:b/>
                <w:bCs/>
                <w:color w:val="000000"/>
                <w:sz w:val="18"/>
                <w:szCs w:val="18"/>
                <w:lang w:val="es-ES_tradnl"/>
              </w:rPr>
              <w:t> </w:t>
            </w:r>
            <w:r w:rsidRPr="00F567E1">
              <w:rPr>
                <w:b/>
                <w:bCs/>
                <w:color w:val="000000"/>
                <w:sz w:val="18"/>
                <w:szCs w:val="18"/>
                <w:lang w:val="es-ES_tradnl"/>
              </w:rPr>
              <w:t>000</w:t>
            </w:r>
          </w:p>
        </w:tc>
      </w:tr>
      <w:tr w:rsidR="00F234CD" w:rsidRPr="00F567E1" w14:paraId="72CBFD00" w14:textId="77777777" w:rsidTr="00C4751C">
        <w:trPr>
          <w:trHeight w:val="52"/>
          <w:jc w:val="right"/>
        </w:trPr>
        <w:tc>
          <w:tcPr>
            <w:tcW w:w="7230" w:type="dxa"/>
            <w:gridSpan w:val="2"/>
            <w:noWrap/>
            <w:vAlign w:val="center"/>
            <w:hideMark/>
          </w:tcPr>
          <w:p w14:paraId="5B16D5E6" w14:textId="6D347A32" w:rsidR="00312042" w:rsidRPr="00F567E1" w:rsidRDefault="00312042" w:rsidP="00CB7E8A">
            <w:pPr>
              <w:spacing w:before="40" w:after="40"/>
              <w:rPr>
                <w:b/>
                <w:bCs/>
                <w:sz w:val="18"/>
                <w:szCs w:val="18"/>
                <w:lang w:val="es-ES_tradnl"/>
              </w:rPr>
            </w:pPr>
            <w:r w:rsidRPr="00F567E1">
              <w:rPr>
                <w:b/>
                <w:bCs/>
                <w:color w:val="000000"/>
                <w:sz w:val="18"/>
                <w:szCs w:val="18"/>
                <w:lang w:val="es-ES_tradnl"/>
              </w:rPr>
              <w:t>13.</w:t>
            </w:r>
            <w:r w:rsidRPr="00F567E1">
              <w:rPr>
                <w:color w:val="000000"/>
                <w:sz w:val="18"/>
                <w:szCs w:val="18"/>
                <w:lang w:val="es-ES_tradnl"/>
              </w:rPr>
              <w:t xml:space="preserve"> </w:t>
            </w:r>
            <w:r w:rsidRPr="00F567E1">
              <w:rPr>
                <w:b/>
                <w:bCs/>
                <w:color w:val="000000"/>
                <w:sz w:val="18"/>
                <w:szCs w:val="18"/>
                <w:lang w:val="es-ES_tradnl"/>
              </w:rPr>
              <w:t>Recursos financieros y mecanismo financiero</w:t>
            </w:r>
          </w:p>
        </w:tc>
        <w:tc>
          <w:tcPr>
            <w:tcW w:w="1275" w:type="dxa"/>
            <w:noWrap/>
            <w:vAlign w:val="center"/>
            <w:hideMark/>
          </w:tcPr>
          <w:p w14:paraId="1618BE89"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4E524969"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45D73176"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6B91606B"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432CDFEF"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2B979F6E" w14:textId="77777777" w:rsidR="00312042" w:rsidRPr="00F567E1" w:rsidRDefault="00312042" w:rsidP="00CB7E8A">
            <w:pPr>
              <w:spacing w:before="40" w:after="40"/>
              <w:jc w:val="right"/>
              <w:rPr>
                <w:b/>
                <w:bCs/>
                <w:sz w:val="18"/>
                <w:szCs w:val="18"/>
                <w:lang w:val="es-ES_tradnl"/>
              </w:rPr>
            </w:pPr>
          </w:p>
        </w:tc>
      </w:tr>
      <w:tr w:rsidR="00F234CD" w:rsidRPr="00F567E1" w14:paraId="3E3E0C9D" w14:textId="77777777" w:rsidTr="00C4751C">
        <w:trPr>
          <w:trHeight w:val="52"/>
          <w:jc w:val="right"/>
        </w:trPr>
        <w:tc>
          <w:tcPr>
            <w:tcW w:w="284" w:type="dxa"/>
            <w:noWrap/>
            <w:hideMark/>
          </w:tcPr>
          <w:p w14:paraId="16B5D221"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noWrap/>
            <w:vAlign w:val="center"/>
            <w:hideMark/>
          </w:tcPr>
          <w:p w14:paraId="584AE978" w14:textId="77777777" w:rsidR="00312042" w:rsidRPr="00F567E1" w:rsidRDefault="00312042" w:rsidP="00CB7E8A">
            <w:pPr>
              <w:spacing w:before="40" w:after="40"/>
              <w:rPr>
                <w:sz w:val="18"/>
                <w:szCs w:val="18"/>
                <w:lang w:val="es-ES_tradnl"/>
              </w:rPr>
            </w:pPr>
            <w:r w:rsidRPr="00F567E1">
              <w:rPr>
                <w:color w:val="000000"/>
                <w:sz w:val="18"/>
                <w:szCs w:val="18"/>
                <w:lang w:val="es-ES_tradnl"/>
              </w:rPr>
              <w:t>13.1. Recursos financieros</w:t>
            </w:r>
          </w:p>
        </w:tc>
        <w:tc>
          <w:tcPr>
            <w:tcW w:w="1275" w:type="dxa"/>
            <w:noWrap/>
            <w:vAlign w:val="center"/>
            <w:hideMark/>
          </w:tcPr>
          <w:p w14:paraId="4CEB843F" w14:textId="35F83BEC" w:rsidR="00312042" w:rsidRPr="00F567E1" w:rsidRDefault="00312042" w:rsidP="00CB7E8A">
            <w:pPr>
              <w:spacing w:before="40" w:after="40"/>
              <w:jc w:val="right"/>
              <w:rPr>
                <w:sz w:val="18"/>
                <w:szCs w:val="18"/>
                <w:lang w:val="es-ES_tradnl"/>
              </w:rPr>
            </w:pPr>
            <w:r w:rsidRPr="00F567E1">
              <w:rPr>
                <w:color w:val="000000"/>
                <w:sz w:val="18"/>
                <w:szCs w:val="18"/>
                <w:lang w:val="es-ES_tradnl"/>
              </w:rPr>
              <w:t>30</w:t>
            </w:r>
            <w:r w:rsidR="00BA11CE"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023D550F"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05F4D0B5" w14:textId="74CA6979" w:rsidR="00312042" w:rsidRPr="00F567E1" w:rsidRDefault="00312042" w:rsidP="00CB7E8A">
            <w:pPr>
              <w:spacing w:before="40" w:after="40"/>
              <w:jc w:val="right"/>
              <w:rPr>
                <w:sz w:val="18"/>
                <w:szCs w:val="18"/>
                <w:lang w:val="es-ES_tradnl"/>
              </w:rPr>
            </w:pPr>
            <w:r w:rsidRPr="00F567E1">
              <w:rPr>
                <w:color w:val="000000"/>
                <w:sz w:val="18"/>
                <w:szCs w:val="18"/>
                <w:lang w:val="es-ES_tradnl"/>
              </w:rPr>
              <w:t>30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1BF76256" w14:textId="0ED136C8" w:rsidR="00312042" w:rsidRPr="00F567E1" w:rsidRDefault="00312042" w:rsidP="00CB7E8A">
            <w:pPr>
              <w:spacing w:before="40" w:after="40"/>
              <w:jc w:val="right"/>
              <w:rPr>
                <w:sz w:val="18"/>
                <w:szCs w:val="18"/>
                <w:lang w:val="es-ES_tradnl"/>
              </w:rPr>
            </w:pPr>
            <w:r w:rsidRPr="00F567E1">
              <w:rPr>
                <w:color w:val="000000"/>
                <w:sz w:val="18"/>
                <w:szCs w:val="18"/>
                <w:lang w:val="es-ES_tradnl"/>
              </w:rPr>
              <w:t>24</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7C8438A6" w14:textId="77777777" w:rsidR="00312042" w:rsidRPr="00F567E1" w:rsidRDefault="00312042" w:rsidP="00CB7E8A">
            <w:pPr>
              <w:spacing w:before="40" w:after="40"/>
              <w:jc w:val="right"/>
              <w:rPr>
                <w:sz w:val="18"/>
                <w:szCs w:val="18"/>
                <w:lang w:val="es-ES_tradnl"/>
              </w:rPr>
            </w:pPr>
          </w:p>
        </w:tc>
        <w:tc>
          <w:tcPr>
            <w:tcW w:w="1245" w:type="dxa"/>
            <w:noWrap/>
            <w:vAlign w:val="center"/>
            <w:hideMark/>
          </w:tcPr>
          <w:p w14:paraId="777E2AD4" w14:textId="31136253" w:rsidR="00312042" w:rsidRPr="00F567E1" w:rsidRDefault="00312042" w:rsidP="00CB7E8A">
            <w:pPr>
              <w:spacing w:before="40" w:after="40"/>
              <w:jc w:val="right"/>
              <w:rPr>
                <w:sz w:val="18"/>
                <w:szCs w:val="18"/>
                <w:lang w:val="es-ES_tradnl"/>
              </w:rPr>
            </w:pPr>
            <w:r w:rsidRPr="00F567E1">
              <w:rPr>
                <w:color w:val="000000"/>
                <w:sz w:val="18"/>
                <w:szCs w:val="18"/>
                <w:lang w:val="es-ES_tradnl"/>
              </w:rPr>
              <w:t>24</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0B781DA3" w14:textId="77777777" w:rsidTr="009A58EE">
        <w:trPr>
          <w:trHeight w:val="300"/>
          <w:jc w:val="right"/>
        </w:trPr>
        <w:tc>
          <w:tcPr>
            <w:tcW w:w="284" w:type="dxa"/>
            <w:noWrap/>
            <w:hideMark/>
          </w:tcPr>
          <w:p w14:paraId="6D76B7C7"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noWrap/>
            <w:vAlign w:val="center"/>
            <w:hideMark/>
          </w:tcPr>
          <w:p w14:paraId="7E7537D6" w14:textId="2AEC9962" w:rsidR="00312042" w:rsidRPr="00F567E1" w:rsidRDefault="00312042" w:rsidP="00CB7E8A">
            <w:pPr>
              <w:spacing w:before="40" w:after="40"/>
              <w:rPr>
                <w:sz w:val="18"/>
                <w:szCs w:val="18"/>
                <w:lang w:val="es-ES_tradnl"/>
              </w:rPr>
            </w:pPr>
            <w:r w:rsidRPr="00F567E1">
              <w:rPr>
                <w:color w:val="000000"/>
                <w:sz w:val="18"/>
                <w:szCs w:val="18"/>
                <w:lang w:val="es-ES_tradnl"/>
              </w:rPr>
              <w:t>13.2. Mecanismo financiero – Fondo para el Medio Ambiente Mundial</w:t>
            </w:r>
          </w:p>
        </w:tc>
        <w:tc>
          <w:tcPr>
            <w:tcW w:w="1275" w:type="dxa"/>
            <w:noWrap/>
            <w:vAlign w:val="center"/>
            <w:hideMark/>
          </w:tcPr>
          <w:p w14:paraId="71EC1855"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096E5E02"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6A192035"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60F574E8" w14:textId="2965BD79" w:rsidR="00312042" w:rsidRPr="00F567E1" w:rsidRDefault="00312042" w:rsidP="00CB7E8A">
            <w:pPr>
              <w:spacing w:before="40" w:after="40"/>
              <w:jc w:val="right"/>
              <w:rPr>
                <w:sz w:val="18"/>
                <w:szCs w:val="18"/>
                <w:lang w:val="es-ES_tradnl"/>
              </w:rPr>
            </w:pPr>
            <w:r w:rsidRPr="00F567E1">
              <w:rPr>
                <w:color w:val="000000"/>
                <w:sz w:val="18"/>
                <w:szCs w:val="18"/>
                <w:lang w:val="es-ES_tradnl"/>
              </w:rPr>
              <w:t>20</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4392D873" w14:textId="77777777" w:rsidR="00312042" w:rsidRPr="00F567E1" w:rsidRDefault="00312042" w:rsidP="00CB7E8A">
            <w:pPr>
              <w:spacing w:before="40" w:after="40"/>
              <w:jc w:val="right"/>
              <w:rPr>
                <w:sz w:val="18"/>
                <w:szCs w:val="18"/>
                <w:lang w:val="es-ES_tradnl"/>
              </w:rPr>
            </w:pPr>
          </w:p>
        </w:tc>
        <w:tc>
          <w:tcPr>
            <w:tcW w:w="1245" w:type="dxa"/>
            <w:noWrap/>
            <w:vAlign w:val="center"/>
            <w:hideMark/>
          </w:tcPr>
          <w:p w14:paraId="73868A64" w14:textId="2DA62877" w:rsidR="00312042" w:rsidRPr="00F567E1" w:rsidRDefault="00312042" w:rsidP="00CB7E8A">
            <w:pPr>
              <w:spacing w:before="40" w:after="40"/>
              <w:jc w:val="right"/>
              <w:rPr>
                <w:sz w:val="18"/>
                <w:szCs w:val="18"/>
                <w:lang w:val="es-ES_tradnl"/>
              </w:rPr>
            </w:pPr>
            <w:r w:rsidRPr="00F567E1">
              <w:rPr>
                <w:color w:val="000000"/>
                <w:sz w:val="18"/>
                <w:szCs w:val="18"/>
                <w:lang w:val="es-ES_tradnl"/>
              </w:rPr>
              <w:t>20</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01CD4D2E" w14:textId="77777777" w:rsidTr="009A58EE">
        <w:trPr>
          <w:trHeight w:val="315"/>
          <w:jc w:val="right"/>
        </w:trPr>
        <w:tc>
          <w:tcPr>
            <w:tcW w:w="284" w:type="dxa"/>
            <w:noWrap/>
            <w:hideMark/>
          </w:tcPr>
          <w:p w14:paraId="1A159AB5" w14:textId="77777777" w:rsidR="00312042" w:rsidRPr="00F567E1" w:rsidRDefault="00312042" w:rsidP="00CB7E8A">
            <w:pPr>
              <w:spacing w:before="40" w:after="40"/>
              <w:rPr>
                <w:sz w:val="18"/>
                <w:szCs w:val="18"/>
                <w:lang w:val="es-ES_tradnl"/>
              </w:rPr>
            </w:pPr>
            <w:r w:rsidRPr="00F567E1">
              <w:rPr>
                <w:color w:val="000000"/>
                <w:sz w:val="18"/>
                <w:szCs w:val="18"/>
                <w:lang w:val="es-ES_tradnl"/>
              </w:rPr>
              <w:t> </w:t>
            </w:r>
          </w:p>
        </w:tc>
        <w:tc>
          <w:tcPr>
            <w:tcW w:w="6946" w:type="dxa"/>
            <w:noWrap/>
            <w:vAlign w:val="center"/>
            <w:hideMark/>
          </w:tcPr>
          <w:p w14:paraId="49DCD6D6" w14:textId="51C50424" w:rsidR="00312042" w:rsidRPr="00F567E1" w:rsidRDefault="00312042" w:rsidP="00CB7E8A">
            <w:pPr>
              <w:spacing w:before="40" w:after="40"/>
              <w:rPr>
                <w:sz w:val="18"/>
                <w:szCs w:val="18"/>
                <w:lang w:val="es-ES_tradnl"/>
              </w:rPr>
            </w:pPr>
            <w:r w:rsidRPr="00F567E1">
              <w:rPr>
                <w:color w:val="000000"/>
                <w:sz w:val="18"/>
                <w:szCs w:val="18"/>
                <w:lang w:val="es-ES_tradnl"/>
              </w:rPr>
              <w:t>13.3. Mecanismo financiero – Programa Internacional Específico</w:t>
            </w:r>
          </w:p>
        </w:tc>
        <w:tc>
          <w:tcPr>
            <w:tcW w:w="1275" w:type="dxa"/>
            <w:noWrap/>
            <w:vAlign w:val="center"/>
            <w:hideMark/>
          </w:tcPr>
          <w:p w14:paraId="382ABBB7"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5A702B81"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1C41CD68"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2371C495"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5E8F4BA3" w14:textId="77777777" w:rsidR="00312042" w:rsidRPr="00F567E1" w:rsidRDefault="00312042" w:rsidP="00CB7E8A">
            <w:pPr>
              <w:spacing w:before="40" w:after="40"/>
              <w:jc w:val="right"/>
              <w:rPr>
                <w:sz w:val="18"/>
                <w:szCs w:val="18"/>
                <w:lang w:val="es-ES_tradnl"/>
              </w:rPr>
            </w:pPr>
          </w:p>
        </w:tc>
        <w:tc>
          <w:tcPr>
            <w:tcW w:w="1245" w:type="dxa"/>
            <w:noWrap/>
            <w:vAlign w:val="center"/>
            <w:hideMark/>
          </w:tcPr>
          <w:p w14:paraId="3A559F4E" w14:textId="77777777" w:rsidR="00312042" w:rsidRPr="00F567E1" w:rsidRDefault="00312042" w:rsidP="00CB7E8A">
            <w:pPr>
              <w:spacing w:before="40" w:after="40"/>
              <w:jc w:val="right"/>
              <w:rPr>
                <w:sz w:val="18"/>
                <w:szCs w:val="18"/>
                <w:lang w:val="es-ES_tradnl"/>
              </w:rPr>
            </w:pPr>
          </w:p>
        </w:tc>
      </w:tr>
      <w:tr w:rsidR="00F234CD" w:rsidRPr="00F567E1" w14:paraId="6A2BE226" w14:textId="77777777" w:rsidTr="00C4751C">
        <w:trPr>
          <w:trHeight w:val="52"/>
          <w:jc w:val="right"/>
        </w:trPr>
        <w:tc>
          <w:tcPr>
            <w:tcW w:w="7230" w:type="dxa"/>
            <w:gridSpan w:val="2"/>
            <w:tcBorders>
              <w:bottom w:val="single" w:sz="4" w:space="0" w:color="auto"/>
            </w:tcBorders>
            <w:shd w:val="clear" w:color="000000" w:fill="B4C6E7"/>
            <w:noWrap/>
            <w:vAlign w:val="center"/>
            <w:hideMark/>
          </w:tcPr>
          <w:p w14:paraId="3C168905"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13.</w:t>
            </w:r>
            <w:r w:rsidRPr="00F567E1">
              <w:rPr>
                <w:color w:val="000000"/>
                <w:sz w:val="18"/>
                <w:szCs w:val="18"/>
                <w:lang w:val="es-ES_tradnl"/>
              </w:rPr>
              <w:t xml:space="preserve"> </w:t>
            </w:r>
            <w:r w:rsidRPr="00F567E1">
              <w:rPr>
                <w:b/>
                <w:bCs/>
                <w:color w:val="000000"/>
                <w:sz w:val="18"/>
                <w:szCs w:val="18"/>
                <w:lang w:val="es-ES_tradnl"/>
              </w:rPr>
              <w:t>Recursos financieros y mecanismo financiero</w:t>
            </w:r>
            <w:r w:rsidRPr="00F567E1">
              <w:rPr>
                <w:color w:val="000000"/>
                <w:sz w:val="18"/>
                <w:szCs w:val="18"/>
                <w:lang w:val="es-ES_tradnl"/>
              </w:rPr>
              <w:t xml:space="preserve"> </w:t>
            </w:r>
          </w:p>
        </w:tc>
        <w:tc>
          <w:tcPr>
            <w:tcW w:w="1275" w:type="dxa"/>
            <w:tcBorders>
              <w:bottom w:val="single" w:sz="4" w:space="0" w:color="auto"/>
            </w:tcBorders>
            <w:shd w:val="clear" w:color="000000" w:fill="B4C6E7"/>
            <w:noWrap/>
            <w:vAlign w:val="center"/>
            <w:hideMark/>
          </w:tcPr>
          <w:p w14:paraId="47935E35" w14:textId="5D49696D"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30</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7B91FC7B" w14:textId="77777777" w:rsidR="00312042" w:rsidRPr="00F567E1" w:rsidRDefault="00312042" w:rsidP="00CB7E8A">
            <w:pPr>
              <w:spacing w:before="40" w:after="40"/>
              <w:jc w:val="right"/>
              <w:rPr>
                <w:b/>
                <w:bCs/>
                <w:sz w:val="18"/>
                <w:szCs w:val="18"/>
                <w:lang w:val="es-ES_tradnl"/>
              </w:rPr>
            </w:pPr>
          </w:p>
        </w:tc>
        <w:tc>
          <w:tcPr>
            <w:tcW w:w="1276" w:type="dxa"/>
            <w:tcBorders>
              <w:bottom w:val="single" w:sz="4" w:space="0" w:color="auto"/>
            </w:tcBorders>
            <w:shd w:val="clear" w:color="000000" w:fill="B4C6E7"/>
            <w:noWrap/>
            <w:vAlign w:val="center"/>
            <w:hideMark/>
          </w:tcPr>
          <w:p w14:paraId="2A8FE3BC" w14:textId="495DA892"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30</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6D20703F" w14:textId="14949EF0"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44</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107F0FA2" w14:textId="77777777" w:rsidR="00312042" w:rsidRPr="00F567E1" w:rsidRDefault="00312042" w:rsidP="00CB7E8A">
            <w:pPr>
              <w:spacing w:before="40" w:after="40"/>
              <w:jc w:val="right"/>
              <w:rPr>
                <w:b/>
                <w:bCs/>
                <w:sz w:val="18"/>
                <w:szCs w:val="18"/>
                <w:lang w:val="es-ES_tradnl"/>
              </w:rPr>
            </w:pPr>
          </w:p>
        </w:tc>
        <w:tc>
          <w:tcPr>
            <w:tcW w:w="1245" w:type="dxa"/>
            <w:tcBorders>
              <w:bottom w:val="single" w:sz="4" w:space="0" w:color="auto"/>
            </w:tcBorders>
            <w:shd w:val="clear" w:color="000000" w:fill="B4C6E7"/>
            <w:noWrap/>
            <w:vAlign w:val="center"/>
            <w:hideMark/>
          </w:tcPr>
          <w:p w14:paraId="75877F4F" w14:textId="77BC830F"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44</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13F3A2A4" w14:textId="77777777" w:rsidTr="00276C83">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308FADBD" w14:textId="77777777" w:rsidR="00312042" w:rsidRPr="00F567E1" w:rsidRDefault="00312042" w:rsidP="00CB7E8A">
            <w:pPr>
              <w:spacing w:before="40" w:after="40"/>
              <w:ind w:firstLineChars="100" w:firstLine="181"/>
              <w:rPr>
                <w:b/>
                <w:bCs/>
                <w:sz w:val="18"/>
                <w:szCs w:val="18"/>
                <w:lang w:val="es-ES_tradnl"/>
              </w:rPr>
            </w:pPr>
            <w:r w:rsidRPr="00F567E1">
              <w:rPr>
                <w:b/>
                <w:bCs/>
                <w:color w:val="000000"/>
                <w:sz w:val="18"/>
                <w:szCs w:val="18"/>
                <w:lang w:val="es-ES_tradnl"/>
              </w:rPr>
              <w:t>Total (E)</w:t>
            </w:r>
          </w:p>
        </w:tc>
        <w:tc>
          <w:tcPr>
            <w:tcW w:w="1275" w:type="dxa"/>
            <w:tcBorders>
              <w:top w:val="single" w:sz="4" w:space="0" w:color="auto"/>
              <w:bottom w:val="single" w:sz="4" w:space="0" w:color="auto"/>
            </w:tcBorders>
            <w:shd w:val="clear" w:color="000000" w:fill="DBB731"/>
            <w:noWrap/>
            <w:vAlign w:val="center"/>
            <w:hideMark/>
          </w:tcPr>
          <w:p w14:paraId="1308EEA6" w14:textId="7629A2B0"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w:t>
            </w:r>
            <w:r w:rsidR="00F32374" w:rsidRPr="00F567E1">
              <w:rPr>
                <w:b/>
                <w:bCs/>
                <w:color w:val="000000"/>
                <w:sz w:val="18"/>
                <w:szCs w:val="18"/>
                <w:lang w:val="es-ES_tradnl"/>
              </w:rPr>
              <w:t> </w:t>
            </w:r>
            <w:r w:rsidRPr="00F567E1">
              <w:rPr>
                <w:b/>
                <w:bCs/>
                <w:color w:val="000000"/>
                <w:sz w:val="18"/>
                <w:szCs w:val="18"/>
                <w:lang w:val="es-ES_tradnl"/>
              </w:rPr>
              <w:t>837</w:t>
            </w:r>
            <w:r w:rsidR="00F32374" w:rsidRPr="00F567E1">
              <w:rPr>
                <w:b/>
                <w:bCs/>
                <w:color w:val="000000"/>
                <w:sz w:val="18"/>
                <w:szCs w:val="18"/>
                <w:lang w:val="es-ES_tradnl"/>
              </w:rPr>
              <w:t> </w:t>
            </w:r>
            <w:r w:rsidRPr="00F567E1">
              <w:rPr>
                <w:b/>
                <w:bCs/>
                <w:color w:val="000000"/>
                <w:sz w:val="18"/>
                <w:szCs w:val="18"/>
                <w:lang w:val="es-ES_tradnl"/>
              </w:rPr>
              <w:t>057</w:t>
            </w:r>
          </w:p>
        </w:tc>
        <w:tc>
          <w:tcPr>
            <w:tcW w:w="1134" w:type="dxa"/>
            <w:tcBorders>
              <w:top w:val="single" w:sz="4" w:space="0" w:color="auto"/>
              <w:bottom w:val="single" w:sz="4" w:space="0" w:color="auto"/>
            </w:tcBorders>
            <w:shd w:val="clear" w:color="000000" w:fill="DBB731"/>
            <w:noWrap/>
            <w:vAlign w:val="center"/>
            <w:hideMark/>
          </w:tcPr>
          <w:p w14:paraId="58B8189D" w14:textId="67716E53"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w:t>
            </w:r>
            <w:r w:rsidR="00BA11CE" w:rsidRPr="00F567E1">
              <w:rPr>
                <w:b/>
                <w:bCs/>
                <w:color w:val="000000"/>
                <w:sz w:val="18"/>
                <w:szCs w:val="18"/>
                <w:lang w:val="es-ES_tradnl"/>
              </w:rPr>
              <w:t> </w:t>
            </w:r>
            <w:r w:rsidRPr="00F567E1">
              <w:rPr>
                <w:b/>
                <w:bCs/>
                <w:color w:val="000000"/>
                <w:sz w:val="18"/>
                <w:szCs w:val="18"/>
                <w:lang w:val="es-ES_tradnl"/>
              </w:rPr>
              <w:t>802</w:t>
            </w:r>
            <w:r w:rsidR="00BA11CE" w:rsidRPr="00F567E1">
              <w:rPr>
                <w:b/>
                <w:bCs/>
                <w:color w:val="000000"/>
                <w:sz w:val="18"/>
                <w:szCs w:val="18"/>
                <w:lang w:val="es-ES_tradnl"/>
              </w:rPr>
              <w:t> </w:t>
            </w:r>
            <w:r w:rsidRPr="00F567E1">
              <w:rPr>
                <w:b/>
                <w:bCs/>
                <w:color w:val="000000"/>
                <w:sz w:val="18"/>
                <w:szCs w:val="18"/>
                <w:lang w:val="es-ES_tradnl"/>
              </w:rPr>
              <w:t>495</w:t>
            </w:r>
          </w:p>
        </w:tc>
        <w:tc>
          <w:tcPr>
            <w:tcW w:w="1276" w:type="dxa"/>
            <w:tcBorders>
              <w:top w:val="single" w:sz="4" w:space="0" w:color="auto"/>
              <w:bottom w:val="single" w:sz="4" w:space="0" w:color="auto"/>
            </w:tcBorders>
            <w:shd w:val="clear" w:color="000000" w:fill="DBB731"/>
            <w:noWrap/>
            <w:vAlign w:val="center"/>
            <w:hideMark/>
          </w:tcPr>
          <w:p w14:paraId="299535B9" w14:textId="65AB1352"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5</w:t>
            </w:r>
            <w:r w:rsidR="00BA11CE" w:rsidRPr="00F567E1">
              <w:rPr>
                <w:b/>
                <w:bCs/>
                <w:color w:val="000000"/>
                <w:sz w:val="18"/>
                <w:szCs w:val="18"/>
                <w:lang w:val="es-ES_tradnl"/>
              </w:rPr>
              <w:t> </w:t>
            </w:r>
            <w:r w:rsidRPr="00F567E1">
              <w:rPr>
                <w:b/>
                <w:bCs/>
                <w:color w:val="000000"/>
                <w:sz w:val="18"/>
                <w:szCs w:val="18"/>
                <w:lang w:val="es-ES_tradnl"/>
              </w:rPr>
              <w:t>639</w:t>
            </w:r>
            <w:r w:rsidR="00BA11CE" w:rsidRPr="00F567E1">
              <w:rPr>
                <w:b/>
                <w:bCs/>
                <w:color w:val="000000"/>
                <w:sz w:val="18"/>
                <w:szCs w:val="18"/>
                <w:lang w:val="es-ES_tradnl"/>
              </w:rPr>
              <w:t> </w:t>
            </w:r>
            <w:r w:rsidRPr="00F567E1">
              <w:rPr>
                <w:b/>
                <w:bCs/>
                <w:color w:val="000000"/>
                <w:sz w:val="18"/>
                <w:szCs w:val="18"/>
                <w:lang w:val="es-ES_tradnl"/>
              </w:rPr>
              <w:t>552</w:t>
            </w:r>
          </w:p>
        </w:tc>
        <w:tc>
          <w:tcPr>
            <w:tcW w:w="1134" w:type="dxa"/>
            <w:tcBorders>
              <w:top w:val="single" w:sz="4" w:space="0" w:color="auto"/>
              <w:bottom w:val="single" w:sz="4" w:space="0" w:color="auto"/>
            </w:tcBorders>
            <w:shd w:val="clear" w:color="000000" w:fill="DBB731"/>
            <w:noWrap/>
            <w:vAlign w:val="center"/>
            <w:hideMark/>
          </w:tcPr>
          <w:p w14:paraId="5C3AC941" w14:textId="2E04D5A1"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94</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5647B4A7" w14:textId="0E74C7F2"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50</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top w:val="single" w:sz="4" w:space="0" w:color="auto"/>
              <w:bottom w:val="single" w:sz="4" w:space="0" w:color="auto"/>
            </w:tcBorders>
            <w:shd w:val="clear" w:color="000000" w:fill="DBB731"/>
            <w:noWrap/>
            <w:vAlign w:val="center"/>
            <w:hideMark/>
          </w:tcPr>
          <w:p w14:paraId="17EA560B" w14:textId="4CF687CC"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144</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002DDF67" w14:textId="77777777" w:rsidTr="00C4751C">
        <w:trPr>
          <w:trHeight w:val="42"/>
          <w:jc w:val="right"/>
        </w:trPr>
        <w:tc>
          <w:tcPr>
            <w:tcW w:w="7230" w:type="dxa"/>
            <w:gridSpan w:val="2"/>
            <w:tcBorders>
              <w:top w:val="single" w:sz="4" w:space="0" w:color="auto"/>
            </w:tcBorders>
            <w:noWrap/>
            <w:vAlign w:val="center"/>
            <w:hideMark/>
          </w:tcPr>
          <w:p w14:paraId="04B31B5D"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F.</w:t>
            </w:r>
            <w:r w:rsidRPr="00F567E1">
              <w:rPr>
                <w:color w:val="000000"/>
                <w:sz w:val="18"/>
                <w:szCs w:val="18"/>
                <w:lang w:val="es-ES_tradnl"/>
              </w:rPr>
              <w:t xml:space="preserve"> </w:t>
            </w:r>
            <w:r w:rsidRPr="00F567E1">
              <w:rPr>
                <w:b/>
                <w:bCs/>
                <w:color w:val="000000"/>
                <w:sz w:val="18"/>
                <w:szCs w:val="18"/>
                <w:lang w:val="es-ES_tradnl"/>
              </w:rPr>
              <w:t>Actividades jurídicas y normativas</w:t>
            </w:r>
          </w:p>
        </w:tc>
        <w:tc>
          <w:tcPr>
            <w:tcW w:w="1275" w:type="dxa"/>
            <w:tcBorders>
              <w:top w:val="single" w:sz="4" w:space="0" w:color="auto"/>
            </w:tcBorders>
            <w:noWrap/>
            <w:vAlign w:val="center"/>
            <w:hideMark/>
          </w:tcPr>
          <w:p w14:paraId="662D7196"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786B672C"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tcBorders>
            <w:noWrap/>
            <w:vAlign w:val="center"/>
            <w:hideMark/>
          </w:tcPr>
          <w:p w14:paraId="4B620177"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09DEFD16"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4A9FFA13" w14:textId="77777777" w:rsidR="00312042" w:rsidRPr="00F567E1" w:rsidRDefault="00312042" w:rsidP="00CB7E8A">
            <w:pPr>
              <w:spacing w:before="40" w:after="40"/>
              <w:jc w:val="right"/>
              <w:rPr>
                <w:b/>
                <w:bCs/>
                <w:sz w:val="18"/>
                <w:szCs w:val="18"/>
                <w:lang w:val="es-ES_tradnl"/>
              </w:rPr>
            </w:pPr>
          </w:p>
        </w:tc>
        <w:tc>
          <w:tcPr>
            <w:tcW w:w="1245" w:type="dxa"/>
            <w:tcBorders>
              <w:top w:val="single" w:sz="4" w:space="0" w:color="auto"/>
            </w:tcBorders>
            <w:noWrap/>
            <w:vAlign w:val="center"/>
            <w:hideMark/>
          </w:tcPr>
          <w:p w14:paraId="764996DF" w14:textId="77777777" w:rsidR="00312042" w:rsidRPr="00F567E1" w:rsidRDefault="00312042" w:rsidP="00CB7E8A">
            <w:pPr>
              <w:spacing w:before="40" w:after="40"/>
              <w:jc w:val="right"/>
              <w:rPr>
                <w:b/>
                <w:bCs/>
                <w:sz w:val="18"/>
                <w:szCs w:val="18"/>
                <w:lang w:val="es-ES_tradnl"/>
              </w:rPr>
            </w:pPr>
          </w:p>
        </w:tc>
      </w:tr>
      <w:tr w:rsidR="00F234CD" w:rsidRPr="00F567E1" w14:paraId="59F86E9C" w14:textId="77777777" w:rsidTr="00C4751C">
        <w:trPr>
          <w:trHeight w:val="52"/>
          <w:jc w:val="right"/>
        </w:trPr>
        <w:tc>
          <w:tcPr>
            <w:tcW w:w="7230" w:type="dxa"/>
            <w:gridSpan w:val="2"/>
            <w:noWrap/>
            <w:vAlign w:val="center"/>
            <w:hideMark/>
          </w:tcPr>
          <w:p w14:paraId="7AE02597" w14:textId="1140CCFF" w:rsidR="00312042" w:rsidRPr="00F567E1" w:rsidRDefault="00312042" w:rsidP="00CB7E8A">
            <w:pPr>
              <w:spacing w:before="40" w:after="40"/>
              <w:rPr>
                <w:b/>
                <w:bCs/>
                <w:sz w:val="18"/>
                <w:szCs w:val="18"/>
                <w:lang w:val="es-ES_tradnl"/>
              </w:rPr>
            </w:pPr>
            <w:r w:rsidRPr="00F567E1">
              <w:rPr>
                <w:b/>
                <w:bCs/>
                <w:color w:val="000000"/>
                <w:sz w:val="18"/>
                <w:szCs w:val="18"/>
                <w:lang w:val="es-ES_tradnl"/>
              </w:rPr>
              <w:t>14.</w:t>
            </w:r>
            <w:r w:rsidRPr="00F567E1">
              <w:rPr>
                <w:color w:val="000000"/>
                <w:sz w:val="18"/>
                <w:szCs w:val="18"/>
                <w:lang w:val="es-ES_tradnl"/>
              </w:rPr>
              <w:t xml:space="preserve"> </w:t>
            </w:r>
            <w:r w:rsidRPr="00F567E1">
              <w:rPr>
                <w:b/>
                <w:bCs/>
                <w:color w:val="000000"/>
                <w:sz w:val="18"/>
                <w:szCs w:val="18"/>
                <w:lang w:val="es-ES_tradnl"/>
              </w:rPr>
              <w:t>Actividades jurídicas y normativas</w:t>
            </w:r>
          </w:p>
        </w:tc>
        <w:tc>
          <w:tcPr>
            <w:tcW w:w="1275" w:type="dxa"/>
            <w:noWrap/>
            <w:vAlign w:val="center"/>
            <w:hideMark/>
          </w:tcPr>
          <w:p w14:paraId="040F1463"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518DC57F"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46DE876E"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61FE6F2F"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78FC5150"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02C851D8" w14:textId="77777777" w:rsidR="00312042" w:rsidRPr="00F567E1" w:rsidRDefault="00312042" w:rsidP="00CB7E8A">
            <w:pPr>
              <w:spacing w:before="40" w:after="40"/>
              <w:jc w:val="right"/>
              <w:rPr>
                <w:sz w:val="18"/>
                <w:szCs w:val="18"/>
                <w:lang w:val="es-ES_tradnl"/>
              </w:rPr>
            </w:pPr>
          </w:p>
        </w:tc>
      </w:tr>
      <w:tr w:rsidR="00F234CD" w:rsidRPr="00F567E1" w14:paraId="76C0837F" w14:textId="77777777" w:rsidTr="009A58EE">
        <w:trPr>
          <w:trHeight w:val="300"/>
          <w:jc w:val="right"/>
        </w:trPr>
        <w:tc>
          <w:tcPr>
            <w:tcW w:w="284" w:type="dxa"/>
            <w:tcBorders>
              <w:top w:val="nil"/>
            </w:tcBorders>
            <w:noWrap/>
            <w:vAlign w:val="center"/>
            <w:hideMark/>
          </w:tcPr>
          <w:p w14:paraId="2AB837C8"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tcBorders>
              <w:top w:val="nil"/>
            </w:tcBorders>
            <w:noWrap/>
            <w:vAlign w:val="center"/>
            <w:hideMark/>
          </w:tcPr>
          <w:p w14:paraId="7840CDB8" w14:textId="3DAFC332" w:rsidR="00312042" w:rsidRPr="00F567E1" w:rsidRDefault="00312042" w:rsidP="00CB7E8A">
            <w:pPr>
              <w:spacing w:before="40" w:after="40"/>
              <w:rPr>
                <w:sz w:val="18"/>
                <w:szCs w:val="18"/>
                <w:lang w:val="es-ES_tradnl"/>
              </w:rPr>
            </w:pPr>
            <w:r w:rsidRPr="00F567E1">
              <w:rPr>
                <w:color w:val="000000"/>
                <w:sz w:val="18"/>
                <w:szCs w:val="18"/>
                <w:lang w:val="es-ES_tradnl"/>
              </w:rPr>
              <w:t>14.1. Programa de trabajo del Comité de Aplicación y Cumplimiento</w:t>
            </w:r>
          </w:p>
        </w:tc>
        <w:tc>
          <w:tcPr>
            <w:tcW w:w="1275" w:type="dxa"/>
            <w:tcBorders>
              <w:top w:val="nil"/>
            </w:tcBorders>
            <w:noWrap/>
            <w:vAlign w:val="center"/>
            <w:hideMark/>
          </w:tcPr>
          <w:p w14:paraId="6920F26B"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3000E656" w14:textId="77777777" w:rsidR="00312042" w:rsidRPr="00F567E1" w:rsidRDefault="00312042" w:rsidP="00CB7E8A">
            <w:pPr>
              <w:spacing w:before="40" w:after="40"/>
              <w:jc w:val="right"/>
              <w:rPr>
                <w:sz w:val="18"/>
                <w:szCs w:val="18"/>
                <w:lang w:val="es-ES_tradnl"/>
              </w:rPr>
            </w:pPr>
          </w:p>
        </w:tc>
        <w:tc>
          <w:tcPr>
            <w:tcW w:w="1276" w:type="dxa"/>
            <w:tcBorders>
              <w:top w:val="nil"/>
            </w:tcBorders>
            <w:noWrap/>
            <w:vAlign w:val="center"/>
            <w:hideMark/>
          </w:tcPr>
          <w:p w14:paraId="2D914790"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39731C61"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10149081"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7FF8617A" w14:textId="77777777" w:rsidR="00312042" w:rsidRPr="00F567E1" w:rsidRDefault="00312042" w:rsidP="00CB7E8A">
            <w:pPr>
              <w:spacing w:before="40" w:after="40"/>
              <w:jc w:val="right"/>
              <w:rPr>
                <w:sz w:val="18"/>
                <w:szCs w:val="18"/>
                <w:lang w:val="es-ES_tradnl"/>
              </w:rPr>
            </w:pPr>
          </w:p>
        </w:tc>
      </w:tr>
      <w:tr w:rsidR="00F234CD" w:rsidRPr="00F567E1" w14:paraId="338A3332" w14:textId="77777777" w:rsidTr="00C4751C">
        <w:trPr>
          <w:trHeight w:val="122"/>
          <w:jc w:val="right"/>
        </w:trPr>
        <w:tc>
          <w:tcPr>
            <w:tcW w:w="284" w:type="dxa"/>
            <w:noWrap/>
            <w:vAlign w:val="center"/>
            <w:hideMark/>
          </w:tcPr>
          <w:p w14:paraId="52819AD8"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511E261C" w14:textId="37A9FBBF" w:rsidR="00312042" w:rsidRPr="00F567E1" w:rsidRDefault="00312042" w:rsidP="00CB7E8A">
            <w:pPr>
              <w:spacing w:before="40" w:after="40"/>
              <w:rPr>
                <w:sz w:val="18"/>
                <w:szCs w:val="18"/>
                <w:lang w:val="es-ES_tradnl"/>
              </w:rPr>
            </w:pPr>
            <w:r w:rsidRPr="00F567E1">
              <w:rPr>
                <w:color w:val="000000"/>
                <w:sz w:val="18"/>
                <w:szCs w:val="18"/>
                <w:lang w:val="es-ES_tradnl"/>
              </w:rPr>
              <w:t>14.2. Actividades jurídicas</w:t>
            </w:r>
          </w:p>
        </w:tc>
        <w:tc>
          <w:tcPr>
            <w:tcW w:w="1275" w:type="dxa"/>
            <w:noWrap/>
            <w:vAlign w:val="center"/>
            <w:hideMark/>
          </w:tcPr>
          <w:p w14:paraId="0CA8F19E"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4849EE06"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573D3BC9"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632B8587"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17AE8162" w14:textId="77777777" w:rsidR="00312042" w:rsidRPr="00F567E1" w:rsidRDefault="00312042" w:rsidP="00CB7E8A">
            <w:pPr>
              <w:spacing w:before="40" w:after="40"/>
              <w:jc w:val="right"/>
              <w:rPr>
                <w:sz w:val="18"/>
                <w:szCs w:val="18"/>
                <w:lang w:val="es-ES_tradnl"/>
              </w:rPr>
            </w:pPr>
          </w:p>
        </w:tc>
        <w:tc>
          <w:tcPr>
            <w:tcW w:w="1245" w:type="dxa"/>
            <w:noWrap/>
            <w:vAlign w:val="center"/>
            <w:hideMark/>
          </w:tcPr>
          <w:p w14:paraId="1CA65150" w14:textId="77777777" w:rsidR="00312042" w:rsidRPr="00F567E1" w:rsidRDefault="00312042" w:rsidP="00CB7E8A">
            <w:pPr>
              <w:spacing w:before="40" w:after="40"/>
              <w:jc w:val="right"/>
              <w:rPr>
                <w:sz w:val="18"/>
                <w:szCs w:val="18"/>
                <w:lang w:val="es-ES_tradnl"/>
              </w:rPr>
            </w:pPr>
          </w:p>
        </w:tc>
      </w:tr>
      <w:tr w:rsidR="00631742" w:rsidRPr="00F567E1" w14:paraId="7384F141" w14:textId="77777777" w:rsidTr="00C4751C">
        <w:trPr>
          <w:trHeight w:val="122"/>
          <w:jc w:val="right"/>
        </w:trPr>
        <w:tc>
          <w:tcPr>
            <w:tcW w:w="284" w:type="dxa"/>
            <w:noWrap/>
            <w:vAlign w:val="center"/>
          </w:tcPr>
          <w:p w14:paraId="625C4D22" w14:textId="77777777" w:rsidR="00631742" w:rsidRPr="00F567E1" w:rsidRDefault="00631742" w:rsidP="00CB7E8A">
            <w:pPr>
              <w:spacing w:before="40" w:after="40"/>
              <w:rPr>
                <w:b/>
                <w:bCs/>
                <w:sz w:val="18"/>
                <w:szCs w:val="18"/>
                <w:lang w:val="es-ES_tradnl"/>
              </w:rPr>
            </w:pPr>
          </w:p>
        </w:tc>
        <w:tc>
          <w:tcPr>
            <w:tcW w:w="6946" w:type="dxa"/>
            <w:noWrap/>
            <w:vAlign w:val="center"/>
          </w:tcPr>
          <w:p w14:paraId="0A07ECB1" w14:textId="292C7E56" w:rsidR="00631742" w:rsidRPr="00F567E1" w:rsidRDefault="004B56B9" w:rsidP="00CB7E8A">
            <w:pPr>
              <w:spacing w:before="40" w:after="40"/>
              <w:rPr>
                <w:sz w:val="18"/>
                <w:szCs w:val="18"/>
                <w:lang w:val="es-ES_tradnl"/>
              </w:rPr>
            </w:pPr>
            <w:r w:rsidRPr="00F567E1">
              <w:rPr>
                <w:color w:val="000000"/>
                <w:sz w:val="18"/>
                <w:szCs w:val="18"/>
                <w:lang w:val="es-ES_tradnl"/>
              </w:rPr>
              <w:t>14.3. Legislación nacional, comercio y cumplimiento</w:t>
            </w:r>
          </w:p>
        </w:tc>
        <w:tc>
          <w:tcPr>
            <w:tcW w:w="1275" w:type="dxa"/>
            <w:noWrap/>
            <w:vAlign w:val="center"/>
          </w:tcPr>
          <w:p w14:paraId="6D1005E2" w14:textId="77777777" w:rsidR="00631742" w:rsidRPr="00F567E1" w:rsidRDefault="00631742" w:rsidP="00CB7E8A">
            <w:pPr>
              <w:spacing w:before="40" w:after="40"/>
              <w:jc w:val="right"/>
              <w:rPr>
                <w:sz w:val="18"/>
                <w:szCs w:val="18"/>
                <w:lang w:val="es-ES_tradnl"/>
              </w:rPr>
            </w:pPr>
          </w:p>
        </w:tc>
        <w:tc>
          <w:tcPr>
            <w:tcW w:w="1134" w:type="dxa"/>
            <w:noWrap/>
            <w:vAlign w:val="center"/>
          </w:tcPr>
          <w:p w14:paraId="1ABEA92A" w14:textId="77777777" w:rsidR="00631742" w:rsidRPr="00F567E1" w:rsidRDefault="00631742" w:rsidP="00CB7E8A">
            <w:pPr>
              <w:spacing w:before="40" w:after="40"/>
              <w:jc w:val="right"/>
              <w:rPr>
                <w:sz w:val="18"/>
                <w:szCs w:val="18"/>
                <w:lang w:val="es-ES_tradnl"/>
              </w:rPr>
            </w:pPr>
          </w:p>
        </w:tc>
        <w:tc>
          <w:tcPr>
            <w:tcW w:w="1276" w:type="dxa"/>
            <w:noWrap/>
            <w:vAlign w:val="center"/>
          </w:tcPr>
          <w:p w14:paraId="1F6C5FB1" w14:textId="77777777" w:rsidR="00631742" w:rsidRPr="00F567E1" w:rsidRDefault="00631742" w:rsidP="00CB7E8A">
            <w:pPr>
              <w:spacing w:before="40" w:after="40"/>
              <w:jc w:val="right"/>
              <w:rPr>
                <w:sz w:val="18"/>
                <w:szCs w:val="18"/>
                <w:lang w:val="es-ES_tradnl"/>
              </w:rPr>
            </w:pPr>
          </w:p>
        </w:tc>
        <w:tc>
          <w:tcPr>
            <w:tcW w:w="1134" w:type="dxa"/>
            <w:noWrap/>
            <w:vAlign w:val="center"/>
          </w:tcPr>
          <w:p w14:paraId="1B9FBBF4" w14:textId="77777777" w:rsidR="00631742" w:rsidRPr="00F567E1" w:rsidRDefault="00631742" w:rsidP="00CB7E8A">
            <w:pPr>
              <w:spacing w:before="40" w:after="40"/>
              <w:jc w:val="right"/>
              <w:rPr>
                <w:sz w:val="18"/>
                <w:szCs w:val="18"/>
                <w:lang w:val="es-ES_tradnl"/>
              </w:rPr>
            </w:pPr>
          </w:p>
        </w:tc>
        <w:tc>
          <w:tcPr>
            <w:tcW w:w="1134" w:type="dxa"/>
            <w:noWrap/>
            <w:vAlign w:val="center"/>
          </w:tcPr>
          <w:p w14:paraId="59FA5163" w14:textId="77777777" w:rsidR="00631742" w:rsidRPr="00F567E1" w:rsidRDefault="00631742" w:rsidP="00CB7E8A">
            <w:pPr>
              <w:spacing w:before="40" w:after="40"/>
              <w:jc w:val="right"/>
              <w:rPr>
                <w:sz w:val="18"/>
                <w:szCs w:val="18"/>
                <w:lang w:val="es-ES_tradnl"/>
              </w:rPr>
            </w:pPr>
          </w:p>
        </w:tc>
        <w:tc>
          <w:tcPr>
            <w:tcW w:w="1245" w:type="dxa"/>
            <w:noWrap/>
            <w:vAlign w:val="center"/>
          </w:tcPr>
          <w:p w14:paraId="73112352" w14:textId="77777777" w:rsidR="00631742" w:rsidRPr="00F567E1" w:rsidRDefault="00631742" w:rsidP="00CB7E8A">
            <w:pPr>
              <w:spacing w:before="40" w:after="40"/>
              <w:jc w:val="right"/>
              <w:rPr>
                <w:sz w:val="18"/>
                <w:szCs w:val="18"/>
                <w:lang w:val="es-ES_tradnl"/>
              </w:rPr>
            </w:pPr>
          </w:p>
        </w:tc>
      </w:tr>
      <w:tr w:rsidR="00F234CD" w:rsidRPr="00F567E1" w14:paraId="040EC9A8" w14:textId="77777777" w:rsidTr="009A58EE">
        <w:trPr>
          <w:trHeight w:val="300"/>
          <w:jc w:val="right"/>
        </w:trPr>
        <w:tc>
          <w:tcPr>
            <w:tcW w:w="284" w:type="dxa"/>
            <w:noWrap/>
            <w:vAlign w:val="center"/>
            <w:hideMark/>
          </w:tcPr>
          <w:p w14:paraId="37EE6FE9"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5148128A" w14:textId="29EAAC8D" w:rsidR="00312042" w:rsidRPr="00F567E1" w:rsidRDefault="00312042" w:rsidP="00CB7E8A">
            <w:pPr>
              <w:spacing w:before="40" w:after="40"/>
              <w:rPr>
                <w:sz w:val="18"/>
                <w:szCs w:val="18"/>
                <w:lang w:val="es-ES_tradnl"/>
              </w:rPr>
            </w:pPr>
            <w:r w:rsidRPr="00F567E1">
              <w:rPr>
                <w:color w:val="000000"/>
                <w:sz w:val="18"/>
                <w:szCs w:val="18"/>
                <w:lang w:val="es-ES_tradnl"/>
              </w:rPr>
              <w:t>14.4. Atender las necesidades de los grupos en situación de vulnerabilidad</w:t>
            </w:r>
          </w:p>
        </w:tc>
        <w:tc>
          <w:tcPr>
            <w:tcW w:w="1275" w:type="dxa"/>
            <w:noWrap/>
            <w:vAlign w:val="center"/>
            <w:hideMark/>
          </w:tcPr>
          <w:p w14:paraId="54FC0A41"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64223C73"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1075E3A5"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15AAD895" w14:textId="1575AA0C" w:rsidR="00312042" w:rsidRPr="00F567E1" w:rsidRDefault="00312042" w:rsidP="00CB7E8A">
            <w:pPr>
              <w:spacing w:before="40" w:after="40"/>
              <w:jc w:val="right"/>
              <w:rPr>
                <w:sz w:val="18"/>
                <w:szCs w:val="18"/>
                <w:lang w:val="es-ES_tradnl"/>
              </w:rPr>
            </w:pPr>
            <w:r w:rsidRPr="00F567E1">
              <w:rPr>
                <w:color w:val="000000"/>
                <w:sz w:val="18"/>
                <w:szCs w:val="18"/>
                <w:lang w:val="es-ES_tradnl"/>
              </w:rPr>
              <w:t>36</w:t>
            </w:r>
            <w:r w:rsidR="00F32374" w:rsidRPr="00F567E1">
              <w:rPr>
                <w:color w:val="000000"/>
                <w:sz w:val="18"/>
                <w:szCs w:val="18"/>
                <w:lang w:val="es-ES_tradnl"/>
              </w:rPr>
              <w:t> </w:t>
            </w:r>
            <w:r w:rsidRPr="00F567E1">
              <w:rPr>
                <w:color w:val="000000"/>
                <w:sz w:val="18"/>
                <w:szCs w:val="18"/>
                <w:lang w:val="es-ES_tradnl"/>
              </w:rPr>
              <w:t>000</w:t>
            </w:r>
          </w:p>
        </w:tc>
        <w:tc>
          <w:tcPr>
            <w:tcW w:w="1134" w:type="dxa"/>
            <w:noWrap/>
            <w:vAlign w:val="center"/>
            <w:hideMark/>
          </w:tcPr>
          <w:p w14:paraId="564382FA" w14:textId="22E4EF4A" w:rsidR="00312042" w:rsidRPr="00F567E1" w:rsidRDefault="00312042" w:rsidP="00CB7E8A">
            <w:pPr>
              <w:spacing w:before="40" w:after="40"/>
              <w:jc w:val="right"/>
              <w:rPr>
                <w:sz w:val="18"/>
                <w:szCs w:val="18"/>
                <w:lang w:val="es-ES_tradnl"/>
              </w:rPr>
            </w:pPr>
            <w:r w:rsidRPr="00F567E1">
              <w:rPr>
                <w:color w:val="000000"/>
                <w:sz w:val="18"/>
                <w:szCs w:val="18"/>
                <w:lang w:val="es-ES_tradnl"/>
              </w:rPr>
              <w:t>20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77048928" w14:textId="0D03FC2C" w:rsidR="00312042" w:rsidRPr="00F567E1" w:rsidRDefault="00312042" w:rsidP="00CB7E8A">
            <w:pPr>
              <w:spacing w:before="40" w:after="40"/>
              <w:jc w:val="right"/>
              <w:rPr>
                <w:sz w:val="18"/>
                <w:szCs w:val="18"/>
                <w:lang w:val="es-ES_tradnl"/>
              </w:rPr>
            </w:pPr>
            <w:r w:rsidRPr="00F567E1">
              <w:rPr>
                <w:color w:val="000000"/>
                <w:sz w:val="18"/>
                <w:szCs w:val="18"/>
                <w:lang w:val="es-ES_tradnl"/>
              </w:rPr>
              <w:t>56</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412D6CA0" w14:textId="77777777" w:rsidTr="009A58EE">
        <w:trPr>
          <w:trHeight w:val="315"/>
          <w:jc w:val="right"/>
        </w:trPr>
        <w:tc>
          <w:tcPr>
            <w:tcW w:w="284" w:type="dxa"/>
            <w:noWrap/>
            <w:vAlign w:val="center"/>
            <w:hideMark/>
          </w:tcPr>
          <w:p w14:paraId="465AEAE7"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noWrap/>
            <w:vAlign w:val="center"/>
            <w:hideMark/>
          </w:tcPr>
          <w:p w14:paraId="28F27497" w14:textId="4C5024A3" w:rsidR="00312042" w:rsidRPr="00F567E1" w:rsidRDefault="00312042" w:rsidP="00CB7E8A">
            <w:pPr>
              <w:spacing w:before="40" w:after="40"/>
              <w:rPr>
                <w:sz w:val="18"/>
                <w:szCs w:val="18"/>
                <w:lang w:val="es-ES_tradnl"/>
              </w:rPr>
            </w:pPr>
            <w:r w:rsidRPr="00F567E1">
              <w:rPr>
                <w:color w:val="000000"/>
                <w:sz w:val="18"/>
                <w:szCs w:val="18"/>
                <w:lang w:val="es-ES_tradnl"/>
              </w:rPr>
              <w:t>14.5. Evento de alto nivel con motivo del décimo aniversario del Convenio</w:t>
            </w:r>
          </w:p>
        </w:tc>
        <w:tc>
          <w:tcPr>
            <w:tcW w:w="1275" w:type="dxa"/>
            <w:noWrap/>
            <w:vAlign w:val="center"/>
            <w:hideMark/>
          </w:tcPr>
          <w:p w14:paraId="786F8212"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68DDD5BC" w14:textId="77777777" w:rsidR="00312042" w:rsidRPr="00F567E1" w:rsidRDefault="00312042" w:rsidP="00CB7E8A">
            <w:pPr>
              <w:spacing w:before="40" w:after="40"/>
              <w:jc w:val="right"/>
              <w:rPr>
                <w:sz w:val="18"/>
                <w:szCs w:val="18"/>
                <w:lang w:val="es-ES_tradnl"/>
              </w:rPr>
            </w:pPr>
          </w:p>
        </w:tc>
        <w:tc>
          <w:tcPr>
            <w:tcW w:w="1276" w:type="dxa"/>
            <w:noWrap/>
            <w:vAlign w:val="center"/>
            <w:hideMark/>
          </w:tcPr>
          <w:p w14:paraId="215D8E67"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1D2CB79F"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578D1D10" w14:textId="37E4AD76" w:rsidR="00312042" w:rsidRPr="00F567E1" w:rsidRDefault="00312042" w:rsidP="00CB7E8A">
            <w:pPr>
              <w:spacing w:before="40" w:after="40"/>
              <w:jc w:val="right"/>
              <w:rPr>
                <w:sz w:val="18"/>
                <w:szCs w:val="18"/>
                <w:lang w:val="es-ES_tradnl"/>
              </w:rPr>
            </w:pPr>
            <w:r w:rsidRPr="00F567E1">
              <w:rPr>
                <w:color w:val="000000"/>
                <w:sz w:val="18"/>
                <w:szCs w:val="18"/>
                <w:lang w:val="es-ES_tradnl"/>
              </w:rPr>
              <w:t>40</w:t>
            </w:r>
            <w:r w:rsidR="00F32374" w:rsidRPr="00F567E1">
              <w:rPr>
                <w:color w:val="000000"/>
                <w:sz w:val="18"/>
                <w:szCs w:val="18"/>
                <w:lang w:val="es-ES_tradnl"/>
              </w:rPr>
              <w:t> </w:t>
            </w:r>
            <w:r w:rsidRPr="00F567E1">
              <w:rPr>
                <w:color w:val="000000"/>
                <w:sz w:val="18"/>
                <w:szCs w:val="18"/>
                <w:lang w:val="es-ES_tradnl"/>
              </w:rPr>
              <w:t>000</w:t>
            </w:r>
          </w:p>
        </w:tc>
        <w:tc>
          <w:tcPr>
            <w:tcW w:w="1245" w:type="dxa"/>
            <w:noWrap/>
            <w:vAlign w:val="center"/>
            <w:hideMark/>
          </w:tcPr>
          <w:p w14:paraId="5BA0C188" w14:textId="7DB72148" w:rsidR="00312042" w:rsidRPr="00F567E1" w:rsidRDefault="00312042" w:rsidP="00CB7E8A">
            <w:pPr>
              <w:spacing w:before="40" w:after="40"/>
              <w:jc w:val="right"/>
              <w:rPr>
                <w:sz w:val="18"/>
                <w:szCs w:val="18"/>
                <w:lang w:val="es-ES_tradnl"/>
              </w:rPr>
            </w:pPr>
            <w:r w:rsidRPr="00F567E1">
              <w:rPr>
                <w:color w:val="000000"/>
                <w:sz w:val="18"/>
                <w:szCs w:val="18"/>
                <w:lang w:val="es-ES_tradnl"/>
              </w:rPr>
              <w:t>40</w:t>
            </w:r>
            <w:r w:rsidR="00F32374" w:rsidRPr="00F567E1">
              <w:rPr>
                <w:color w:val="000000"/>
                <w:sz w:val="18"/>
                <w:szCs w:val="18"/>
                <w:lang w:val="es-ES_tradnl"/>
              </w:rPr>
              <w:t> </w:t>
            </w:r>
            <w:r w:rsidRPr="00F567E1">
              <w:rPr>
                <w:color w:val="000000"/>
                <w:sz w:val="18"/>
                <w:szCs w:val="18"/>
                <w:lang w:val="es-ES_tradnl"/>
              </w:rPr>
              <w:t>000</w:t>
            </w:r>
          </w:p>
        </w:tc>
      </w:tr>
      <w:tr w:rsidR="00F234CD" w:rsidRPr="00F567E1" w14:paraId="5F9F950E" w14:textId="77777777" w:rsidTr="00DD753D">
        <w:trPr>
          <w:trHeight w:val="330"/>
          <w:jc w:val="right"/>
        </w:trPr>
        <w:tc>
          <w:tcPr>
            <w:tcW w:w="7230" w:type="dxa"/>
            <w:gridSpan w:val="2"/>
            <w:tcBorders>
              <w:bottom w:val="single" w:sz="4" w:space="0" w:color="auto"/>
            </w:tcBorders>
            <w:shd w:val="clear" w:color="000000" w:fill="B4C6E7"/>
            <w:noWrap/>
            <w:vAlign w:val="center"/>
            <w:hideMark/>
          </w:tcPr>
          <w:p w14:paraId="06AD1763"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14.</w:t>
            </w:r>
            <w:r w:rsidRPr="00F567E1">
              <w:rPr>
                <w:color w:val="000000"/>
                <w:sz w:val="18"/>
                <w:szCs w:val="18"/>
                <w:lang w:val="es-ES_tradnl"/>
              </w:rPr>
              <w:t xml:space="preserve"> </w:t>
            </w:r>
            <w:r w:rsidRPr="00F567E1">
              <w:rPr>
                <w:b/>
                <w:bCs/>
                <w:color w:val="000000"/>
                <w:sz w:val="18"/>
                <w:szCs w:val="18"/>
                <w:lang w:val="es-ES_tradnl"/>
              </w:rPr>
              <w:t>Actividades jurídicas y normativas</w:t>
            </w:r>
            <w:r w:rsidRPr="00F567E1">
              <w:rPr>
                <w:color w:val="000000"/>
                <w:sz w:val="18"/>
                <w:szCs w:val="18"/>
                <w:lang w:val="es-ES_tradnl"/>
              </w:rPr>
              <w:t xml:space="preserve"> </w:t>
            </w:r>
          </w:p>
        </w:tc>
        <w:tc>
          <w:tcPr>
            <w:tcW w:w="1275" w:type="dxa"/>
            <w:tcBorders>
              <w:bottom w:val="single" w:sz="4" w:space="0" w:color="auto"/>
            </w:tcBorders>
            <w:shd w:val="clear" w:color="000000" w:fill="B4C6E7"/>
            <w:noWrap/>
            <w:vAlign w:val="center"/>
            <w:hideMark/>
          </w:tcPr>
          <w:p w14:paraId="3966DB9A" w14:textId="77777777" w:rsidR="00312042" w:rsidRPr="00F567E1" w:rsidRDefault="00312042" w:rsidP="00CB7E8A">
            <w:pPr>
              <w:spacing w:before="40" w:after="40"/>
              <w:jc w:val="right"/>
              <w:rPr>
                <w:b/>
                <w:bCs/>
                <w:sz w:val="18"/>
                <w:szCs w:val="18"/>
                <w:lang w:val="es-ES_tradnl"/>
              </w:rPr>
            </w:pPr>
          </w:p>
        </w:tc>
        <w:tc>
          <w:tcPr>
            <w:tcW w:w="1134" w:type="dxa"/>
            <w:tcBorders>
              <w:bottom w:val="single" w:sz="4" w:space="0" w:color="auto"/>
            </w:tcBorders>
            <w:shd w:val="clear" w:color="000000" w:fill="B4C6E7"/>
            <w:noWrap/>
            <w:vAlign w:val="center"/>
            <w:hideMark/>
          </w:tcPr>
          <w:p w14:paraId="3A0363FC" w14:textId="77777777" w:rsidR="00312042" w:rsidRPr="00F567E1" w:rsidRDefault="00312042" w:rsidP="00CB7E8A">
            <w:pPr>
              <w:spacing w:before="40" w:after="40"/>
              <w:jc w:val="right"/>
              <w:rPr>
                <w:b/>
                <w:bCs/>
                <w:sz w:val="18"/>
                <w:szCs w:val="18"/>
                <w:lang w:val="es-ES_tradnl"/>
              </w:rPr>
            </w:pPr>
          </w:p>
        </w:tc>
        <w:tc>
          <w:tcPr>
            <w:tcW w:w="1276" w:type="dxa"/>
            <w:tcBorders>
              <w:bottom w:val="single" w:sz="4" w:space="0" w:color="auto"/>
            </w:tcBorders>
            <w:shd w:val="clear" w:color="000000" w:fill="B4C6E7"/>
            <w:noWrap/>
            <w:vAlign w:val="center"/>
            <w:hideMark/>
          </w:tcPr>
          <w:p w14:paraId="2F1F8780" w14:textId="77777777" w:rsidR="00312042" w:rsidRPr="00F567E1" w:rsidRDefault="00312042" w:rsidP="00CB7E8A">
            <w:pPr>
              <w:spacing w:before="40" w:after="40"/>
              <w:jc w:val="right"/>
              <w:rPr>
                <w:b/>
                <w:bCs/>
                <w:sz w:val="18"/>
                <w:szCs w:val="18"/>
                <w:lang w:val="es-ES_tradnl"/>
              </w:rPr>
            </w:pPr>
          </w:p>
        </w:tc>
        <w:tc>
          <w:tcPr>
            <w:tcW w:w="1134" w:type="dxa"/>
            <w:tcBorders>
              <w:bottom w:val="single" w:sz="4" w:space="0" w:color="auto"/>
            </w:tcBorders>
            <w:shd w:val="clear" w:color="000000" w:fill="B4C6E7"/>
            <w:noWrap/>
            <w:vAlign w:val="center"/>
            <w:hideMark/>
          </w:tcPr>
          <w:p w14:paraId="679E01E1" w14:textId="02EF1A04"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36</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33BB0069" w14:textId="47CB01E2"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60</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bottom w:val="single" w:sz="4" w:space="0" w:color="auto"/>
            </w:tcBorders>
            <w:shd w:val="clear" w:color="000000" w:fill="B4C6E7"/>
            <w:noWrap/>
            <w:vAlign w:val="center"/>
            <w:hideMark/>
          </w:tcPr>
          <w:p w14:paraId="280B96A9" w14:textId="64F8EFCD"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96</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46EF34C8" w14:textId="77777777" w:rsidTr="00276C83">
        <w:trPr>
          <w:trHeight w:val="147"/>
          <w:jc w:val="right"/>
        </w:trPr>
        <w:tc>
          <w:tcPr>
            <w:tcW w:w="7230" w:type="dxa"/>
            <w:gridSpan w:val="2"/>
            <w:tcBorders>
              <w:top w:val="single" w:sz="4" w:space="0" w:color="auto"/>
              <w:bottom w:val="single" w:sz="4" w:space="0" w:color="auto"/>
            </w:tcBorders>
            <w:shd w:val="clear" w:color="000000" w:fill="DBB731"/>
            <w:noWrap/>
            <w:vAlign w:val="center"/>
            <w:hideMark/>
          </w:tcPr>
          <w:p w14:paraId="082614C1" w14:textId="77777777" w:rsidR="00312042" w:rsidRPr="00F567E1" w:rsidRDefault="00312042" w:rsidP="00CB7E8A">
            <w:pPr>
              <w:spacing w:before="40" w:after="40"/>
              <w:ind w:firstLineChars="100" w:firstLine="181"/>
              <w:rPr>
                <w:b/>
                <w:bCs/>
                <w:sz w:val="18"/>
                <w:szCs w:val="18"/>
                <w:lang w:val="es-ES_tradnl"/>
              </w:rPr>
            </w:pPr>
            <w:r w:rsidRPr="00F567E1">
              <w:rPr>
                <w:b/>
                <w:bCs/>
                <w:color w:val="000000"/>
                <w:sz w:val="18"/>
                <w:szCs w:val="18"/>
                <w:lang w:val="es-ES_tradnl"/>
              </w:rPr>
              <w:t>Total (F)</w:t>
            </w:r>
          </w:p>
        </w:tc>
        <w:tc>
          <w:tcPr>
            <w:tcW w:w="1275" w:type="dxa"/>
            <w:tcBorders>
              <w:top w:val="single" w:sz="4" w:space="0" w:color="auto"/>
              <w:bottom w:val="single" w:sz="4" w:space="0" w:color="auto"/>
            </w:tcBorders>
            <w:shd w:val="clear" w:color="000000" w:fill="DBB731"/>
            <w:noWrap/>
            <w:vAlign w:val="center"/>
            <w:hideMark/>
          </w:tcPr>
          <w:p w14:paraId="37F6DB59"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bottom w:val="single" w:sz="4" w:space="0" w:color="auto"/>
            </w:tcBorders>
            <w:shd w:val="clear" w:color="000000" w:fill="DBB731"/>
            <w:noWrap/>
            <w:vAlign w:val="center"/>
            <w:hideMark/>
          </w:tcPr>
          <w:p w14:paraId="1449B7C2"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bottom w:val="single" w:sz="4" w:space="0" w:color="auto"/>
            </w:tcBorders>
            <w:shd w:val="clear" w:color="000000" w:fill="DBB731"/>
            <w:noWrap/>
            <w:vAlign w:val="center"/>
            <w:hideMark/>
          </w:tcPr>
          <w:p w14:paraId="6B1B3975"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bottom w:val="single" w:sz="4" w:space="0" w:color="auto"/>
            </w:tcBorders>
            <w:shd w:val="clear" w:color="000000" w:fill="DBB731"/>
            <w:noWrap/>
            <w:vAlign w:val="center"/>
            <w:hideMark/>
          </w:tcPr>
          <w:p w14:paraId="0E782F40" w14:textId="22A7BD39"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36</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33B95389" w14:textId="56AFAF7F"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60</w:t>
            </w:r>
            <w:r w:rsidR="00F32374" w:rsidRPr="00F567E1">
              <w:rPr>
                <w:b/>
                <w:bCs/>
                <w:color w:val="000000"/>
                <w:sz w:val="18"/>
                <w:szCs w:val="18"/>
                <w:lang w:val="es-ES_tradnl"/>
              </w:rPr>
              <w:t> </w:t>
            </w:r>
            <w:r w:rsidRPr="00F567E1">
              <w:rPr>
                <w:b/>
                <w:bCs/>
                <w:color w:val="000000"/>
                <w:sz w:val="18"/>
                <w:szCs w:val="18"/>
                <w:lang w:val="es-ES_tradnl"/>
              </w:rPr>
              <w:t>000</w:t>
            </w:r>
          </w:p>
        </w:tc>
        <w:tc>
          <w:tcPr>
            <w:tcW w:w="1245" w:type="dxa"/>
            <w:tcBorders>
              <w:top w:val="single" w:sz="4" w:space="0" w:color="auto"/>
              <w:bottom w:val="single" w:sz="4" w:space="0" w:color="auto"/>
            </w:tcBorders>
            <w:shd w:val="clear" w:color="000000" w:fill="DBB731"/>
            <w:noWrap/>
            <w:vAlign w:val="center"/>
            <w:hideMark/>
          </w:tcPr>
          <w:p w14:paraId="67C68BD4" w14:textId="05DA91CC"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96</w:t>
            </w:r>
            <w:r w:rsidR="00F32374" w:rsidRPr="00F567E1">
              <w:rPr>
                <w:b/>
                <w:bCs/>
                <w:color w:val="000000"/>
                <w:sz w:val="18"/>
                <w:szCs w:val="18"/>
                <w:lang w:val="es-ES_tradnl"/>
              </w:rPr>
              <w:t> </w:t>
            </w:r>
            <w:r w:rsidRPr="00F567E1">
              <w:rPr>
                <w:b/>
                <w:bCs/>
                <w:color w:val="000000"/>
                <w:sz w:val="18"/>
                <w:szCs w:val="18"/>
                <w:lang w:val="es-ES_tradnl"/>
              </w:rPr>
              <w:t>000</w:t>
            </w:r>
          </w:p>
        </w:tc>
      </w:tr>
      <w:tr w:rsidR="00F234CD" w:rsidRPr="00F567E1" w14:paraId="5E0CB007" w14:textId="77777777" w:rsidTr="00276C83">
        <w:trPr>
          <w:trHeight w:val="42"/>
          <w:jc w:val="right"/>
        </w:trPr>
        <w:tc>
          <w:tcPr>
            <w:tcW w:w="7230" w:type="dxa"/>
            <w:gridSpan w:val="2"/>
            <w:tcBorders>
              <w:top w:val="single" w:sz="4" w:space="0" w:color="auto"/>
            </w:tcBorders>
            <w:noWrap/>
            <w:vAlign w:val="center"/>
            <w:hideMark/>
          </w:tcPr>
          <w:p w14:paraId="61C8C4A8"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G.</w:t>
            </w:r>
            <w:r w:rsidRPr="00F567E1">
              <w:rPr>
                <w:color w:val="000000"/>
                <w:sz w:val="18"/>
                <w:szCs w:val="18"/>
                <w:lang w:val="es-ES_tradnl"/>
              </w:rPr>
              <w:t xml:space="preserve"> </w:t>
            </w:r>
            <w:r w:rsidRPr="00F567E1">
              <w:rPr>
                <w:b/>
                <w:bCs/>
                <w:color w:val="000000"/>
                <w:sz w:val="18"/>
                <w:szCs w:val="18"/>
                <w:lang w:val="es-ES_tradnl"/>
              </w:rPr>
              <w:t>Mantenimiento y servicios de oficina</w:t>
            </w:r>
          </w:p>
        </w:tc>
        <w:tc>
          <w:tcPr>
            <w:tcW w:w="1275" w:type="dxa"/>
            <w:tcBorders>
              <w:top w:val="single" w:sz="4" w:space="0" w:color="auto"/>
            </w:tcBorders>
            <w:noWrap/>
            <w:vAlign w:val="center"/>
            <w:hideMark/>
          </w:tcPr>
          <w:p w14:paraId="6E2D3F5D"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58E4C6EC" w14:textId="77777777" w:rsidR="00312042" w:rsidRPr="00F567E1" w:rsidRDefault="00312042" w:rsidP="00CB7E8A">
            <w:pPr>
              <w:spacing w:before="40" w:after="40"/>
              <w:jc w:val="right"/>
              <w:rPr>
                <w:b/>
                <w:bCs/>
                <w:sz w:val="18"/>
                <w:szCs w:val="18"/>
                <w:lang w:val="es-ES_tradnl"/>
              </w:rPr>
            </w:pPr>
          </w:p>
        </w:tc>
        <w:tc>
          <w:tcPr>
            <w:tcW w:w="1276" w:type="dxa"/>
            <w:tcBorders>
              <w:top w:val="single" w:sz="4" w:space="0" w:color="auto"/>
            </w:tcBorders>
            <w:noWrap/>
            <w:vAlign w:val="center"/>
            <w:hideMark/>
          </w:tcPr>
          <w:p w14:paraId="5BB03A8D"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12C325DE"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tcBorders>
            <w:noWrap/>
            <w:vAlign w:val="center"/>
            <w:hideMark/>
          </w:tcPr>
          <w:p w14:paraId="639065AD" w14:textId="77777777" w:rsidR="00312042" w:rsidRPr="00F567E1" w:rsidRDefault="00312042" w:rsidP="00CB7E8A">
            <w:pPr>
              <w:spacing w:before="40" w:after="40"/>
              <w:jc w:val="right"/>
              <w:rPr>
                <w:b/>
                <w:bCs/>
                <w:sz w:val="18"/>
                <w:szCs w:val="18"/>
                <w:lang w:val="es-ES_tradnl"/>
              </w:rPr>
            </w:pPr>
          </w:p>
        </w:tc>
        <w:tc>
          <w:tcPr>
            <w:tcW w:w="1245" w:type="dxa"/>
            <w:tcBorders>
              <w:top w:val="single" w:sz="4" w:space="0" w:color="auto"/>
            </w:tcBorders>
            <w:noWrap/>
            <w:vAlign w:val="center"/>
            <w:hideMark/>
          </w:tcPr>
          <w:p w14:paraId="3599883F" w14:textId="77777777" w:rsidR="00312042" w:rsidRPr="00F567E1" w:rsidRDefault="00312042" w:rsidP="00CB7E8A">
            <w:pPr>
              <w:spacing w:before="40" w:after="40"/>
              <w:jc w:val="right"/>
              <w:rPr>
                <w:b/>
                <w:bCs/>
                <w:sz w:val="18"/>
                <w:szCs w:val="18"/>
                <w:lang w:val="es-ES_tradnl"/>
              </w:rPr>
            </w:pPr>
          </w:p>
        </w:tc>
      </w:tr>
      <w:tr w:rsidR="00F234CD" w:rsidRPr="00F567E1" w14:paraId="066DCAAF" w14:textId="77777777" w:rsidTr="00276C83">
        <w:trPr>
          <w:trHeight w:val="52"/>
          <w:jc w:val="right"/>
        </w:trPr>
        <w:tc>
          <w:tcPr>
            <w:tcW w:w="7230" w:type="dxa"/>
            <w:gridSpan w:val="2"/>
            <w:noWrap/>
            <w:vAlign w:val="center"/>
            <w:hideMark/>
          </w:tcPr>
          <w:p w14:paraId="27C9DFE6"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15.</w:t>
            </w:r>
            <w:r w:rsidRPr="00F567E1">
              <w:rPr>
                <w:color w:val="000000"/>
                <w:sz w:val="18"/>
                <w:szCs w:val="18"/>
                <w:lang w:val="es-ES_tradnl"/>
              </w:rPr>
              <w:t xml:space="preserve"> </w:t>
            </w:r>
            <w:r w:rsidRPr="00F567E1">
              <w:rPr>
                <w:b/>
                <w:bCs/>
                <w:color w:val="000000"/>
                <w:sz w:val="18"/>
                <w:szCs w:val="18"/>
                <w:lang w:val="es-ES_tradnl"/>
              </w:rPr>
              <w:t>Mantenimiento y servicios de oficina</w:t>
            </w:r>
          </w:p>
        </w:tc>
        <w:tc>
          <w:tcPr>
            <w:tcW w:w="1275" w:type="dxa"/>
            <w:noWrap/>
            <w:vAlign w:val="center"/>
            <w:hideMark/>
          </w:tcPr>
          <w:p w14:paraId="069F4EDA"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28A0C1EF"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3A3CC544" w14:textId="77777777" w:rsidR="00312042" w:rsidRPr="00F567E1" w:rsidRDefault="00312042" w:rsidP="00CB7E8A">
            <w:pPr>
              <w:spacing w:before="40" w:after="40"/>
              <w:jc w:val="right"/>
              <w:rPr>
                <w:sz w:val="18"/>
                <w:szCs w:val="18"/>
                <w:lang w:val="es-ES_tradnl"/>
              </w:rPr>
            </w:pPr>
          </w:p>
        </w:tc>
        <w:tc>
          <w:tcPr>
            <w:tcW w:w="1134" w:type="dxa"/>
            <w:noWrap/>
            <w:vAlign w:val="center"/>
            <w:hideMark/>
          </w:tcPr>
          <w:p w14:paraId="48689A91"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6FFE96D9"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14EDEB6F" w14:textId="77777777" w:rsidR="00312042" w:rsidRPr="00F567E1" w:rsidRDefault="00312042" w:rsidP="00CB7E8A">
            <w:pPr>
              <w:spacing w:before="40" w:after="40"/>
              <w:jc w:val="right"/>
              <w:rPr>
                <w:sz w:val="18"/>
                <w:szCs w:val="18"/>
                <w:lang w:val="es-ES_tradnl"/>
              </w:rPr>
            </w:pPr>
          </w:p>
        </w:tc>
      </w:tr>
      <w:tr w:rsidR="00F234CD" w:rsidRPr="00F567E1" w14:paraId="5F4D8F97" w14:textId="77777777" w:rsidTr="00276C83">
        <w:trPr>
          <w:trHeight w:val="71"/>
          <w:jc w:val="right"/>
        </w:trPr>
        <w:tc>
          <w:tcPr>
            <w:tcW w:w="284" w:type="dxa"/>
            <w:tcBorders>
              <w:top w:val="nil"/>
            </w:tcBorders>
            <w:noWrap/>
            <w:vAlign w:val="center"/>
            <w:hideMark/>
          </w:tcPr>
          <w:p w14:paraId="3D054862"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tcBorders>
              <w:top w:val="nil"/>
            </w:tcBorders>
            <w:noWrap/>
            <w:vAlign w:val="center"/>
            <w:hideMark/>
          </w:tcPr>
          <w:p w14:paraId="0EB6A2E8" w14:textId="77777777" w:rsidR="00312042" w:rsidRPr="00F567E1" w:rsidRDefault="00312042" w:rsidP="00CB7E8A">
            <w:pPr>
              <w:spacing w:before="40" w:after="40"/>
              <w:rPr>
                <w:sz w:val="18"/>
                <w:szCs w:val="18"/>
                <w:lang w:val="es-ES_tradnl"/>
              </w:rPr>
            </w:pPr>
            <w:r w:rsidRPr="00F567E1">
              <w:rPr>
                <w:color w:val="000000"/>
                <w:sz w:val="18"/>
                <w:szCs w:val="18"/>
                <w:lang w:val="es-ES_tradnl"/>
              </w:rPr>
              <w:t xml:space="preserve">15.1. </w:t>
            </w:r>
            <w:r w:rsidRPr="00F567E1">
              <w:rPr>
                <w:b/>
                <w:bCs/>
                <w:color w:val="000000"/>
                <w:sz w:val="18"/>
                <w:szCs w:val="18"/>
                <w:lang w:val="es-ES_tradnl"/>
              </w:rPr>
              <w:t>Mantenimiento y servicios de oficina</w:t>
            </w:r>
          </w:p>
        </w:tc>
        <w:tc>
          <w:tcPr>
            <w:tcW w:w="1275" w:type="dxa"/>
            <w:tcBorders>
              <w:top w:val="nil"/>
            </w:tcBorders>
            <w:noWrap/>
            <w:vAlign w:val="center"/>
            <w:hideMark/>
          </w:tcPr>
          <w:p w14:paraId="0F9466D1" w14:textId="7E0D9A6C" w:rsidR="00312042" w:rsidRPr="00F567E1" w:rsidRDefault="00312042" w:rsidP="00CB7E8A">
            <w:pPr>
              <w:spacing w:before="40" w:after="40"/>
              <w:jc w:val="right"/>
              <w:rPr>
                <w:sz w:val="18"/>
                <w:szCs w:val="18"/>
                <w:lang w:val="es-ES_tradnl"/>
              </w:rPr>
            </w:pPr>
            <w:r w:rsidRPr="00F567E1">
              <w:rPr>
                <w:color w:val="000000"/>
                <w:sz w:val="18"/>
                <w:szCs w:val="18"/>
                <w:lang w:val="es-ES_tradnl"/>
              </w:rPr>
              <w:t>165</w:t>
            </w:r>
            <w:r w:rsidR="00BA11CE"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4B390CCF" w14:textId="30D8710B" w:rsidR="00312042" w:rsidRPr="00F567E1" w:rsidRDefault="00312042" w:rsidP="00CB7E8A">
            <w:pPr>
              <w:spacing w:before="40" w:after="40"/>
              <w:jc w:val="right"/>
              <w:rPr>
                <w:sz w:val="18"/>
                <w:szCs w:val="18"/>
                <w:lang w:val="es-ES_tradnl"/>
              </w:rPr>
            </w:pPr>
            <w:r w:rsidRPr="00F567E1">
              <w:rPr>
                <w:color w:val="000000"/>
                <w:sz w:val="18"/>
                <w:szCs w:val="18"/>
                <w:lang w:val="es-ES_tradnl"/>
              </w:rPr>
              <w:t>165</w:t>
            </w:r>
            <w:r w:rsidR="00BA11CE" w:rsidRPr="00F567E1">
              <w:rPr>
                <w:color w:val="000000"/>
                <w:sz w:val="18"/>
                <w:szCs w:val="18"/>
                <w:lang w:val="es-ES_tradnl"/>
              </w:rPr>
              <w:t> </w:t>
            </w:r>
            <w:r w:rsidRPr="00F567E1">
              <w:rPr>
                <w:color w:val="000000"/>
                <w:sz w:val="18"/>
                <w:szCs w:val="18"/>
                <w:lang w:val="es-ES_tradnl"/>
              </w:rPr>
              <w:t>000</w:t>
            </w:r>
          </w:p>
        </w:tc>
        <w:tc>
          <w:tcPr>
            <w:tcW w:w="1276" w:type="dxa"/>
            <w:tcBorders>
              <w:top w:val="nil"/>
            </w:tcBorders>
            <w:noWrap/>
            <w:vAlign w:val="center"/>
            <w:hideMark/>
          </w:tcPr>
          <w:p w14:paraId="66AD3378" w14:textId="2B244641" w:rsidR="00312042" w:rsidRPr="00F567E1" w:rsidRDefault="00312042" w:rsidP="00CB7E8A">
            <w:pPr>
              <w:spacing w:before="40" w:after="40"/>
              <w:jc w:val="right"/>
              <w:rPr>
                <w:sz w:val="18"/>
                <w:szCs w:val="18"/>
                <w:lang w:val="es-ES_tradnl"/>
              </w:rPr>
            </w:pPr>
            <w:r w:rsidRPr="00F567E1">
              <w:rPr>
                <w:color w:val="000000"/>
                <w:sz w:val="18"/>
                <w:szCs w:val="18"/>
                <w:lang w:val="es-ES_tradnl"/>
              </w:rPr>
              <w:t>330</w:t>
            </w:r>
            <w:r w:rsidR="00F32374"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1D9C6D5E"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151C82C5"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01D18E52" w14:textId="77777777" w:rsidR="00312042" w:rsidRPr="00F567E1" w:rsidRDefault="00312042" w:rsidP="00CB7E8A">
            <w:pPr>
              <w:spacing w:before="40" w:after="40"/>
              <w:jc w:val="right"/>
              <w:rPr>
                <w:sz w:val="18"/>
                <w:szCs w:val="18"/>
                <w:lang w:val="es-ES_tradnl"/>
              </w:rPr>
            </w:pPr>
          </w:p>
        </w:tc>
      </w:tr>
      <w:tr w:rsidR="00F234CD" w:rsidRPr="00F567E1" w14:paraId="30D43584" w14:textId="77777777" w:rsidTr="009A58EE">
        <w:trPr>
          <w:trHeight w:val="315"/>
          <w:jc w:val="right"/>
        </w:trPr>
        <w:tc>
          <w:tcPr>
            <w:tcW w:w="7230" w:type="dxa"/>
            <w:gridSpan w:val="2"/>
            <w:shd w:val="clear" w:color="000000" w:fill="B4C6E7"/>
            <w:noWrap/>
            <w:vAlign w:val="center"/>
            <w:hideMark/>
          </w:tcPr>
          <w:p w14:paraId="3D8A8FB7"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15.</w:t>
            </w:r>
            <w:r w:rsidRPr="00F567E1">
              <w:rPr>
                <w:color w:val="000000"/>
                <w:sz w:val="18"/>
                <w:szCs w:val="18"/>
                <w:lang w:val="es-ES_tradnl"/>
              </w:rPr>
              <w:t xml:space="preserve"> </w:t>
            </w:r>
            <w:r w:rsidRPr="00F567E1">
              <w:rPr>
                <w:b/>
                <w:bCs/>
                <w:color w:val="000000"/>
                <w:sz w:val="18"/>
                <w:szCs w:val="18"/>
                <w:lang w:val="es-ES_tradnl"/>
              </w:rPr>
              <w:t>Mantenimiento y servicios de oficina</w:t>
            </w:r>
          </w:p>
        </w:tc>
        <w:tc>
          <w:tcPr>
            <w:tcW w:w="1275" w:type="dxa"/>
            <w:shd w:val="clear" w:color="000000" w:fill="B4C6E7"/>
            <w:noWrap/>
            <w:vAlign w:val="center"/>
            <w:hideMark/>
          </w:tcPr>
          <w:p w14:paraId="07B833A1" w14:textId="291A9C09"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165</w:t>
            </w:r>
            <w:r w:rsidR="00F32374"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40A15A4A" w14:textId="0772A468"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165</w:t>
            </w:r>
            <w:r w:rsidR="00BA11CE" w:rsidRPr="00F567E1">
              <w:rPr>
                <w:b/>
                <w:bCs/>
                <w:color w:val="000000"/>
                <w:sz w:val="18"/>
                <w:szCs w:val="18"/>
                <w:lang w:val="es-ES_tradnl"/>
              </w:rPr>
              <w:t> </w:t>
            </w:r>
            <w:r w:rsidRPr="00F567E1">
              <w:rPr>
                <w:b/>
                <w:bCs/>
                <w:color w:val="000000"/>
                <w:sz w:val="18"/>
                <w:szCs w:val="18"/>
                <w:lang w:val="es-ES_tradnl"/>
              </w:rPr>
              <w:t>000</w:t>
            </w:r>
          </w:p>
        </w:tc>
        <w:tc>
          <w:tcPr>
            <w:tcW w:w="1276" w:type="dxa"/>
            <w:shd w:val="clear" w:color="000000" w:fill="B4C6E7"/>
            <w:noWrap/>
            <w:vAlign w:val="center"/>
            <w:hideMark/>
          </w:tcPr>
          <w:p w14:paraId="0911A892" w14:textId="7DA091C9"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330</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shd w:val="clear" w:color="000000" w:fill="B4C6E7"/>
            <w:noWrap/>
            <w:vAlign w:val="center"/>
            <w:hideMark/>
          </w:tcPr>
          <w:p w14:paraId="057C9ACC" w14:textId="77777777" w:rsidR="00312042" w:rsidRPr="00F567E1" w:rsidRDefault="00312042" w:rsidP="00CB7E8A">
            <w:pPr>
              <w:spacing w:before="40" w:after="40"/>
              <w:jc w:val="right"/>
              <w:rPr>
                <w:b/>
                <w:bCs/>
                <w:sz w:val="18"/>
                <w:szCs w:val="18"/>
                <w:lang w:val="es-ES_tradnl"/>
              </w:rPr>
            </w:pPr>
          </w:p>
        </w:tc>
        <w:tc>
          <w:tcPr>
            <w:tcW w:w="1134" w:type="dxa"/>
            <w:shd w:val="clear" w:color="000000" w:fill="B4C6E7"/>
            <w:noWrap/>
            <w:vAlign w:val="center"/>
            <w:hideMark/>
          </w:tcPr>
          <w:p w14:paraId="184B289A" w14:textId="77777777" w:rsidR="00312042" w:rsidRPr="00F567E1" w:rsidRDefault="00312042" w:rsidP="00CB7E8A">
            <w:pPr>
              <w:spacing w:before="40" w:after="40"/>
              <w:jc w:val="right"/>
              <w:rPr>
                <w:b/>
                <w:bCs/>
                <w:sz w:val="18"/>
                <w:szCs w:val="18"/>
                <w:lang w:val="es-ES_tradnl"/>
              </w:rPr>
            </w:pPr>
          </w:p>
        </w:tc>
        <w:tc>
          <w:tcPr>
            <w:tcW w:w="1245" w:type="dxa"/>
            <w:shd w:val="clear" w:color="000000" w:fill="B4C6E7"/>
            <w:noWrap/>
            <w:vAlign w:val="center"/>
            <w:hideMark/>
          </w:tcPr>
          <w:p w14:paraId="16616108" w14:textId="77777777" w:rsidR="00312042" w:rsidRPr="00F567E1" w:rsidRDefault="00312042" w:rsidP="00CB7E8A">
            <w:pPr>
              <w:spacing w:before="40" w:after="40"/>
              <w:jc w:val="right"/>
              <w:rPr>
                <w:b/>
                <w:bCs/>
                <w:sz w:val="18"/>
                <w:szCs w:val="18"/>
                <w:lang w:val="es-ES_tradnl"/>
              </w:rPr>
            </w:pPr>
          </w:p>
        </w:tc>
      </w:tr>
      <w:tr w:rsidR="00F234CD" w:rsidRPr="00F567E1" w14:paraId="5432F021" w14:textId="77777777" w:rsidTr="00276C83">
        <w:trPr>
          <w:trHeight w:val="93"/>
          <w:jc w:val="right"/>
        </w:trPr>
        <w:tc>
          <w:tcPr>
            <w:tcW w:w="7230" w:type="dxa"/>
            <w:gridSpan w:val="2"/>
            <w:noWrap/>
            <w:vAlign w:val="center"/>
            <w:hideMark/>
          </w:tcPr>
          <w:p w14:paraId="5815D8FA"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16.</w:t>
            </w:r>
            <w:r w:rsidRPr="00F567E1">
              <w:rPr>
                <w:color w:val="000000"/>
                <w:sz w:val="18"/>
                <w:szCs w:val="18"/>
                <w:lang w:val="es-ES_tradnl"/>
              </w:rPr>
              <w:t xml:space="preserve"> </w:t>
            </w:r>
            <w:r w:rsidRPr="00F567E1">
              <w:rPr>
                <w:b/>
                <w:bCs/>
                <w:color w:val="000000"/>
                <w:sz w:val="18"/>
                <w:szCs w:val="18"/>
                <w:lang w:val="es-ES_tradnl"/>
              </w:rPr>
              <w:t>Programa de Tecnología de la Información y de las Comunicaciones</w:t>
            </w:r>
          </w:p>
        </w:tc>
        <w:tc>
          <w:tcPr>
            <w:tcW w:w="1275" w:type="dxa"/>
            <w:noWrap/>
            <w:vAlign w:val="center"/>
            <w:hideMark/>
          </w:tcPr>
          <w:p w14:paraId="5931C85C"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65E04D95" w14:textId="77777777" w:rsidR="00312042" w:rsidRPr="00F567E1" w:rsidRDefault="00312042" w:rsidP="00CB7E8A">
            <w:pPr>
              <w:spacing w:before="40" w:after="40"/>
              <w:jc w:val="right"/>
              <w:rPr>
                <w:b/>
                <w:bCs/>
                <w:sz w:val="18"/>
                <w:szCs w:val="18"/>
                <w:lang w:val="es-ES_tradnl"/>
              </w:rPr>
            </w:pPr>
          </w:p>
        </w:tc>
        <w:tc>
          <w:tcPr>
            <w:tcW w:w="1276" w:type="dxa"/>
            <w:noWrap/>
            <w:vAlign w:val="center"/>
            <w:hideMark/>
          </w:tcPr>
          <w:p w14:paraId="690D3700"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3B03EE17" w14:textId="77777777" w:rsidR="00312042" w:rsidRPr="00F567E1" w:rsidRDefault="00312042" w:rsidP="00CB7E8A">
            <w:pPr>
              <w:spacing w:before="40" w:after="40"/>
              <w:jc w:val="right"/>
              <w:rPr>
                <w:b/>
                <w:bCs/>
                <w:sz w:val="18"/>
                <w:szCs w:val="18"/>
                <w:lang w:val="es-ES_tradnl"/>
              </w:rPr>
            </w:pPr>
          </w:p>
        </w:tc>
        <w:tc>
          <w:tcPr>
            <w:tcW w:w="1134" w:type="dxa"/>
            <w:noWrap/>
            <w:vAlign w:val="center"/>
            <w:hideMark/>
          </w:tcPr>
          <w:p w14:paraId="20D1C232" w14:textId="77777777" w:rsidR="00312042" w:rsidRPr="00F567E1" w:rsidRDefault="00312042" w:rsidP="00CB7E8A">
            <w:pPr>
              <w:spacing w:before="40" w:after="40"/>
              <w:jc w:val="right"/>
              <w:rPr>
                <w:b/>
                <w:bCs/>
                <w:sz w:val="18"/>
                <w:szCs w:val="18"/>
                <w:lang w:val="es-ES_tradnl"/>
              </w:rPr>
            </w:pPr>
          </w:p>
        </w:tc>
        <w:tc>
          <w:tcPr>
            <w:tcW w:w="1245" w:type="dxa"/>
            <w:noWrap/>
            <w:vAlign w:val="center"/>
            <w:hideMark/>
          </w:tcPr>
          <w:p w14:paraId="2A13C9D6" w14:textId="77777777" w:rsidR="00312042" w:rsidRPr="00F567E1" w:rsidRDefault="00312042" w:rsidP="00CB7E8A">
            <w:pPr>
              <w:spacing w:before="40" w:after="40"/>
              <w:jc w:val="right"/>
              <w:rPr>
                <w:b/>
                <w:bCs/>
                <w:sz w:val="18"/>
                <w:szCs w:val="18"/>
                <w:lang w:val="es-ES_tradnl"/>
              </w:rPr>
            </w:pPr>
          </w:p>
        </w:tc>
      </w:tr>
      <w:tr w:rsidR="00F234CD" w:rsidRPr="00F567E1" w14:paraId="2C7751F3" w14:textId="77777777" w:rsidTr="00276C83">
        <w:trPr>
          <w:trHeight w:val="97"/>
          <w:jc w:val="right"/>
        </w:trPr>
        <w:tc>
          <w:tcPr>
            <w:tcW w:w="284" w:type="dxa"/>
            <w:tcBorders>
              <w:top w:val="nil"/>
            </w:tcBorders>
            <w:noWrap/>
            <w:vAlign w:val="center"/>
            <w:hideMark/>
          </w:tcPr>
          <w:p w14:paraId="41331694"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 </w:t>
            </w:r>
          </w:p>
        </w:tc>
        <w:tc>
          <w:tcPr>
            <w:tcW w:w="6946" w:type="dxa"/>
            <w:tcBorders>
              <w:top w:val="nil"/>
            </w:tcBorders>
            <w:noWrap/>
            <w:vAlign w:val="center"/>
            <w:hideMark/>
          </w:tcPr>
          <w:p w14:paraId="5FF5F784" w14:textId="1EBCFA1B" w:rsidR="00312042" w:rsidRPr="00F567E1" w:rsidRDefault="00312042" w:rsidP="00CB7E8A">
            <w:pPr>
              <w:spacing w:before="40" w:after="40"/>
              <w:rPr>
                <w:sz w:val="18"/>
                <w:szCs w:val="18"/>
                <w:lang w:val="es-ES_tradnl"/>
              </w:rPr>
            </w:pPr>
            <w:r w:rsidRPr="00F567E1">
              <w:rPr>
                <w:color w:val="000000"/>
                <w:sz w:val="18"/>
                <w:szCs w:val="18"/>
                <w:lang w:val="es-ES_tradnl"/>
              </w:rPr>
              <w:t xml:space="preserve">16.1. </w:t>
            </w:r>
            <w:r w:rsidRPr="00F567E1">
              <w:rPr>
                <w:b/>
                <w:bCs/>
                <w:color w:val="000000"/>
                <w:sz w:val="18"/>
                <w:szCs w:val="18"/>
                <w:lang w:val="es-ES_tradnl"/>
              </w:rPr>
              <w:t>Programa de Tecnología de la Información y de las Comunicaciones</w:t>
            </w:r>
          </w:p>
        </w:tc>
        <w:tc>
          <w:tcPr>
            <w:tcW w:w="1275" w:type="dxa"/>
            <w:tcBorders>
              <w:top w:val="nil"/>
            </w:tcBorders>
            <w:noWrap/>
            <w:vAlign w:val="center"/>
            <w:hideMark/>
          </w:tcPr>
          <w:p w14:paraId="7A25754A" w14:textId="3CD1BFF5" w:rsidR="00312042" w:rsidRPr="00F567E1" w:rsidRDefault="00312042" w:rsidP="00CB7E8A">
            <w:pPr>
              <w:spacing w:before="40" w:after="40"/>
              <w:jc w:val="right"/>
              <w:rPr>
                <w:sz w:val="18"/>
                <w:szCs w:val="18"/>
                <w:lang w:val="es-ES_tradnl"/>
              </w:rPr>
            </w:pPr>
            <w:r w:rsidRPr="00F567E1">
              <w:rPr>
                <w:color w:val="000000"/>
                <w:sz w:val="18"/>
                <w:szCs w:val="18"/>
                <w:lang w:val="es-ES_tradnl"/>
              </w:rPr>
              <w:t>60</w:t>
            </w:r>
            <w:r w:rsidR="00BA11CE" w:rsidRPr="00F567E1">
              <w:rPr>
                <w:color w:val="000000"/>
                <w:sz w:val="18"/>
                <w:szCs w:val="18"/>
                <w:lang w:val="es-ES_tradnl"/>
              </w:rPr>
              <w:t> </w:t>
            </w:r>
            <w:r w:rsidRPr="00F567E1">
              <w:rPr>
                <w:color w:val="000000"/>
                <w:sz w:val="18"/>
                <w:szCs w:val="18"/>
                <w:lang w:val="es-ES_tradnl"/>
              </w:rPr>
              <w:t>500</w:t>
            </w:r>
          </w:p>
        </w:tc>
        <w:tc>
          <w:tcPr>
            <w:tcW w:w="1134" w:type="dxa"/>
            <w:tcBorders>
              <w:top w:val="nil"/>
            </w:tcBorders>
            <w:noWrap/>
            <w:vAlign w:val="center"/>
            <w:hideMark/>
          </w:tcPr>
          <w:p w14:paraId="0A119F22" w14:textId="6FCDFED7" w:rsidR="00312042" w:rsidRPr="00F567E1" w:rsidRDefault="00312042" w:rsidP="00CB7E8A">
            <w:pPr>
              <w:spacing w:before="40" w:after="40"/>
              <w:jc w:val="right"/>
              <w:rPr>
                <w:sz w:val="18"/>
                <w:szCs w:val="18"/>
                <w:lang w:val="es-ES_tradnl"/>
              </w:rPr>
            </w:pPr>
            <w:r w:rsidRPr="00F567E1">
              <w:rPr>
                <w:color w:val="000000"/>
                <w:sz w:val="18"/>
                <w:szCs w:val="18"/>
                <w:lang w:val="es-ES_tradnl"/>
              </w:rPr>
              <w:t>60</w:t>
            </w:r>
            <w:r w:rsidR="00BA11CE" w:rsidRPr="00F567E1">
              <w:rPr>
                <w:color w:val="000000"/>
                <w:sz w:val="18"/>
                <w:szCs w:val="18"/>
                <w:lang w:val="es-ES_tradnl"/>
              </w:rPr>
              <w:t> </w:t>
            </w:r>
            <w:r w:rsidRPr="00F567E1">
              <w:rPr>
                <w:color w:val="000000"/>
                <w:sz w:val="18"/>
                <w:szCs w:val="18"/>
                <w:lang w:val="es-ES_tradnl"/>
              </w:rPr>
              <w:t>500</w:t>
            </w:r>
          </w:p>
        </w:tc>
        <w:tc>
          <w:tcPr>
            <w:tcW w:w="1276" w:type="dxa"/>
            <w:tcBorders>
              <w:top w:val="nil"/>
            </w:tcBorders>
            <w:noWrap/>
            <w:vAlign w:val="center"/>
            <w:hideMark/>
          </w:tcPr>
          <w:p w14:paraId="61128995" w14:textId="7B36CFBC" w:rsidR="00312042" w:rsidRPr="00F567E1" w:rsidRDefault="00312042" w:rsidP="00CB7E8A">
            <w:pPr>
              <w:spacing w:before="40" w:after="40"/>
              <w:jc w:val="right"/>
              <w:rPr>
                <w:sz w:val="18"/>
                <w:szCs w:val="18"/>
                <w:lang w:val="es-ES_tradnl"/>
              </w:rPr>
            </w:pPr>
            <w:r w:rsidRPr="00F567E1">
              <w:rPr>
                <w:color w:val="000000"/>
                <w:sz w:val="18"/>
                <w:szCs w:val="18"/>
                <w:lang w:val="es-ES_tradnl"/>
              </w:rPr>
              <w:t>121</w:t>
            </w:r>
            <w:r w:rsidR="001921C8" w:rsidRPr="00F567E1">
              <w:rPr>
                <w:color w:val="000000"/>
                <w:sz w:val="18"/>
                <w:szCs w:val="18"/>
                <w:lang w:val="es-ES_tradnl"/>
              </w:rPr>
              <w:t> </w:t>
            </w:r>
            <w:r w:rsidRPr="00F567E1">
              <w:rPr>
                <w:color w:val="000000"/>
                <w:sz w:val="18"/>
                <w:szCs w:val="18"/>
                <w:lang w:val="es-ES_tradnl"/>
              </w:rPr>
              <w:t>000</w:t>
            </w:r>
          </w:p>
        </w:tc>
        <w:tc>
          <w:tcPr>
            <w:tcW w:w="1134" w:type="dxa"/>
            <w:tcBorders>
              <w:top w:val="nil"/>
            </w:tcBorders>
            <w:noWrap/>
            <w:vAlign w:val="center"/>
            <w:hideMark/>
          </w:tcPr>
          <w:p w14:paraId="1F34F5BE" w14:textId="77777777" w:rsidR="00312042" w:rsidRPr="00F567E1" w:rsidRDefault="00312042" w:rsidP="00CB7E8A">
            <w:pPr>
              <w:spacing w:before="40" w:after="40"/>
              <w:jc w:val="right"/>
              <w:rPr>
                <w:sz w:val="18"/>
                <w:szCs w:val="18"/>
                <w:lang w:val="es-ES_tradnl"/>
              </w:rPr>
            </w:pPr>
          </w:p>
        </w:tc>
        <w:tc>
          <w:tcPr>
            <w:tcW w:w="1134" w:type="dxa"/>
            <w:tcBorders>
              <w:top w:val="nil"/>
            </w:tcBorders>
            <w:noWrap/>
            <w:vAlign w:val="center"/>
            <w:hideMark/>
          </w:tcPr>
          <w:p w14:paraId="4DC440FB" w14:textId="77777777" w:rsidR="00312042" w:rsidRPr="00F567E1" w:rsidRDefault="00312042" w:rsidP="00CB7E8A">
            <w:pPr>
              <w:spacing w:before="40" w:after="40"/>
              <w:jc w:val="right"/>
              <w:rPr>
                <w:sz w:val="18"/>
                <w:szCs w:val="18"/>
                <w:lang w:val="es-ES_tradnl"/>
              </w:rPr>
            </w:pPr>
          </w:p>
        </w:tc>
        <w:tc>
          <w:tcPr>
            <w:tcW w:w="1245" w:type="dxa"/>
            <w:tcBorders>
              <w:top w:val="nil"/>
            </w:tcBorders>
            <w:noWrap/>
            <w:vAlign w:val="center"/>
            <w:hideMark/>
          </w:tcPr>
          <w:p w14:paraId="7CFDB78B" w14:textId="77777777" w:rsidR="00312042" w:rsidRPr="00F567E1" w:rsidRDefault="00312042" w:rsidP="00CB7E8A">
            <w:pPr>
              <w:spacing w:before="40" w:after="40"/>
              <w:jc w:val="right"/>
              <w:rPr>
                <w:sz w:val="18"/>
                <w:szCs w:val="18"/>
                <w:lang w:val="es-ES_tradnl"/>
              </w:rPr>
            </w:pPr>
          </w:p>
        </w:tc>
      </w:tr>
      <w:tr w:rsidR="00F234CD" w:rsidRPr="00F567E1" w14:paraId="188086DC" w14:textId="77777777" w:rsidTr="003027F0">
        <w:trPr>
          <w:trHeight w:val="110"/>
          <w:jc w:val="right"/>
        </w:trPr>
        <w:tc>
          <w:tcPr>
            <w:tcW w:w="7230" w:type="dxa"/>
            <w:gridSpan w:val="2"/>
            <w:tcBorders>
              <w:bottom w:val="single" w:sz="4" w:space="0" w:color="auto"/>
            </w:tcBorders>
            <w:shd w:val="clear" w:color="000000" w:fill="B4C6E7"/>
            <w:noWrap/>
            <w:vAlign w:val="center"/>
            <w:hideMark/>
          </w:tcPr>
          <w:p w14:paraId="788F93E4" w14:textId="77777777" w:rsidR="00312042" w:rsidRPr="00F567E1" w:rsidRDefault="00312042" w:rsidP="00CB7E8A">
            <w:pPr>
              <w:spacing w:before="40" w:after="40"/>
              <w:rPr>
                <w:b/>
                <w:bCs/>
                <w:sz w:val="18"/>
                <w:szCs w:val="18"/>
                <w:lang w:val="es-ES_tradnl"/>
              </w:rPr>
            </w:pPr>
            <w:r w:rsidRPr="00F567E1">
              <w:rPr>
                <w:b/>
                <w:bCs/>
                <w:color w:val="000000"/>
                <w:sz w:val="18"/>
                <w:szCs w:val="18"/>
                <w:lang w:val="es-ES_tradnl"/>
              </w:rPr>
              <w:t>16.</w:t>
            </w:r>
            <w:r w:rsidRPr="00F567E1">
              <w:rPr>
                <w:color w:val="000000"/>
                <w:sz w:val="18"/>
                <w:szCs w:val="18"/>
                <w:lang w:val="es-ES_tradnl"/>
              </w:rPr>
              <w:t xml:space="preserve"> </w:t>
            </w:r>
            <w:r w:rsidRPr="00F567E1">
              <w:rPr>
                <w:b/>
                <w:bCs/>
                <w:color w:val="000000"/>
                <w:sz w:val="18"/>
                <w:szCs w:val="18"/>
                <w:lang w:val="es-ES_tradnl"/>
              </w:rPr>
              <w:t>Programa de Tecnología de la Información y de las Comunicaciones</w:t>
            </w:r>
          </w:p>
        </w:tc>
        <w:tc>
          <w:tcPr>
            <w:tcW w:w="1275" w:type="dxa"/>
            <w:tcBorders>
              <w:bottom w:val="single" w:sz="4" w:space="0" w:color="auto"/>
            </w:tcBorders>
            <w:shd w:val="clear" w:color="000000" w:fill="B4C6E7"/>
            <w:noWrap/>
            <w:vAlign w:val="center"/>
            <w:hideMark/>
          </w:tcPr>
          <w:p w14:paraId="37299002" w14:textId="590A3049"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60</w:t>
            </w:r>
            <w:r w:rsidR="00F32374" w:rsidRPr="00F567E1">
              <w:rPr>
                <w:b/>
                <w:bCs/>
                <w:color w:val="000000"/>
                <w:sz w:val="18"/>
                <w:szCs w:val="18"/>
                <w:lang w:val="es-ES_tradnl"/>
              </w:rPr>
              <w:t> </w:t>
            </w:r>
            <w:r w:rsidRPr="00F567E1">
              <w:rPr>
                <w:b/>
                <w:bCs/>
                <w:color w:val="000000"/>
                <w:sz w:val="18"/>
                <w:szCs w:val="18"/>
                <w:lang w:val="es-ES_tradnl"/>
              </w:rPr>
              <w:t>500</w:t>
            </w:r>
          </w:p>
        </w:tc>
        <w:tc>
          <w:tcPr>
            <w:tcW w:w="1134" w:type="dxa"/>
            <w:tcBorders>
              <w:bottom w:val="single" w:sz="4" w:space="0" w:color="auto"/>
            </w:tcBorders>
            <w:shd w:val="clear" w:color="000000" w:fill="B4C6E7"/>
            <w:noWrap/>
            <w:vAlign w:val="center"/>
            <w:hideMark/>
          </w:tcPr>
          <w:p w14:paraId="50867212" w14:textId="0FE790B9"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60</w:t>
            </w:r>
            <w:r w:rsidR="00BA11CE" w:rsidRPr="00F567E1">
              <w:rPr>
                <w:b/>
                <w:bCs/>
                <w:color w:val="000000"/>
                <w:sz w:val="18"/>
                <w:szCs w:val="18"/>
                <w:lang w:val="es-ES_tradnl"/>
              </w:rPr>
              <w:t> </w:t>
            </w:r>
            <w:r w:rsidRPr="00F567E1">
              <w:rPr>
                <w:b/>
                <w:bCs/>
                <w:color w:val="000000"/>
                <w:sz w:val="18"/>
                <w:szCs w:val="18"/>
                <w:lang w:val="es-ES_tradnl"/>
              </w:rPr>
              <w:t>500</w:t>
            </w:r>
          </w:p>
        </w:tc>
        <w:tc>
          <w:tcPr>
            <w:tcW w:w="1276" w:type="dxa"/>
            <w:tcBorders>
              <w:bottom w:val="single" w:sz="4" w:space="0" w:color="auto"/>
            </w:tcBorders>
            <w:shd w:val="clear" w:color="000000" w:fill="B4C6E7"/>
            <w:noWrap/>
            <w:vAlign w:val="center"/>
            <w:hideMark/>
          </w:tcPr>
          <w:p w14:paraId="50D2F21B" w14:textId="5C03EB7A"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121</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bottom w:val="single" w:sz="4" w:space="0" w:color="auto"/>
            </w:tcBorders>
            <w:shd w:val="clear" w:color="000000" w:fill="B4C6E7"/>
            <w:noWrap/>
            <w:vAlign w:val="center"/>
            <w:hideMark/>
          </w:tcPr>
          <w:p w14:paraId="479EE048" w14:textId="77777777" w:rsidR="00312042" w:rsidRPr="00F567E1" w:rsidRDefault="00312042" w:rsidP="00CB7E8A">
            <w:pPr>
              <w:spacing w:before="40" w:after="40"/>
              <w:jc w:val="right"/>
              <w:rPr>
                <w:b/>
                <w:bCs/>
                <w:sz w:val="18"/>
                <w:szCs w:val="18"/>
                <w:lang w:val="es-ES_tradnl"/>
              </w:rPr>
            </w:pPr>
          </w:p>
        </w:tc>
        <w:tc>
          <w:tcPr>
            <w:tcW w:w="1134" w:type="dxa"/>
            <w:tcBorders>
              <w:bottom w:val="single" w:sz="4" w:space="0" w:color="auto"/>
            </w:tcBorders>
            <w:shd w:val="clear" w:color="000000" w:fill="B4C6E7"/>
            <w:noWrap/>
            <w:vAlign w:val="center"/>
            <w:hideMark/>
          </w:tcPr>
          <w:p w14:paraId="350F0844" w14:textId="77777777" w:rsidR="00312042" w:rsidRPr="00F567E1" w:rsidRDefault="00312042" w:rsidP="00CB7E8A">
            <w:pPr>
              <w:spacing w:before="40" w:after="40"/>
              <w:jc w:val="right"/>
              <w:rPr>
                <w:b/>
                <w:bCs/>
                <w:sz w:val="18"/>
                <w:szCs w:val="18"/>
                <w:lang w:val="es-ES_tradnl"/>
              </w:rPr>
            </w:pPr>
          </w:p>
        </w:tc>
        <w:tc>
          <w:tcPr>
            <w:tcW w:w="1245" w:type="dxa"/>
            <w:tcBorders>
              <w:bottom w:val="single" w:sz="4" w:space="0" w:color="auto"/>
            </w:tcBorders>
            <w:shd w:val="clear" w:color="000000" w:fill="B4C6E7"/>
            <w:noWrap/>
            <w:vAlign w:val="center"/>
            <w:hideMark/>
          </w:tcPr>
          <w:p w14:paraId="1CBCF7F1" w14:textId="77777777" w:rsidR="00312042" w:rsidRPr="00F567E1" w:rsidRDefault="00312042" w:rsidP="00CB7E8A">
            <w:pPr>
              <w:spacing w:before="40" w:after="40"/>
              <w:jc w:val="right"/>
              <w:rPr>
                <w:b/>
                <w:bCs/>
                <w:sz w:val="18"/>
                <w:szCs w:val="18"/>
                <w:lang w:val="es-ES_tradnl"/>
              </w:rPr>
            </w:pPr>
          </w:p>
        </w:tc>
      </w:tr>
      <w:tr w:rsidR="00F234CD" w:rsidRPr="00F567E1" w14:paraId="436DCCC7" w14:textId="77777777" w:rsidTr="003027F0">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15C26324" w14:textId="77777777" w:rsidR="00312042" w:rsidRPr="00F567E1" w:rsidRDefault="00312042" w:rsidP="00CB7E8A">
            <w:pPr>
              <w:spacing w:before="40" w:after="40"/>
              <w:ind w:firstLineChars="100" w:firstLine="181"/>
              <w:rPr>
                <w:b/>
                <w:bCs/>
                <w:sz w:val="18"/>
                <w:szCs w:val="18"/>
                <w:lang w:val="es-ES_tradnl"/>
              </w:rPr>
            </w:pPr>
            <w:r w:rsidRPr="00F567E1">
              <w:rPr>
                <w:b/>
                <w:bCs/>
                <w:color w:val="000000"/>
                <w:sz w:val="18"/>
                <w:szCs w:val="18"/>
                <w:lang w:val="es-ES_tradnl"/>
              </w:rPr>
              <w:t>Total (G)</w:t>
            </w:r>
          </w:p>
        </w:tc>
        <w:tc>
          <w:tcPr>
            <w:tcW w:w="1275" w:type="dxa"/>
            <w:tcBorders>
              <w:top w:val="single" w:sz="4" w:space="0" w:color="auto"/>
              <w:bottom w:val="single" w:sz="4" w:space="0" w:color="auto"/>
            </w:tcBorders>
            <w:shd w:val="clear" w:color="000000" w:fill="DBB731"/>
            <w:noWrap/>
            <w:vAlign w:val="center"/>
            <w:hideMark/>
          </w:tcPr>
          <w:p w14:paraId="5D621EEA" w14:textId="38337837"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225</w:t>
            </w:r>
            <w:r w:rsidR="00F32374" w:rsidRPr="00F567E1">
              <w:rPr>
                <w:b/>
                <w:bCs/>
                <w:color w:val="000000"/>
                <w:sz w:val="18"/>
                <w:szCs w:val="18"/>
                <w:lang w:val="es-ES_tradnl"/>
              </w:rPr>
              <w:t> </w:t>
            </w:r>
            <w:r w:rsidRPr="00F567E1">
              <w:rPr>
                <w:b/>
                <w:bCs/>
                <w:color w:val="000000"/>
                <w:sz w:val="18"/>
                <w:szCs w:val="18"/>
                <w:lang w:val="es-ES_tradnl"/>
              </w:rPr>
              <w:t>500</w:t>
            </w:r>
          </w:p>
        </w:tc>
        <w:tc>
          <w:tcPr>
            <w:tcW w:w="1134" w:type="dxa"/>
            <w:tcBorders>
              <w:top w:val="single" w:sz="4" w:space="0" w:color="auto"/>
              <w:bottom w:val="single" w:sz="4" w:space="0" w:color="auto"/>
            </w:tcBorders>
            <w:shd w:val="clear" w:color="000000" w:fill="DBB731"/>
            <w:noWrap/>
            <w:vAlign w:val="center"/>
            <w:hideMark/>
          </w:tcPr>
          <w:p w14:paraId="1848D1C0" w14:textId="0E3A2579"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225</w:t>
            </w:r>
            <w:r w:rsidR="00BA11CE" w:rsidRPr="00F567E1">
              <w:rPr>
                <w:b/>
                <w:bCs/>
                <w:color w:val="000000"/>
                <w:sz w:val="18"/>
                <w:szCs w:val="18"/>
                <w:lang w:val="es-ES_tradnl"/>
              </w:rPr>
              <w:t> </w:t>
            </w:r>
            <w:r w:rsidRPr="00F567E1">
              <w:rPr>
                <w:b/>
                <w:bCs/>
                <w:color w:val="000000"/>
                <w:sz w:val="18"/>
                <w:szCs w:val="18"/>
                <w:lang w:val="es-ES_tradnl"/>
              </w:rPr>
              <w:t>500</w:t>
            </w:r>
          </w:p>
        </w:tc>
        <w:tc>
          <w:tcPr>
            <w:tcW w:w="1276" w:type="dxa"/>
            <w:tcBorders>
              <w:top w:val="single" w:sz="4" w:space="0" w:color="auto"/>
              <w:bottom w:val="single" w:sz="4" w:space="0" w:color="auto"/>
            </w:tcBorders>
            <w:shd w:val="clear" w:color="000000" w:fill="DBB731"/>
            <w:noWrap/>
            <w:vAlign w:val="center"/>
            <w:hideMark/>
          </w:tcPr>
          <w:p w14:paraId="3CA364F4" w14:textId="3E81EF81"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451</w:t>
            </w:r>
            <w:r w:rsidR="00BA11CE" w:rsidRPr="00F567E1">
              <w:rPr>
                <w:b/>
                <w:bCs/>
                <w:color w:val="000000"/>
                <w:sz w:val="18"/>
                <w:szCs w:val="18"/>
                <w:lang w:val="es-ES_tradnl"/>
              </w:rPr>
              <w:t> </w:t>
            </w:r>
            <w:r w:rsidRPr="00F567E1">
              <w:rPr>
                <w:b/>
                <w:bCs/>
                <w:color w:val="000000"/>
                <w:sz w:val="18"/>
                <w:szCs w:val="18"/>
                <w:lang w:val="es-ES_tradnl"/>
              </w:rPr>
              <w:t>000</w:t>
            </w:r>
          </w:p>
        </w:tc>
        <w:tc>
          <w:tcPr>
            <w:tcW w:w="1134" w:type="dxa"/>
            <w:tcBorders>
              <w:top w:val="single" w:sz="4" w:space="0" w:color="auto"/>
              <w:bottom w:val="single" w:sz="4" w:space="0" w:color="auto"/>
            </w:tcBorders>
            <w:shd w:val="clear" w:color="000000" w:fill="DBB731"/>
            <w:noWrap/>
            <w:vAlign w:val="center"/>
            <w:hideMark/>
          </w:tcPr>
          <w:p w14:paraId="6364B2F0" w14:textId="77777777" w:rsidR="00312042" w:rsidRPr="00F567E1" w:rsidRDefault="00312042" w:rsidP="00CB7E8A">
            <w:pPr>
              <w:spacing w:before="40" w:after="40"/>
              <w:jc w:val="right"/>
              <w:rPr>
                <w:b/>
                <w:bCs/>
                <w:sz w:val="18"/>
                <w:szCs w:val="18"/>
                <w:lang w:val="es-ES_tradnl"/>
              </w:rPr>
            </w:pPr>
          </w:p>
        </w:tc>
        <w:tc>
          <w:tcPr>
            <w:tcW w:w="1134" w:type="dxa"/>
            <w:tcBorders>
              <w:top w:val="single" w:sz="4" w:space="0" w:color="auto"/>
              <w:bottom w:val="single" w:sz="4" w:space="0" w:color="auto"/>
            </w:tcBorders>
            <w:shd w:val="clear" w:color="000000" w:fill="DBB731"/>
            <w:noWrap/>
            <w:vAlign w:val="center"/>
            <w:hideMark/>
          </w:tcPr>
          <w:p w14:paraId="29319A46" w14:textId="77777777" w:rsidR="00312042" w:rsidRPr="00F567E1" w:rsidRDefault="00312042" w:rsidP="00CB7E8A">
            <w:pPr>
              <w:spacing w:before="40" w:after="40"/>
              <w:jc w:val="right"/>
              <w:rPr>
                <w:b/>
                <w:bCs/>
                <w:sz w:val="18"/>
                <w:szCs w:val="18"/>
                <w:lang w:val="es-ES_tradnl"/>
              </w:rPr>
            </w:pPr>
          </w:p>
        </w:tc>
        <w:tc>
          <w:tcPr>
            <w:tcW w:w="1245" w:type="dxa"/>
            <w:tcBorders>
              <w:top w:val="single" w:sz="4" w:space="0" w:color="auto"/>
              <w:bottom w:val="single" w:sz="4" w:space="0" w:color="auto"/>
            </w:tcBorders>
            <w:shd w:val="clear" w:color="000000" w:fill="DBB731"/>
            <w:noWrap/>
            <w:vAlign w:val="center"/>
            <w:hideMark/>
          </w:tcPr>
          <w:p w14:paraId="6EF83749" w14:textId="77777777" w:rsidR="00312042" w:rsidRPr="00F567E1" w:rsidRDefault="00312042" w:rsidP="00CB7E8A">
            <w:pPr>
              <w:spacing w:before="40" w:after="40"/>
              <w:jc w:val="right"/>
              <w:rPr>
                <w:b/>
                <w:bCs/>
                <w:sz w:val="18"/>
                <w:szCs w:val="18"/>
                <w:lang w:val="es-ES_tradnl"/>
              </w:rPr>
            </w:pPr>
          </w:p>
        </w:tc>
      </w:tr>
      <w:tr w:rsidR="00F234CD" w:rsidRPr="00F567E1" w14:paraId="3264D794" w14:textId="77777777" w:rsidTr="003027F0">
        <w:trPr>
          <w:trHeight w:val="57"/>
          <w:jc w:val="right"/>
        </w:trPr>
        <w:tc>
          <w:tcPr>
            <w:tcW w:w="7230" w:type="dxa"/>
            <w:gridSpan w:val="2"/>
            <w:tcBorders>
              <w:top w:val="single" w:sz="4" w:space="0" w:color="auto"/>
            </w:tcBorders>
            <w:noWrap/>
            <w:vAlign w:val="center"/>
            <w:hideMark/>
          </w:tcPr>
          <w:p w14:paraId="6655BF70" w14:textId="77777777" w:rsidR="00312042" w:rsidRPr="00F567E1" w:rsidRDefault="00312042" w:rsidP="00DB0ECC">
            <w:pPr>
              <w:keepNext/>
              <w:keepLines/>
              <w:spacing w:before="40" w:after="40"/>
              <w:rPr>
                <w:b/>
                <w:bCs/>
                <w:sz w:val="18"/>
                <w:szCs w:val="18"/>
                <w:lang w:val="es-ES_tradnl"/>
              </w:rPr>
            </w:pPr>
            <w:r w:rsidRPr="00F567E1">
              <w:rPr>
                <w:b/>
                <w:bCs/>
                <w:color w:val="000000"/>
                <w:sz w:val="18"/>
                <w:szCs w:val="18"/>
                <w:lang w:val="es-ES_tradnl"/>
              </w:rPr>
              <w:lastRenderedPageBreak/>
              <w:t>Recursos necesarios para todas las actividades</w:t>
            </w:r>
          </w:p>
        </w:tc>
        <w:tc>
          <w:tcPr>
            <w:tcW w:w="1275" w:type="dxa"/>
            <w:tcBorders>
              <w:top w:val="single" w:sz="4" w:space="0" w:color="auto"/>
            </w:tcBorders>
            <w:noWrap/>
            <w:vAlign w:val="center"/>
            <w:hideMark/>
          </w:tcPr>
          <w:p w14:paraId="029E2107" w14:textId="77777777" w:rsidR="00312042" w:rsidRPr="00F567E1" w:rsidRDefault="00312042" w:rsidP="00DB0ECC">
            <w:pPr>
              <w:keepNext/>
              <w:keepLines/>
              <w:spacing w:before="40" w:after="40"/>
              <w:jc w:val="right"/>
              <w:rPr>
                <w:b/>
                <w:bCs/>
                <w:sz w:val="18"/>
                <w:szCs w:val="18"/>
                <w:lang w:val="es-ES_tradnl"/>
              </w:rPr>
            </w:pPr>
          </w:p>
        </w:tc>
        <w:tc>
          <w:tcPr>
            <w:tcW w:w="1134" w:type="dxa"/>
            <w:tcBorders>
              <w:top w:val="single" w:sz="4" w:space="0" w:color="auto"/>
            </w:tcBorders>
            <w:noWrap/>
            <w:vAlign w:val="center"/>
            <w:hideMark/>
          </w:tcPr>
          <w:p w14:paraId="0765CE42" w14:textId="77777777" w:rsidR="00312042" w:rsidRPr="00F567E1" w:rsidRDefault="00312042" w:rsidP="00DB0ECC">
            <w:pPr>
              <w:keepNext/>
              <w:keepLines/>
              <w:spacing w:before="40" w:after="40"/>
              <w:jc w:val="right"/>
              <w:rPr>
                <w:b/>
                <w:bCs/>
                <w:sz w:val="18"/>
                <w:szCs w:val="18"/>
                <w:lang w:val="es-ES_tradnl"/>
              </w:rPr>
            </w:pPr>
          </w:p>
        </w:tc>
        <w:tc>
          <w:tcPr>
            <w:tcW w:w="1276" w:type="dxa"/>
            <w:tcBorders>
              <w:top w:val="single" w:sz="4" w:space="0" w:color="auto"/>
            </w:tcBorders>
            <w:noWrap/>
            <w:vAlign w:val="center"/>
            <w:hideMark/>
          </w:tcPr>
          <w:p w14:paraId="67A65CBE" w14:textId="77777777" w:rsidR="00312042" w:rsidRPr="00F567E1" w:rsidRDefault="00312042" w:rsidP="00DB0ECC">
            <w:pPr>
              <w:keepNext/>
              <w:keepLines/>
              <w:spacing w:before="40" w:after="40"/>
              <w:jc w:val="right"/>
              <w:rPr>
                <w:b/>
                <w:bCs/>
                <w:sz w:val="18"/>
                <w:szCs w:val="18"/>
                <w:lang w:val="es-ES_tradnl"/>
              </w:rPr>
            </w:pPr>
          </w:p>
        </w:tc>
        <w:tc>
          <w:tcPr>
            <w:tcW w:w="1134" w:type="dxa"/>
            <w:tcBorders>
              <w:top w:val="single" w:sz="4" w:space="0" w:color="auto"/>
            </w:tcBorders>
            <w:noWrap/>
            <w:vAlign w:val="center"/>
            <w:hideMark/>
          </w:tcPr>
          <w:p w14:paraId="7440E0A5" w14:textId="77777777" w:rsidR="00312042" w:rsidRPr="00F567E1" w:rsidRDefault="00312042" w:rsidP="00DB0ECC">
            <w:pPr>
              <w:keepNext/>
              <w:keepLines/>
              <w:spacing w:before="40" w:after="40"/>
              <w:jc w:val="right"/>
              <w:rPr>
                <w:b/>
                <w:bCs/>
                <w:sz w:val="18"/>
                <w:szCs w:val="18"/>
                <w:lang w:val="es-ES_tradnl"/>
              </w:rPr>
            </w:pPr>
          </w:p>
        </w:tc>
        <w:tc>
          <w:tcPr>
            <w:tcW w:w="1134" w:type="dxa"/>
            <w:tcBorders>
              <w:top w:val="single" w:sz="4" w:space="0" w:color="auto"/>
            </w:tcBorders>
            <w:noWrap/>
            <w:vAlign w:val="center"/>
            <w:hideMark/>
          </w:tcPr>
          <w:p w14:paraId="77F6FF9E" w14:textId="77777777" w:rsidR="00312042" w:rsidRPr="00F567E1" w:rsidRDefault="00312042" w:rsidP="00DB0ECC">
            <w:pPr>
              <w:keepNext/>
              <w:keepLines/>
              <w:spacing w:before="40" w:after="40"/>
              <w:jc w:val="right"/>
              <w:rPr>
                <w:b/>
                <w:bCs/>
                <w:sz w:val="18"/>
                <w:szCs w:val="18"/>
                <w:lang w:val="es-ES_tradnl"/>
              </w:rPr>
            </w:pPr>
          </w:p>
        </w:tc>
        <w:tc>
          <w:tcPr>
            <w:tcW w:w="1245" w:type="dxa"/>
            <w:tcBorders>
              <w:top w:val="single" w:sz="4" w:space="0" w:color="auto"/>
            </w:tcBorders>
            <w:noWrap/>
            <w:vAlign w:val="center"/>
            <w:hideMark/>
          </w:tcPr>
          <w:p w14:paraId="59B93CF8" w14:textId="77777777" w:rsidR="00312042" w:rsidRPr="00F567E1" w:rsidRDefault="00312042" w:rsidP="00DB0ECC">
            <w:pPr>
              <w:keepNext/>
              <w:keepLines/>
              <w:spacing w:before="40" w:after="40"/>
              <w:jc w:val="right"/>
              <w:rPr>
                <w:b/>
                <w:bCs/>
                <w:sz w:val="18"/>
                <w:szCs w:val="18"/>
                <w:lang w:val="es-ES_tradnl"/>
              </w:rPr>
            </w:pPr>
          </w:p>
        </w:tc>
      </w:tr>
      <w:tr w:rsidR="00F234CD" w:rsidRPr="00F567E1" w14:paraId="224A1151" w14:textId="77777777" w:rsidTr="00276C83">
        <w:trPr>
          <w:trHeight w:val="58"/>
          <w:jc w:val="right"/>
        </w:trPr>
        <w:tc>
          <w:tcPr>
            <w:tcW w:w="7230" w:type="dxa"/>
            <w:gridSpan w:val="2"/>
            <w:noWrap/>
            <w:vAlign w:val="center"/>
            <w:hideMark/>
          </w:tcPr>
          <w:p w14:paraId="61AF084E" w14:textId="6C105B10" w:rsidR="00312042" w:rsidRPr="00F567E1" w:rsidRDefault="00312042" w:rsidP="00DB0ECC">
            <w:pPr>
              <w:keepNext/>
              <w:keepLines/>
              <w:spacing w:before="40" w:after="40"/>
              <w:ind w:firstLineChars="100" w:firstLine="181"/>
              <w:rPr>
                <w:b/>
                <w:bCs/>
                <w:sz w:val="18"/>
                <w:szCs w:val="18"/>
                <w:lang w:val="es-ES_tradnl"/>
              </w:rPr>
            </w:pPr>
            <w:r w:rsidRPr="00F567E1">
              <w:rPr>
                <w:b/>
                <w:bCs/>
                <w:color w:val="000000"/>
                <w:sz w:val="18"/>
                <w:szCs w:val="18"/>
                <w:lang w:val="es-ES_tradnl"/>
              </w:rPr>
              <w:t xml:space="preserve">Total (A </w:t>
            </w:r>
            <w:proofErr w:type="spellStart"/>
            <w:r w:rsidRPr="00F567E1">
              <w:rPr>
                <w:b/>
                <w:bCs/>
                <w:color w:val="000000"/>
                <w:sz w:val="18"/>
                <w:szCs w:val="18"/>
                <w:lang w:val="es-ES_tradnl"/>
              </w:rPr>
              <w:t>a</w:t>
            </w:r>
            <w:proofErr w:type="spellEnd"/>
            <w:r w:rsidRPr="00F567E1">
              <w:rPr>
                <w:b/>
                <w:bCs/>
                <w:color w:val="000000"/>
                <w:sz w:val="18"/>
                <w:szCs w:val="18"/>
                <w:lang w:val="es-ES_tradnl"/>
              </w:rPr>
              <w:t xml:space="preserve"> G), excluidos los gastos de apoyo a los programas</w:t>
            </w:r>
          </w:p>
        </w:tc>
        <w:tc>
          <w:tcPr>
            <w:tcW w:w="1275" w:type="dxa"/>
            <w:noWrap/>
            <w:vAlign w:val="center"/>
            <w:hideMark/>
          </w:tcPr>
          <w:p w14:paraId="12DE7360" w14:textId="52E1087B"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3</w:t>
            </w:r>
            <w:r w:rsidR="00FA2B2F" w:rsidRPr="00F567E1">
              <w:rPr>
                <w:color w:val="000000"/>
                <w:sz w:val="18"/>
                <w:szCs w:val="18"/>
                <w:lang w:val="es-ES_tradnl"/>
              </w:rPr>
              <w:t> </w:t>
            </w:r>
            <w:r w:rsidRPr="00F567E1">
              <w:rPr>
                <w:color w:val="000000"/>
                <w:sz w:val="18"/>
                <w:szCs w:val="18"/>
                <w:lang w:val="es-ES_tradnl"/>
              </w:rPr>
              <w:t>384</w:t>
            </w:r>
            <w:r w:rsidR="00FA2B2F" w:rsidRPr="00F567E1">
              <w:rPr>
                <w:color w:val="000000"/>
                <w:sz w:val="18"/>
                <w:szCs w:val="18"/>
                <w:lang w:val="es-ES_tradnl"/>
              </w:rPr>
              <w:t> </w:t>
            </w:r>
            <w:r w:rsidRPr="00F567E1">
              <w:rPr>
                <w:color w:val="000000"/>
                <w:sz w:val="18"/>
                <w:szCs w:val="18"/>
                <w:lang w:val="es-ES_tradnl"/>
              </w:rPr>
              <w:t>057</w:t>
            </w:r>
          </w:p>
        </w:tc>
        <w:tc>
          <w:tcPr>
            <w:tcW w:w="1134" w:type="dxa"/>
            <w:noWrap/>
            <w:vAlign w:val="center"/>
            <w:hideMark/>
          </w:tcPr>
          <w:p w14:paraId="7AFCF7F2" w14:textId="29F40D64"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4</w:t>
            </w:r>
            <w:r w:rsidR="00BA11CE" w:rsidRPr="00F567E1">
              <w:rPr>
                <w:color w:val="000000"/>
                <w:sz w:val="18"/>
                <w:szCs w:val="18"/>
                <w:lang w:val="es-ES_tradnl"/>
              </w:rPr>
              <w:t> </w:t>
            </w:r>
            <w:r w:rsidRPr="00F567E1">
              <w:rPr>
                <w:color w:val="000000"/>
                <w:sz w:val="18"/>
                <w:szCs w:val="18"/>
                <w:lang w:val="es-ES_tradnl"/>
              </w:rPr>
              <w:t>162</w:t>
            </w:r>
            <w:r w:rsidR="00BA11CE" w:rsidRPr="00F567E1">
              <w:rPr>
                <w:color w:val="000000"/>
                <w:sz w:val="18"/>
                <w:szCs w:val="18"/>
                <w:lang w:val="es-ES_tradnl"/>
              </w:rPr>
              <w:t> </w:t>
            </w:r>
            <w:r w:rsidRPr="00F567E1">
              <w:rPr>
                <w:color w:val="000000"/>
                <w:sz w:val="18"/>
                <w:szCs w:val="18"/>
                <w:lang w:val="es-ES_tradnl"/>
              </w:rPr>
              <w:t>495</w:t>
            </w:r>
          </w:p>
        </w:tc>
        <w:tc>
          <w:tcPr>
            <w:tcW w:w="1276" w:type="dxa"/>
            <w:noWrap/>
            <w:vAlign w:val="center"/>
            <w:hideMark/>
          </w:tcPr>
          <w:p w14:paraId="55C10975" w14:textId="37AAD8DC"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7</w:t>
            </w:r>
            <w:r w:rsidR="00BA11CE" w:rsidRPr="00F567E1">
              <w:rPr>
                <w:color w:val="000000"/>
                <w:sz w:val="18"/>
                <w:szCs w:val="18"/>
                <w:lang w:val="es-ES_tradnl"/>
              </w:rPr>
              <w:t> </w:t>
            </w:r>
            <w:r w:rsidRPr="00F567E1">
              <w:rPr>
                <w:color w:val="000000"/>
                <w:sz w:val="18"/>
                <w:szCs w:val="18"/>
                <w:lang w:val="es-ES_tradnl"/>
              </w:rPr>
              <w:t>546</w:t>
            </w:r>
            <w:r w:rsidR="00BA11CE" w:rsidRPr="00F567E1">
              <w:rPr>
                <w:color w:val="000000"/>
                <w:sz w:val="18"/>
                <w:szCs w:val="18"/>
                <w:lang w:val="es-ES_tradnl"/>
              </w:rPr>
              <w:t> </w:t>
            </w:r>
            <w:r w:rsidRPr="00F567E1">
              <w:rPr>
                <w:color w:val="000000"/>
                <w:sz w:val="18"/>
                <w:szCs w:val="18"/>
                <w:lang w:val="es-ES_tradnl"/>
              </w:rPr>
              <w:t>552</w:t>
            </w:r>
          </w:p>
        </w:tc>
        <w:tc>
          <w:tcPr>
            <w:tcW w:w="1134" w:type="dxa"/>
            <w:noWrap/>
            <w:vAlign w:val="center"/>
            <w:hideMark/>
          </w:tcPr>
          <w:p w14:paraId="6994A1CC" w14:textId="3D949894"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1</w:t>
            </w:r>
            <w:r w:rsidR="00FA2B2F" w:rsidRPr="00F567E1">
              <w:rPr>
                <w:color w:val="000000"/>
                <w:sz w:val="18"/>
                <w:szCs w:val="18"/>
                <w:lang w:val="es-ES_tradnl"/>
              </w:rPr>
              <w:t> </w:t>
            </w:r>
            <w:r w:rsidRPr="00F567E1">
              <w:rPr>
                <w:color w:val="000000"/>
                <w:sz w:val="18"/>
                <w:szCs w:val="18"/>
                <w:lang w:val="es-ES_tradnl"/>
              </w:rPr>
              <w:t>839</w:t>
            </w:r>
            <w:r w:rsidR="00FA2B2F" w:rsidRPr="00F567E1">
              <w:rPr>
                <w:color w:val="000000"/>
                <w:sz w:val="18"/>
                <w:szCs w:val="18"/>
                <w:lang w:val="es-ES_tradnl"/>
              </w:rPr>
              <w:t> </w:t>
            </w:r>
            <w:r w:rsidRPr="00F567E1">
              <w:rPr>
                <w:color w:val="000000"/>
                <w:sz w:val="18"/>
                <w:szCs w:val="18"/>
                <w:lang w:val="es-ES_tradnl"/>
              </w:rPr>
              <w:t>500</w:t>
            </w:r>
          </w:p>
        </w:tc>
        <w:tc>
          <w:tcPr>
            <w:tcW w:w="1134" w:type="dxa"/>
            <w:noWrap/>
            <w:vAlign w:val="center"/>
            <w:hideMark/>
          </w:tcPr>
          <w:p w14:paraId="060FF637" w14:textId="5EB6F2CE"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2</w:t>
            </w:r>
            <w:r w:rsidR="00FA2B2F" w:rsidRPr="00F567E1">
              <w:rPr>
                <w:color w:val="000000"/>
                <w:sz w:val="18"/>
                <w:szCs w:val="18"/>
                <w:lang w:val="es-ES_tradnl"/>
              </w:rPr>
              <w:t> </w:t>
            </w:r>
            <w:r w:rsidRPr="00F567E1">
              <w:rPr>
                <w:color w:val="000000"/>
                <w:sz w:val="18"/>
                <w:szCs w:val="18"/>
                <w:lang w:val="es-ES_tradnl"/>
              </w:rPr>
              <w:t>489</w:t>
            </w:r>
            <w:r w:rsidR="00FA2B2F" w:rsidRPr="00F567E1">
              <w:rPr>
                <w:color w:val="000000"/>
                <w:sz w:val="18"/>
                <w:szCs w:val="18"/>
                <w:lang w:val="es-ES_tradnl"/>
              </w:rPr>
              <w:t> </w:t>
            </w:r>
            <w:r w:rsidRPr="00F567E1">
              <w:rPr>
                <w:color w:val="000000"/>
                <w:sz w:val="18"/>
                <w:szCs w:val="18"/>
                <w:lang w:val="es-ES_tradnl"/>
              </w:rPr>
              <w:t>500</w:t>
            </w:r>
          </w:p>
        </w:tc>
        <w:tc>
          <w:tcPr>
            <w:tcW w:w="1245" w:type="dxa"/>
            <w:noWrap/>
            <w:vAlign w:val="center"/>
            <w:hideMark/>
          </w:tcPr>
          <w:p w14:paraId="2D654D0F" w14:textId="650D8DE2"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4</w:t>
            </w:r>
            <w:r w:rsidR="00FA2B2F" w:rsidRPr="00F567E1">
              <w:rPr>
                <w:color w:val="000000"/>
                <w:sz w:val="18"/>
                <w:szCs w:val="18"/>
                <w:lang w:val="es-ES_tradnl"/>
              </w:rPr>
              <w:t> </w:t>
            </w:r>
            <w:r w:rsidRPr="00F567E1">
              <w:rPr>
                <w:color w:val="000000"/>
                <w:sz w:val="18"/>
                <w:szCs w:val="18"/>
                <w:lang w:val="es-ES_tradnl"/>
              </w:rPr>
              <w:t>329</w:t>
            </w:r>
            <w:r w:rsidR="00FA2B2F" w:rsidRPr="00F567E1">
              <w:rPr>
                <w:color w:val="000000"/>
                <w:sz w:val="18"/>
                <w:szCs w:val="18"/>
                <w:lang w:val="es-ES_tradnl"/>
              </w:rPr>
              <w:t> </w:t>
            </w:r>
            <w:r w:rsidRPr="00F567E1">
              <w:rPr>
                <w:color w:val="000000"/>
                <w:sz w:val="18"/>
                <w:szCs w:val="18"/>
                <w:lang w:val="es-ES_tradnl"/>
              </w:rPr>
              <w:t>000</w:t>
            </w:r>
          </w:p>
        </w:tc>
      </w:tr>
      <w:tr w:rsidR="00F234CD" w:rsidRPr="00F567E1" w14:paraId="763EB4BD" w14:textId="77777777" w:rsidTr="003027F0">
        <w:trPr>
          <w:trHeight w:val="315"/>
          <w:jc w:val="right"/>
        </w:trPr>
        <w:tc>
          <w:tcPr>
            <w:tcW w:w="7230" w:type="dxa"/>
            <w:gridSpan w:val="2"/>
            <w:tcBorders>
              <w:bottom w:val="single" w:sz="4" w:space="0" w:color="auto"/>
            </w:tcBorders>
            <w:noWrap/>
            <w:vAlign w:val="center"/>
            <w:hideMark/>
          </w:tcPr>
          <w:p w14:paraId="0E87143D" w14:textId="3DC633EF" w:rsidR="00312042" w:rsidRPr="00F567E1" w:rsidRDefault="00312042" w:rsidP="00DB0ECC">
            <w:pPr>
              <w:keepNext/>
              <w:keepLines/>
              <w:spacing w:before="40" w:after="40"/>
              <w:rPr>
                <w:sz w:val="18"/>
                <w:szCs w:val="18"/>
                <w:lang w:val="es-ES_tradnl"/>
              </w:rPr>
            </w:pPr>
            <w:r w:rsidRPr="00F567E1">
              <w:rPr>
                <w:color w:val="000000"/>
                <w:sz w:val="18"/>
                <w:szCs w:val="18"/>
                <w:lang w:val="es-ES_tradnl"/>
              </w:rPr>
              <w:t>Gastos de apoyo a los programas</w:t>
            </w:r>
          </w:p>
        </w:tc>
        <w:tc>
          <w:tcPr>
            <w:tcW w:w="1275" w:type="dxa"/>
            <w:tcBorders>
              <w:bottom w:val="single" w:sz="4" w:space="0" w:color="auto"/>
            </w:tcBorders>
            <w:noWrap/>
            <w:vAlign w:val="center"/>
            <w:hideMark/>
          </w:tcPr>
          <w:p w14:paraId="6F202A65" w14:textId="77A56CFC"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439</w:t>
            </w:r>
            <w:r w:rsidR="00FA2B2F" w:rsidRPr="00F567E1">
              <w:rPr>
                <w:color w:val="000000"/>
                <w:sz w:val="18"/>
                <w:szCs w:val="18"/>
                <w:lang w:val="es-ES_tradnl"/>
              </w:rPr>
              <w:t> </w:t>
            </w:r>
            <w:r w:rsidRPr="00F567E1">
              <w:rPr>
                <w:color w:val="000000"/>
                <w:sz w:val="18"/>
                <w:szCs w:val="18"/>
                <w:lang w:val="es-ES_tradnl"/>
              </w:rPr>
              <w:t>927</w:t>
            </w:r>
          </w:p>
        </w:tc>
        <w:tc>
          <w:tcPr>
            <w:tcW w:w="1134" w:type="dxa"/>
            <w:tcBorders>
              <w:bottom w:val="single" w:sz="4" w:space="0" w:color="auto"/>
            </w:tcBorders>
            <w:noWrap/>
            <w:vAlign w:val="center"/>
            <w:hideMark/>
          </w:tcPr>
          <w:p w14:paraId="40075469" w14:textId="45767AC3"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541</w:t>
            </w:r>
            <w:r w:rsidR="00BA11CE" w:rsidRPr="00F567E1">
              <w:rPr>
                <w:color w:val="000000"/>
                <w:sz w:val="18"/>
                <w:szCs w:val="18"/>
                <w:lang w:val="es-ES_tradnl"/>
              </w:rPr>
              <w:t> </w:t>
            </w:r>
            <w:r w:rsidRPr="00F567E1">
              <w:rPr>
                <w:color w:val="000000"/>
                <w:sz w:val="18"/>
                <w:szCs w:val="18"/>
                <w:lang w:val="es-ES_tradnl"/>
              </w:rPr>
              <w:t>124</w:t>
            </w:r>
          </w:p>
        </w:tc>
        <w:tc>
          <w:tcPr>
            <w:tcW w:w="1276" w:type="dxa"/>
            <w:tcBorders>
              <w:bottom w:val="single" w:sz="4" w:space="0" w:color="auto"/>
            </w:tcBorders>
            <w:noWrap/>
            <w:vAlign w:val="center"/>
            <w:hideMark/>
          </w:tcPr>
          <w:p w14:paraId="743E1363" w14:textId="421EC2C5"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981</w:t>
            </w:r>
            <w:r w:rsidR="00BA11CE" w:rsidRPr="00F567E1">
              <w:rPr>
                <w:color w:val="000000"/>
                <w:sz w:val="18"/>
                <w:szCs w:val="18"/>
                <w:lang w:val="es-ES_tradnl"/>
              </w:rPr>
              <w:t> </w:t>
            </w:r>
            <w:r w:rsidRPr="00F567E1">
              <w:rPr>
                <w:color w:val="000000"/>
                <w:sz w:val="18"/>
                <w:szCs w:val="18"/>
                <w:lang w:val="es-ES_tradnl"/>
              </w:rPr>
              <w:t>052</w:t>
            </w:r>
          </w:p>
        </w:tc>
        <w:tc>
          <w:tcPr>
            <w:tcW w:w="1134" w:type="dxa"/>
            <w:tcBorders>
              <w:bottom w:val="single" w:sz="4" w:space="0" w:color="auto"/>
            </w:tcBorders>
            <w:noWrap/>
            <w:vAlign w:val="center"/>
            <w:hideMark/>
          </w:tcPr>
          <w:p w14:paraId="0C7AB59A" w14:textId="2A41650C"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239</w:t>
            </w:r>
            <w:r w:rsidR="00FA2B2F" w:rsidRPr="00F567E1">
              <w:rPr>
                <w:color w:val="000000"/>
                <w:sz w:val="18"/>
                <w:szCs w:val="18"/>
                <w:lang w:val="es-ES_tradnl"/>
              </w:rPr>
              <w:t> </w:t>
            </w:r>
            <w:r w:rsidRPr="00F567E1">
              <w:rPr>
                <w:color w:val="000000"/>
                <w:sz w:val="18"/>
                <w:szCs w:val="18"/>
                <w:lang w:val="es-ES_tradnl"/>
              </w:rPr>
              <w:t>135</w:t>
            </w:r>
          </w:p>
        </w:tc>
        <w:tc>
          <w:tcPr>
            <w:tcW w:w="1134" w:type="dxa"/>
            <w:tcBorders>
              <w:bottom w:val="single" w:sz="4" w:space="0" w:color="auto"/>
            </w:tcBorders>
            <w:noWrap/>
            <w:vAlign w:val="center"/>
            <w:hideMark/>
          </w:tcPr>
          <w:p w14:paraId="5A959981" w14:textId="6C41ADB4"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323</w:t>
            </w:r>
            <w:r w:rsidR="00FA2B2F" w:rsidRPr="00F567E1">
              <w:rPr>
                <w:color w:val="000000"/>
                <w:sz w:val="18"/>
                <w:szCs w:val="18"/>
                <w:lang w:val="es-ES_tradnl"/>
              </w:rPr>
              <w:t> </w:t>
            </w:r>
            <w:r w:rsidRPr="00F567E1">
              <w:rPr>
                <w:color w:val="000000"/>
                <w:sz w:val="18"/>
                <w:szCs w:val="18"/>
                <w:lang w:val="es-ES_tradnl"/>
              </w:rPr>
              <w:t>635</w:t>
            </w:r>
          </w:p>
        </w:tc>
        <w:tc>
          <w:tcPr>
            <w:tcW w:w="1245" w:type="dxa"/>
            <w:tcBorders>
              <w:bottom w:val="single" w:sz="4" w:space="0" w:color="auto"/>
            </w:tcBorders>
            <w:noWrap/>
            <w:vAlign w:val="center"/>
            <w:hideMark/>
          </w:tcPr>
          <w:p w14:paraId="382ECB6C" w14:textId="776A3D11" w:rsidR="00312042" w:rsidRPr="00F567E1" w:rsidRDefault="00312042" w:rsidP="00DB0ECC">
            <w:pPr>
              <w:keepNext/>
              <w:keepLines/>
              <w:spacing w:before="40" w:after="40"/>
              <w:jc w:val="right"/>
              <w:rPr>
                <w:sz w:val="18"/>
                <w:szCs w:val="18"/>
                <w:lang w:val="es-ES_tradnl"/>
              </w:rPr>
            </w:pPr>
            <w:r w:rsidRPr="00F567E1">
              <w:rPr>
                <w:color w:val="000000"/>
                <w:sz w:val="18"/>
                <w:szCs w:val="18"/>
                <w:lang w:val="es-ES_tradnl"/>
              </w:rPr>
              <w:t>562</w:t>
            </w:r>
            <w:r w:rsidR="00FA2B2F" w:rsidRPr="00F567E1">
              <w:rPr>
                <w:color w:val="000000"/>
                <w:sz w:val="18"/>
                <w:szCs w:val="18"/>
                <w:lang w:val="es-ES_tradnl"/>
              </w:rPr>
              <w:t> </w:t>
            </w:r>
            <w:r w:rsidRPr="00F567E1">
              <w:rPr>
                <w:color w:val="000000"/>
                <w:sz w:val="18"/>
                <w:szCs w:val="18"/>
                <w:lang w:val="es-ES_tradnl"/>
              </w:rPr>
              <w:t>770</w:t>
            </w:r>
          </w:p>
        </w:tc>
      </w:tr>
      <w:tr w:rsidR="00F234CD" w:rsidRPr="00F567E1" w14:paraId="12520889" w14:textId="77777777" w:rsidTr="003027F0">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5EA8B3F0" w14:textId="4A8273D1" w:rsidR="00312042" w:rsidRPr="00F567E1" w:rsidRDefault="00312042" w:rsidP="00DB0ECC">
            <w:pPr>
              <w:keepNext/>
              <w:keepLines/>
              <w:spacing w:before="40" w:after="40"/>
              <w:ind w:firstLineChars="100" w:firstLine="181"/>
              <w:rPr>
                <w:b/>
                <w:bCs/>
                <w:sz w:val="18"/>
                <w:szCs w:val="18"/>
                <w:lang w:val="es-ES_tradnl"/>
              </w:rPr>
            </w:pPr>
            <w:r w:rsidRPr="00F567E1">
              <w:rPr>
                <w:b/>
                <w:bCs/>
                <w:color w:val="000000"/>
                <w:sz w:val="18"/>
                <w:szCs w:val="18"/>
                <w:lang w:val="es-ES_tradnl"/>
              </w:rPr>
              <w:t xml:space="preserve">Total general (A </w:t>
            </w:r>
            <w:proofErr w:type="spellStart"/>
            <w:r w:rsidRPr="00F567E1">
              <w:rPr>
                <w:b/>
                <w:bCs/>
                <w:color w:val="000000"/>
                <w:sz w:val="18"/>
                <w:szCs w:val="18"/>
                <w:lang w:val="es-ES_tradnl"/>
              </w:rPr>
              <w:t>a</w:t>
            </w:r>
            <w:proofErr w:type="spellEnd"/>
            <w:r w:rsidRPr="00F567E1">
              <w:rPr>
                <w:b/>
                <w:bCs/>
                <w:color w:val="000000"/>
                <w:sz w:val="18"/>
                <w:szCs w:val="18"/>
                <w:lang w:val="es-ES_tradnl"/>
              </w:rPr>
              <w:t xml:space="preserve"> G), incluidos los gastos de apoyo a los programas</w:t>
            </w:r>
          </w:p>
        </w:tc>
        <w:tc>
          <w:tcPr>
            <w:tcW w:w="1275" w:type="dxa"/>
            <w:tcBorders>
              <w:top w:val="single" w:sz="4" w:space="0" w:color="auto"/>
              <w:bottom w:val="single" w:sz="4" w:space="0" w:color="auto"/>
            </w:tcBorders>
            <w:shd w:val="clear" w:color="000000" w:fill="DBB731"/>
            <w:noWrap/>
            <w:vAlign w:val="center"/>
            <w:hideMark/>
          </w:tcPr>
          <w:p w14:paraId="090BF301" w14:textId="007A2273" w:rsidR="00312042" w:rsidRPr="00F567E1" w:rsidRDefault="00312042" w:rsidP="00DB0ECC">
            <w:pPr>
              <w:keepNext/>
              <w:keepLines/>
              <w:spacing w:before="40" w:after="40"/>
              <w:jc w:val="right"/>
              <w:rPr>
                <w:b/>
                <w:bCs/>
                <w:sz w:val="18"/>
                <w:szCs w:val="18"/>
                <w:lang w:val="es-ES_tradnl"/>
              </w:rPr>
            </w:pPr>
            <w:r w:rsidRPr="00F567E1">
              <w:rPr>
                <w:b/>
                <w:bCs/>
                <w:color w:val="000000"/>
                <w:sz w:val="18"/>
                <w:szCs w:val="18"/>
                <w:lang w:val="es-ES_tradnl"/>
              </w:rPr>
              <w:t>3</w:t>
            </w:r>
            <w:r w:rsidR="00FA2B2F" w:rsidRPr="00F567E1">
              <w:rPr>
                <w:b/>
                <w:bCs/>
                <w:color w:val="000000"/>
                <w:sz w:val="18"/>
                <w:szCs w:val="18"/>
                <w:lang w:val="es-ES_tradnl"/>
              </w:rPr>
              <w:t> </w:t>
            </w:r>
            <w:r w:rsidRPr="00F567E1">
              <w:rPr>
                <w:b/>
                <w:bCs/>
                <w:color w:val="000000"/>
                <w:sz w:val="18"/>
                <w:szCs w:val="18"/>
                <w:lang w:val="es-ES_tradnl"/>
              </w:rPr>
              <w:t>823</w:t>
            </w:r>
            <w:r w:rsidR="00FA2B2F" w:rsidRPr="00F567E1">
              <w:rPr>
                <w:b/>
                <w:bCs/>
                <w:color w:val="000000"/>
                <w:sz w:val="18"/>
                <w:szCs w:val="18"/>
                <w:lang w:val="es-ES_tradnl"/>
              </w:rPr>
              <w:t> </w:t>
            </w:r>
            <w:r w:rsidRPr="00F567E1">
              <w:rPr>
                <w:b/>
                <w:bCs/>
                <w:color w:val="000000"/>
                <w:sz w:val="18"/>
                <w:szCs w:val="18"/>
                <w:lang w:val="es-ES_tradnl"/>
              </w:rPr>
              <w:t>984</w:t>
            </w:r>
          </w:p>
        </w:tc>
        <w:tc>
          <w:tcPr>
            <w:tcW w:w="1134" w:type="dxa"/>
            <w:tcBorders>
              <w:top w:val="single" w:sz="4" w:space="0" w:color="auto"/>
              <w:bottom w:val="single" w:sz="4" w:space="0" w:color="auto"/>
            </w:tcBorders>
            <w:shd w:val="clear" w:color="000000" w:fill="DBB731"/>
            <w:noWrap/>
            <w:vAlign w:val="center"/>
            <w:hideMark/>
          </w:tcPr>
          <w:p w14:paraId="2A7627A9" w14:textId="1697F34C" w:rsidR="00312042" w:rsidRPr="00F567E1" w:rsidRDefault="00312042" w:rsidP="00DB0ECC">
            <w:pPr>
              <w:keepNext/>
              <w:keepLines/>
              <w:spacing w:before="40" w:after="40"/>
              <w:jc w:val="right"/>
              <w:rPr>
                <w:b/>
                <w:bCs/>
                <w:sz w:val="18"/>
                <w:szCs w:val="18"/>
                <w:lang w:val="es-ES_tradnl"/>
              </w:rPr>
            </w:pPr>
            <w:r w:rsidRPr="00F567E1">
              <w:rPr>
                <w:b/>
                <w:bCs/>
                <w:color w:val="000000"/>
                <w:sz w:val="18"/>
                <w:szCs w:val="18"/>
                <w:lang w:val="es-ES_tradnl"/>
              </w:rPr>
              <w:t>4</w:t>
            </w:r>
            <w:r w:rsidR="00BA11CE" w:rsidRPr="00F567E1">
              <w:rPr>
                <w:b/>
                <w:bCs/>
                <w:color w:val="000000"/>
                <w:sz w:val="18"/>
                <w:szCs w:val="18"/>
                <w:lang w:val="es-ES_tradnl"/>
              </w:rPr>
              <w:t> </w:t>
            </w:r>
            <w:r w:rsidRPr="00F567E1">
              <w:rPr>
                <w:b/>
                <w:bCs/>
                <w:color w:val="000000"/>
                <w:sz w:val="18"/>
                <w:szCs w:val="18"/>
                <w:lang w:val="es-ES_tradnl"/>
              </w:rPr>
              <w:t>703</w:t>
            </w:r>
            <w:r w:rsidR="00BA11CE" w:rsidRPr="00F567E1">
              <w:rPr>
                <w:b/>
                <w:bCs/>
                <w:color w:val="000000"/>
                <w:sz w:val="18"/>
                <w:szCs w:val="18"/>
                <w:lang w:val="es-ES_tradnl"/>
              </w:rPr>
              <w:t> </w:t>
            </w:r>
            <w:r w:rsidRPr="00F567E1">
              <w:rPr>
                <w:b/>
                <w:bCs/>
                <w:color w:val="000000"/>
                <w:sz w:val="18"/>
                <w:szCs w:val="18"/>
                <w:lang w:val="es-ES_tradnl"/>
              </w:rPr>
              <w:t>619</w:t>
            </w:r>
          </w:p>
        </w:tc>
        <w:tc>
          <w:tcPr>
            <w:tcW w:w="1276" w:type="dxa"/>
            <w:tcBorders>
              <w:top w:val="single" w:sz="4" w:space="0" w:color="auto"/>
              <w:bottom w:val="single" w:sz="4" w:space="0" w:color="auto"/>
            </w:tcBorders>
            <w:shd w:val="clear" w:color="000000" w:fill="DBB731"/>
            <w:noWrap/>
            <w:vAlign w:val="center"/>
            <w:hideMark/>
          </w:tcPr>
          <w:p w14:paraId="11DC3E03" w14:textId="1D020FDC" w:rsidR="00312042" w:rsidRPr="00F567E1" w:rsidRDefault="00312042" w:rsidP="00DB0ECC">
            <w:pPr>
              <w:keepNext/>
              <w:keepLines/>
              <w:spacing w:before="40" w:after="40"/>
              <w:jc w:val="right"/>
              <w:rPr>
                <w:b/>
                <w:bCs/>
                <w:sz w:val="18"/>
                <w:szCs w:val="18"/>
                <w:lang w:val="es-ES_tradnl"/>
              </w:rPr>
            </w:pPr>
            <w:r w:rsidRPr="00F567E1">
              <w:rPr>
                <w:b/>
                <w:bCs/>
                <w:color w:val="000000"/>
                <w:sz w:val="18"/>
                <w:szCs w:val="18"/>
                <w:lang w:val="es-ES_tradnl"/>
              </w:rPr>
              <w:t>8</w:t>
            </w:r>
            <w:r w:rsidR="00BA11CE" w:rsidRPr="00F567E1">
              <w:rPr>
                <w:b/>
                <w:bCs/>
                <w:color w:val="000000"/>
                <w:sz w:val="18"/>
                <w:szCs w:val="18"/>
                <w:lang w:val="es-ES_tradnl"/>
              </w:rPr>
              <w:t> </w:t>
            </w:r>
            <w:r w:rsidRPr="00F567E1">
              <w:rPr>
                <w:b/>
                <w:bCs/>
                <w:color w:val="000000"/>
                <w:sz w:val="18"/>
                <w:szCs w:val="18"/>
                <w:lang w:val="es-ES_tradnl"/>
              </w:rPr>
              <w:t>527</w:t>
            </w:r>
            <w:r w:rsidR="00BA11CE" w:rsidRPr="00F567E1">
              <w:rPr>
                <w:b/>
                <w:bCs/>
                <w:color w:val="000000"/>
                <w:sz w:val="18"/>
                <w:szCs w:val="18"/>
                <w:lang w:val="es-ES_tradnl"/>
              </w:rPr>
              <w:t> </w:t>
            </w:r>
            <w:r w:rsidRPr="00F567E1">
              <w:rPr>
                <w:b/>
                <w:bCs/>
                <w:color w:val="000000"/>
                <w:sz w:val="18"/>
                <w:szCs w:val="18"/>
                <w:lang w:val="es-ES_tradnl"/>
              </w:rPr>
              <w:t>603</w:t>
            </w:r>
          </w:p>
        </w:tc>
        <w:tc>
          <w:tcPr>
            <w:tcW w:w="1134" w:type="dxa"/>
            <w:tcBorders>
              <w:top w:val="single" w:sz="4" w:space="0" w:color="auto"/>
              <w:bottom w:val="single" w:sz="4" w:space="0" w:color="auto"/>
            </w:tcBorders>
            <w:shd w:val="clear" w:color="000000" w:fill="DBB731"/>
            <w:noWrap/>
            <w:vAlign w:val="center"/>
            <w:hideMark/>
          </w:tcPr>
          <w:p w14:paraId="4943B4BC" w14:textId="394A558C" w:rsidR="00312042" w:rsidRPr="00F567E1" w:rsidRDefault="00312042" w:rsidP="00DB0ECC">
            <w:pPr>
              <w:keepNext/>
              <w:keepLines/>
              <w:spacing w:before="40" w:after="40"/>
              <w:jc w:val="right"/>
              <w:rPr>
                <w:b/>
                <w:bCs/>
                <w:sz w:val="18"/>
                <w:szCs w:val="18"/>
                <w:lang w:val="es-ES_tradnl"/>
              </w:rPr>
            </w:pPr>
            <w:r w:rsidRPr="00F567E1">
              <w:rPr>
                <w:b/>
                <w:bCs/>
                <w:color w:val="000000"/>
                <w:sz w:val="18"/>
                <w:szCs w:val="18"/>
                <w:lang w:val="es-ES_tradnl"/>
              </w:rPr>
              <w:t>2</w:t>
            </w:r>
            <w:r w:rsidR="00FA2B2F" w:rsidRPr="00F567E1">
              <w:rPr>
                <w:b/>
                <w:bCs/>
                <w:color w:val="000000"/>
                <w:sz w:val="18"/>
                <w:szCs w:val="18"/>
                <w:lang w:val="es-ES_tradnl"/>
              </w:rPr>
              <w:t> </w:t>
            </w:r>
            <w:r w:rsidRPr="00F567E1">
              <w:rPr>
                <w:b/>
                <w:bCs/>
                <w:color w:val="000000"/>
                <w:sz w:val="18"/>
                <w:szCs w:val="18"/>
                <w:lang w:val="es-ES_tradnl"/>
              </w:rPr>
              <w:t>078</w:t>
            </w:r>
            <w:r w:rsidR="00FA2B2F" w:rsidRPr="00F567E1">
              <w:rPr>
                <w:b/>
                <w:bCs/>
                <w:color w:val="000000"/>
                <w:sz w:val="18"/>
                <w:szCs w:val="18"/>
                <w:lang w:val="es-ES_tradnl"/>
              </w:rPr>
              <w:t> </w:t>
            </w:r>
            <w:r w:rsidRPr="00F567E1">
              <w:rPr>
                <w:b/>
                <w:bCs/>
                <w:color w:val="000000"/>
                <w:sz w:val="18"/>
                <w:szCs w:val="18"/>
                <w:lang w:val="es-ES_tradnl"/>
              </w:rPr>
              <w:t>635</w:t>
            </w:r>
          </w:p>
        </w:tc>
        <w:tc>
          <w:tcPr>
            <w:tcW w:w="1134" w:type="dxa"/>
            <w:tcBorders>
              <w:top w:val="single" w:sz="4" w:space="0" w:color="auto"/>
              <w:bottom w:val="single" w:sz="4" w:space="0" w:color="auto"/>
            </w:tcBorders>
            <w:shd w:val="clear" w:color="000000" w:fill="DBB731"/>
            <w:noWrap/>
            <w:vAlign w:val="center"/>
            <w:hideMark/>
          </w:tcPr>
          <w:p w14:paraId="45795A40" w14:textId="4FF43F78" w:rsidR="00312042" w:rsidRPr="00F567E1" w:rsidRDefault="00312042" w:rsidP="00DB0ECC">
            <w:pPr>
              <w:keepNext/>
              <w:keepLines/>
              <w:spacing w:before="40" w:after="40"/>
              <w:jc w:val="right"/>
              <w:rPr>
                <w:b/>
                <w:bCs/>
                <w:sz w:val="18"/>
                <w:szCs w:val="18"/>
                <w:lang w:val="es-ES_tradnl"/>
              </w:rPr>
            </w:pPr>
            <w:r w:rsidRPr="00F567E1">
              <w:rPr>
                <w:b/>
                <w:bCs/>
                <w:color w:val="000000"/>
                <w:sz w:val="18"/>
                <w:szCs w:val="18"/>
                <w:lang w:val="es-ES_tradnl"/>
              </w:rPr>
              <w:t>2</w:t>
            </w:r>
            <w:r w:rsidR="00FA2B2F" w:rsidRPr="00F567E1">
              <w:rPr>
                <w:b/>
                <w:bCs/>
                <w:color w:val="000000"/>
                <w:sz w:val="18"/>
                <w:szCs w:val="18"/>
                <w:lang w:val="es-ES_tradnl"/>
              </w:rPr>
              <w:t> </w:t>
            </w:r>
            <w:r w:rsidRPr="00F567E1">
              <w:rPr>
                <w:b/>
                <w:bCs/>
                <w:color w:val="000000"/>
                <w:sz w:val="18"/>
                <w:szCs w:val="18"/>
                <w:lang w:val="es-ES_tradnl"/>
              </w:rPr>
              <w:t>813</w:t>
            </w:r>
            <w:r w:rsidR="00FA2B2F" w:rsidRPr="00F567E1">
              <w:rPr>
                <w:b/>
                <w:bCs/>
                <w:color w:val="000000"/>
                <w:sz w:val="18"/>
                <w:szCs w:val="18"/>
                <w:lang w:val="es-ES_tradnl"/>
              </w:rPr>
              <w:t> </w:t>
            </w:r>
            <w:r w:rsidRPr="00F567E1">
              <w:rPr>
                <w:b/>
                <w:bCs/>
                <w:color w:val="000000"/>
                <w:sz w:val="18"/>
                <w:szCs w:val="18"/>
                <w:lang w:val="es-ES_tradnl"/>
              </w:rPr>
              <w:t>135</w:t>
            </w:r>
          </w:p>
        </w:tc>
        <w:tc>
          <w:tcPr>
            <w:tcW w:w="1245" w:type="dxa"/>
            <w:tcBorders>
              <w:top w:val="single" w:sz="4" w:space="0" w:color="auto"/>
              <w:bottom w:val="single" w:sz="4" w:space="0" w:color="auto"/>
            </w:tcBorders>
            <w:shd w:val="clear" w:color="000000" w:fill="DBB731"/>
            <w:noWrap/>
            <w:vAlign w:val="center"/>
            <w:hideMark/>
          </w:tcPr>
          <w:p w14:paraId="5B882DCD" w14:textId="23AB37E9" w:rsidR="00312042" w:rsidRPr="00F567E1" w:rsidRDefault="00312042" w:rsidP="00DB0ECC">
            <w:pPr>
              <w:keepNext/>
              <w:keepLines/>
              <w:spacing w:before="40" w:after="40"/>
              <w:jc w:val="right"/>
              <w:rPr>
                <w:b/>
                <w:bCs/>
                <w:sz w:val="18"/>
                <w:szCs w:val="18"/>
                <w:lang w:val="es-ES_tradnl"/>
              </w:rPr>
            </w:pPr>
            <w:r w:rsidRPr="00F567E1">
              <w:rPr>
                <w:b/>
                <w:bCs/>
                <w:color w:val="000000"/>
                <w:sz w:val="18"/>
                <w:szCs w:val="18"/>
                <w:lang w:val="es-ES_tradnl"/>
              </w:rPr>
              <w:t>4</w:t>
            </w:r>
            <w:r w:rsidR="00FA2B2F" w:rsidRPr="00F567E1">
              <w:rPr>
                <w:b/>
                <w:bCs/>
                <w:color w:val="000000"/>
                <w:sz w:val="18"/>
                <w:szCs w:val="18"/>
                <w:lang w:val="es-ES_tradnl"/>
              </w:rPr>
              <w:t> </w:t>
            </w:r>
            <w:r w:rsidRPr="00F567E1">
              <w:rPr>
                <w:b/>
                <w:bCs/>
                <w:color w:val="000000"/>
                <w:sz w:val="18"/>
                <w:szCs w:val="18"/>
                <w:lang w:val="es-ES_tradnl"/>
              </w:rPr>
              <w:t>891</w:t>
            </w:r>
            <w:r w:rsidR="00FA2B2F" w:rsidRPr="00F567E1">
              <w:rPr>
                <w:b/>
                <w:bCs/>
                <w:color w:val="000000"/>
                <w:sz w:val="18"/>
                <w:szCs w:val="18"/>
                <w:lang w:val="es-ES_tradnl"/>
              </w:rPr>
              <w:t> </w:t>
            </w:r>
            <w:r w:rsidRPr="00F567E1">
              <w:rPr>
                <w:b/>
                <w:bCs/>
                <w:color w:val="000000"/>
                <w:sz w:val="18"/>
                <w:szCs w:val="18"/>
                <w:lang w:val="es-ES_tradnl"/>
              </w:rPr>
              <w:t>770</w:t>
            </w:r>
          </w:p>
        </w:tc>
      </w:tr>
      <w:tr w:rsidR="00F234CD" w:rsidRPr="00F567E1" w14:paraId="7D75F9F1" w14:textId="77777777" w:rsidTr="00CC4172">
        <w:trPr>
          <w:trHeight w:val="465"/>
          <w:jc w:val="right"/>
        </w:trPr>
        <w:tc>
          <w:tcPr>
            <w:tcW w:w="7230" w:type="dxa"/>
            <w:gridSpan w:val="2"/>
            <w:tcBorders>
              <w:top w:val="single" w:sz="4" w:space="0" w:color="auto"/>
            </w:tcBorders>
            <w:hideMark/>
          </w:tcPr>
          <w:p w14:paraId="701E3B4B" w14:textId="3305E293" w:rsidR="00312042" w:rsidRPr="00F567E1" w:rsidRDefault="008A4478" w:rsidP="00DB0ECC">
            <w:pPr>
              <w:keepNext/>
              <w:keepLines/>
              <w:spacing w:before="40" w:after="40"/>
              <w:rPr>
                <w:b/>
                <w:bCs/>
                <w:sz w:val="18"/>
                <w:szCs w:val="18"/>
                <w:lang w:val="es-ES_tradnl"/>
              </w:rPr>
            </w:pPr>
            <w:r w:rsidRPr="00F567E1">
              <w:rPr>
                <w:b/>
                <w:bCs/>
                <w:color w:val="000000"/>
                <w:sz w:val="18"/>
                <w:szCs w:val="18"/>
                <w:lang w:val="es-ES_tradnl"/>
              </w:rPr>
              <w:t>Reunión del grupo de evaluación de la eficacia, incluidos los gastos de apoyo a los programas financiados con cargo al presupuesto de 2024 (la reunión no se celebró en 2024)</w:t>
            </w:r>
          </w:p>
        </w:tc>
        <w:tc>
          <w:tcPr>
            <w:tcW w:w="1275" w:type="dxa"/>
            <w:tcBorders>
              <w:top w:val="single" w:sz="4" w:space="0" w:color="auto"/>
            </w:tcBorders>
            <w:noWrap/>
            <w:vAlign w:val="bottom"/>
            <w:hideMark/>
          </w:tcPr>
          <w:p w14:paraId="52D5B00B" w14:textId="7F1A4916" w:rsidR="00312042" w:rsidRPr="00F567E1" w:rsidRDefault="00312042" w:rsidP="00DB0ECC">
            <w:pPr>
              <w:keepNext/>
              <w:keepLines/>
              <w:spacing w:before="40" w:after="40"/>
              <w:jc w:val="right"/>
              <w:rPr>
                <w:b/>
                <w:bCs/>
                <w:sz w:val="18"/>
                <w:szCs w:val="18"/>
                <w:lang w:val="es-ES_tradnl"/>
              </w:rPr>
            </w:pPr>
            <w:r w:rsidRPr="00F567E1">
              <w:rPr>
                <w:b/>
                <w:bCs/>
                <w:color w:val="000000"/>
                <w:sz w:val="18"/>
                <w:szCs w:val="18"/>
                <w:lang w:val="es-ES_tradnl"/>
              </w:rPr>
              <w:t>(96</w:t>
            </w:r>
            <w:r w:rsidR="00FA2B2F" w:rsidRPr="00F567E1">
              <w:rPr>
                <w:b/>
                <w:bCs/>
                <w:color w:val="000000"/>
                <w:sz w:val="18"/>
                <w:szCs w:val="18"/>
                <w:lang w:val="es-ES_tradnl"/>
              </w:rPr>
              <w:t> </w:t>
            </w:r>
            <w:r w:rsidRPr="00F567E1">
              <w:rPr>
                <w:b/>
                <w:bCs/>
                <w:color w:val="000000"/>
                <w:sz w:val="18"/>
                <w:szCs w:val="18"/>
                <w:lang w:val="es-ES_tradnl"/>
              </w:rPr>
              <w:t>050)</w:t>
            </w:r>
          </w:p>
        </w:tc>
        <w:tc>
          <w:tcPr>
            <w:tcW w:w="1134" w:type="dxa"/>
            <w:tcBorders>
              <w:top w:val="single" w:sz="4" w:space="0" w:color="auto"/>
            </w:tcBorders>
            <w:noWrap/>
            <w:vAlign w:val="bottom"/>
            <w:hideMark/>
          </w:tcPr>
          <w:p w14:paraId="6ACF8350" w14:textId="77777777" w:rsidR="00312042" w:rsidRPr="00F567E1" w:rsidRDefault="00312042" w:rsidP="00DB0ECC">
            <w:pPr>
              <w:keepNext/>
              <w:keepLines/>
              <w:spacing w:before="40" w:after="40"/>
              <w:jc w:val="right"/>
              <w:rPr>
                <w:b/>
                <w:bCs/>
                <w:sz w:val="18"/>
                <w:szCs w:val="18"/>
                <w:lang w:val="es-ES_tradnl"/>
              </w:rPr>
            </w:pPr>
          </w:p>
        </w:tc>
        <w:tc>
          <w:tcPr>
            <w:tcW w:w="1276" w:type="dxa"/>
            <w:tcBorders>
              <w:top w:val="single" w:sz="4" w:space="0" w:color="auto"/>
            </w:tcBorders>
            <w:noWrap/>
            <w:vAlign w:val="bottom"/>
            <w:hideMark/>
          </w:tcPr>
          <w:p w14:paraId="35ED94CA" w14:textId="3E1F483A" w:rsidR="00312042" w:rsidRPr="00F567E1" w:rsidRDefault="00312042" w:rsidP="00DB0ECC">
            <w:pPr>
              <w:keepNext/>
              <w:keepLines/>
              <w:spacing w:before="40" w:after="40"/>
              <w:jc w:val="right"/>
              <w:rPr>
                <w:b/>
                <w:bCs/>
                <w:sz w:val="18"/>
                <w:szCs w:val="18"/>
                <w:lang w:val="es-ES_tradnl"/>
              </w:rPr>
            </w:pPr>
            <w:r w:rsidRPr="00F567E1">
              <w:rPr>
                <w:b/>
                <w:bCs/>
                <w:color w:val="000000"/>
                <w:sz w:val="18"/>
                <w:szCs w:val="18"/>
                <w:lang w:val="es-ES_tradnl"/>
              </w:rPr>
              <w:t>(96</w:t>
            </w:r>
            <w:r w:rsidR="00BA11CE" w:rsidRPr="00F567E1">
              <w:rPr>
                <w:b/>
                <w:bCs/>
                <w:color w:val="000000"/>
                <w:sz w:val="18"/>
                <w:szCs w:val="18"/>
                <w:lang w:val="es-ES_tradnl"/>
              </w:rPr>
              <w:t> </w:t>
            </w:r>
            <w:r w:rsidRPr="00F567E1">
              <w:rPr>
                <w:b/>
                <w:bCs/>
                <w:color w:val="000000"/>
                <w:sz w:val="18"/>
                <w:szCs w:val="18"/>
                <w:lang w:val="es-ES_tradnl"/>
              </w:rPr>
              <w:t>050)</w:t>
            </w:r>
          </w:p>
        </w:tc>
        <w:tc>
          <w:tcPr>
            <w:tcW w:w="1134" w:type="dxa"/>
            <w:tcBorders>
              <w:top w:val="single" w:sz="4" w:space="0" w:color="auto"/>
            </w:tcBorders>
            <w:noWrap/>
            <w:vAlign w:val="bottom"/>
            <w:hideMark/>
          </w:tcPr>
          <w:p w14:paraId="7671E59E" w14:textId="77777777" w:rsidR="00312042" w:rsidRPr="00F567E1" w:rsidRDefault="00312042" w:rsidP="00DB0ECC">
            <w:pPr>
              <w:keepNext/>
              <w:keepLines/>
              <w:spacing w:before="40" w:after="40"/>
              <w:jc w:val="right"/>
              <w:rPr>
                <w:b/>
                <w:bCs/>
                <w:sz w:val="18"/>
                <w:szCs w:val="18"/>
                <w:lang w:val="es-ES_tradnl"/>
              </w:rPr>
            </w:pPr>
          </w:p>
        </w:tc>
        <w:tc>
          <w:tcPr>
            <w:tcW w:w="1134" w:type="dxa"/>
            <w:tcBorders>
              <w:top w:val="single" w:sz="4" w:space="0" w:color="auto"/>
            </w:tcBorders>
            <w:noWrap/>
            <w:vAlign w:val="bottom"/>
            <w:hideMark/>
          </w:tcPr>
          <w:p w14:paraId="0A82CF3E" w14:textId="77777777" w:rsidR="00312042" w:rsidRPr="00F567E1" w:rsidRDefault="00312042" w:rsidP="00DB0ECC">
            <w:pPr>
              <w:keepNext/>
              <w:keepLines/>
              <w:spacing w:before="40" w:after="40"/>
              <w:jc w:val="right"/>
              <w:rPr>
                <w:b/>
                <w:bCs/>
                <w:sz w:val="18"/>
                <w:szCs w:val="18"/>
                <w:lang w:val="es-ES_tradnl"/>
              </w:rPr>
            </w:pPr>
          </w:p>
        </w:tc>
        <w:tc>
          <w:tcPr>
            <w:tcW w:w="1245" w:type="dxa"/>
            <w:tcBorders>
              <w:top w:val="single" w:sz="4" w:space="0" w:color="auto"/>
            </w:tcBorders>
            <w:noWrap/>
            <w:vAlign w:val="bottom"/>
            <w:hideMark/>
          </w:tcPr>
          <w:p w14:paraId="57554647" w14:textId="77777777" w:rsidR="00312042" w:rsidRPr="00F567E1" w:rsidRDefault="00312042" w:rsidP="00DB0ECC">
            <w:pPr>
              <w:keepNext/>
              <w:keepLines/>
              <w:spacing w:before="40" w:after="40"/>
              <w:jc w:val="right"/>
              <w:rPr>
                <w:b/>
                <w:bCs/>
                <w:sz w:val="18"/>
                <w:szCs w:val="18"/>
                <w:lang w:val="es-ES_tradnl"/>
              </w:rPr>
            </w:pPr>
          </w:p>
        </w:tc>
      </w:tr>
      <w:tr w:rsidR="00F234CD" w:rsidRPr="00F567E1" w14:paraId="05BDB8B9" w14:textId="77777777" w:rsidTr="00DD753D">
        <w:trPr>
          <w:trHeight w:val="315"/>
          <w:jc w:val="right"/>
        </w:trPr>
        <w:tc>
          <w:tcPr>
            <w:tcW w:w="7230" w:type="dxa"/>
            <w:gridSpan w:val="2"/>
            <w:tcBorders>
              <w:bottom w:val="single" w:sz="12" w:space="0" w:color="auto"/>
            </w:tcBorders>
            <w:shd w:val="clear" w:color="000000" w:fill="DBB731"/>
            <w:noWrap/>
            <w:vAlign w:val="center"/>
            <w:hideMark/>
          </w:tcPr>
          <w:p w14:paraId="32027ED3" w14:textId="28D9F41F" w:rsidR="00312042" w:rsidRPr="00F567E1" w:rsidRDefault="00312042" w:rsidP="00CB7E8A">
            <w:pPr>
              <w:spacing w:before="40" w:after="40"/>
              <w:ind w:firstLineChars="100" w:firstLine="181"/>
              <w:rPr>
                <w:b/>
                <w:bCs/>
                <w:sz w:val="18"/>
                <w:szCs w:val="18"/>
                <w:lang w:val="es-ES_tradnl"/>
              </w:rPr>
            </w:pPr>
            <w:r w:rsidRPr="00F567E1">
              <w:rPr>
                <w:b/>
                <w:bCs/>
                <w:color w:val="000000"/>
                <w:sz w:val="18"/>
                <w:szCs w:val="18"/>
                <w:lang w:val="es-ES_tradnl"/>
              </w:rPr>
              <w:t>Total general (tras la deducción de la reunión del Grupo de Evaluación de la Eficacia)</w:t>
            </w:r>
          </w:p>
        </w:tc>
        <w:tc>
          <w:tcPr>
            <w:tcW w:w="1275" w:type="dxa"/>
            <w:tcBorders>
              <w:bottom w:val="single" w:sz="12" w:space="0" w:color="auto"/>
            </w:tcBorders>
            <w:shd w:val="clear" w:color="000000" w:fill="DBB731"/>
            <w:noWrap/>
            <w:vAlign w:val="center"/>
            <w:hideMark/>
          </w:tcPr>
          <w:p w14:paraId="24C82A43" w14:textId="2B1AA48A"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3</w:t>
            </w:r>
            <w:r w:rsidR="00FA2B2F" w:rsidRPr="00F567E1">
              <w:rPr>
                <w:b/>
                <w:bCs/>
                <w:color w:val="000000"/>
                <w:sz w:val="18"/>
                <w:szCs w:val="18"/>
                <w:lang w:val="es-ES_tradnl"/>
              </w:rPr>
              <w:t> </w:t>
            </w:r>
            <w:r w:rsidRPr="00F567E1">
              <w:rPr>
                <w:b/>
                <w:bCs/>
                <w:color w:val="000000"/>
                <w:sz w:val="18"/>
                <w:szCs w:val="18"/>
                <w:lang w:val="es-ES_tradnl"/>
              </w:rPr>
              <w:t>727</w:t>
            </w:r>
            <w:r w:rsidR="00FA2B2F" w:rsidRPr="00F567E1">
              <w:rPr>
                <w:b/>
                <w:bCs/>
                <w:color w:val="000000"/>
                <w:sz w:val="18"/>
                <w:szCs w:val="18"/>
                <w:lang w:val="es-ES_tradnl"/>
              </w:rPr>
              <w:t> </w:t>
            </w:r>
            <w:r w:rsidRPr="00F567E1">
              <w:rPr>
                <w:b/>
                <w:bCs/>
                <w:color w:val="000000"/>
                <w:sz w:val="18"/>
                <w:szCs w:val="18"/>
                <w:lang w:val="es-ES_tradnl"/>
              </w:rPr>
              <w:t>934</w:t>
            </w:r>
          </w:p>
        </w:tc>
        <w:tc>
          <w:tcPr>
            <w:tcW w:w="1134" w:type="dxa"/>
            <w:tcBorders>
              <w:bottom w:val="single" w:sz="12" w:space="0" w:color="auto"/>
            </w:tcBorders>
            <w:shd w:val="clear" w:color="000000" w:fill="DBB731"/>
            <w:noWrap/>
            <w:vAlign w:val="center"/>
            <w:hideMark/>
          </w:tcPr>
          <w:p w14:paraId="2E0A1C5D" w14:textId="5B0ED8DC"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4</w:t>
            </w:r>
            <w:r w:rsidR="00BA11CE" w:rsidRPr="00F567E1">
              <w:rPr>
                <w:b/>
                <w:bCs/>
                <w:color w:val="000000"/>
                <w:sz w:val="18"/>
                <w:szCs w:val="18"/>
                <w:lang w:val="es-ES_tradnl"/>
              </w:rPr>
              <w:t> </w:t>
            </w:r>
            <w:r w:rsidRPr="00F567E1">
              <w:rPr>
                <w:b/>
                <w:bCs/>
                <w:color w:val="000000"/>
                <w:sz w:val="18"/>
                <w:szCs w:val="18"/>
                <w:lang w:val="es-ES_tradnl"/>
              </w:rPr>
              <w:t>703</w:t>
            </w:r>
            <w:r w:rsidR="00BA11CE" w:rsidRPr="00F567E1">
              <w:rPr>
                <w:b/>
                <w:bCs/>
                <w:color w:val="000000"/>
                <w:sz w:val="18"/>
                <w:szCs w:val="18"/>
                <w:lang w:val="es-ES_tradnl"/>
              </w:rPr>
              <w:t> </w:t>
            </w:r>
            <w:r w:rsidRPr="00F567E1">
              <w:rPr>
                <w:b/>
                <w:bCs/>
                <w:color w:val="000000"/>
                <w:sz w:val="18"/>
                <w:szCs w:val="18"/>
                <w:lang w:val="es-ES_tradnl"/>
              </w:rPr>
              <w:t>619</w:t>
            </w:r>
          </w:p>
        </w:tc>
        <w:tc>
          <w:tcPr>
            <w:tcW w:w="1276" w:type="dxa"/>
            <w:tcBorders>
              <w:bottom w:val="single" w:sz="12" w:space="0" w:color="auto"/>
            </w:tcBorders>
            <w:shd w:val="clear" w:color="000000" w:fill="DBB731"/>
            <w:noWrap/>
            <w:vAlign w:val="center"/>
            <w:hideMark/>
          </w:tcPr>
          <w:p w14:paraId="54EEF553" w14:textId="535A68E8"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8</w:t>
            </w:r>
            <w:r w:rsidR="00BA11CE" w:rsidRPr="00F567E1">
              <w:rPr>
                <w:b/>
                <w:bCs/>
                <w:color w:val="000000"/>
                <w:sz w:val="18"/>
                <w:szCs w:val="18"/>
                <w:lang w:val="es-ES_tradnl"/>
              </w:rPr>
              <w:t> </w:t>
            </w:r>
            <w:r w:rsidRPr="00F567E1">
              <w:rPr>
                <w:b/>
                <w:bCs/>
                <w:color w:val="000000"/>
                <w:sz w:val="18"/>
                <w:szCs w:val="18"/>
                <w:lang w:val="es-ES_tradnl"/>
              </w:rPr>
              <w:t>431</w:t>
            </w:r>
            <w:r w:rsidR="00BA11CE" w:rsidRPr="00F567E1">
              <w:rPr>
                <w:b/>
                <w:bCs/>
                <w:color w:val="000000"/>
                <w:sz w:val="18"/>
                <w:szCs w:val="18"/>
                <w:lang w:val="es-ES_tradnl"/>
              </w:rPr>
              <w:t> </w:t>
            </w:r>
            <w:r w:rsidRPr="00F567E1">
              <w:rPr>
                <w:b/>
                <w:bCs/>
                <w:color w:val="000000"/>
                <w:sz w:val="18"/>
                <w:szCs w:val="18"/>
                <w:lang w:val="es-ES_tradnl"/>
              </w:rPr>
              <w:t>553</w:t>
            </w:r>
          </w:p>
        </w:tc>
        <w:tc>
          <w:tcPr>
            <w:tcW w:w="1134" w:type="dxa"/>
            <w:tcBorders>
              <w:bottom w:val="single" w:sz="12" w:space="0" w:color="auto"/>
            </w:tcBorders>
            <w:shd w:val="clear" w:color="000000" w:fill="DBB731"/>
            <w:noWrap/>
            <w:vAlign w:val="center"/>
            <w:hideMark/>
          </w:tcPr>
          <w:p w14:paraId="6E464D50" w14:textId="658923A0"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w:t>
            </w:r>
            <w:r w:rsidR="00FA2B2F" w:rsidRPr="00F567E1">
              <w:rPr>
                <w:b/>
                <w:bCs/>
                <w:color w:val="000000"/>
                <w:sz w:val="18"/>
                <w:szCs w:val="18"/>
                <w:lang w:val="es-ES_tradnl"/>
              </w:rPr>
              <w:t> </w:t>
            </w:r>
            <w:r w:rsidRPr="00F567E1">
              <w:rPr>
                <w:b/>
                <w:bCs/>
                <w:color w:val="000000"/>
                <w:sz w:val="18"/>
                <w:szCs w:val="18"/>
                <w:lang w:val="es-ES_tradnl"/>
              </w:rPr>
              <w:t>078</w:t>
            </w:r>
            <w:r w:rsidR="00FA2B2F" w:rsidRPr="00F567E1">
              <w:rPr>
                <w:b/>
                <w:bCs/>
                <w:color w:val="000000"/>
                <w:sz w:val="18"/>
                <w:szCs w:val="18"/>
                <w:lang w:val="es-ES_tradnl"/>
              </w:rPr>
              <w:t> </w:t>
            </w:r>
            <w:r w:rsidRPr="00F567E1">
              <w:rPr>
                <w:b/>
                <w:bCs/>
                <w:color w:val="000000"/>
                <w:sz w:val="18"/>
                <w:szCs w:val="18"/>
                <w:lang w:val="es-ES_tradnl"/>
              </w:rPr>
              <w:t>635</w:t>
            </w:r>
          </w:p>
        </w:tc>
        <w:tc>
          <w:tcPr>
            <w:tcW w:w="1134" w:type="dxa"/>
            <w:tcBorders>
              <w:bottom w:val="single" w:sz="12" w:space="0" w:color="auto"/>
            </w:tcBorders>
            <w:shd w:val="clear" w:color="000000" w:fill="DBB731"/>
            <w:noWrap/>
            <w:vAlign w:val="center"/>
            <w:hideMark/>
          </w:tcPr>
          <w:p w14:paraId="1A10DFF0" w14:textId="41F94EFF"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2</w:t>
            </w:r>
            <w:r w:rsidR="00FA2B2F" w:rsidRPr="00F567E1">
              <w:rPr>
                <w:b/>
                <w:bCs/>
                <w:color w:val="000000"/>
                <w:sz w:val="18"/>
                <w:szCs w:val="18"/>
                <w:lang w:val="es-ES_tradnl"/>
              </w:rPr>
              <w:t> </w:t>
            </w:r>
            <w:r w:rsidRPr="00F567E1">
              <w:rPr>
                <w:b/>
                <w:bCs/>
                <w:color w:val="000000"/>
                <w:sz w:val="18"/>
                <w:szCs w:val="18"/>
                <w:lang w:val="es-ES_tradnl"/>
              </w:rPr>
              <w:t>813</w:t>
            </w:r>
            <w:r w:rsidR="00FA2B2F" w:rsidRPr="00F567E1">
              <w:rPr>
                <w:b/>
                <w:bCs/>
                <w:color w:val="000000"/>
                <w:sz w:val="18"/>
                <w:szCs w:val="18"/>
                <w:lang w:val="es-ES_tradnl"/>
              </w:rPr>
              <w:t> </w:t>
            </w:r>
            <w:r w:rsidRPr="00F567E1">
              <w:rPr>
                <w:b/>
                <w:bCs/>
                <w:color w:val="000000"/>
                <w:sz w:val="18"/>
                <w:szCs w:val="18"/>
                <w:lang w:val="es-ES_tradnl"/>
              </w:rPr>
              <w:t>135</w:t>
            </w:r>
          </w:p>
        </w:tc>
        <w:tc>
          <w:tcPr>
            <w:tcW w:w="1245" w:type="dxa"/>
            <w:tcBorders>
              <w:bottom w:val="single" w:sz="12" w:space="0" w:color="auto"/>
            </w:tcBorders>
            <w:shd w:val="clear" w:color="000000" w:fill="DBB731"/>
            <w:noWrap/>
            <w:vAlign w:val="center"/>
            <w:hideMark/>
          </w:tcPr>
          <w:p w14:paraId="146BC6FE" w14:textId="2604D687" w:rsidR="00312042" w:rsidRPr="00F567E1" w:rsidRDefault="00312042" w:rsidP="00CB7E8A">
            <w:pPr>
              <w:spacing w:before="40" w:after="40"/>
              <w:jc w:val="right"/>
              <w:rPr>
                <w:b/>
                <w:bCs/>
                <w:sz w:val="18"/>
                <w:szCs w:val="18"/>
                <w:lang w:val="es-ES_tradnl"/>
              </w:rPr>
            </w:pPr>
            <w:r w:rsidRPr="00F567E1">
              <w:rPr>
                <w:b/>
                <w:bCs/>
                <w:color w:val="000000"/>
                <w:sz w:val="18"/>
                <w:szCs w:val="18"/>
                <w:lang w:val="es-ES_tradnl"/>
              </w:rPr>
              <w:t>4</w:t>
            </w:r>
            <w:r w:rsidR="00FA2B2F" w:rsidRPr="00F567E1">
              <w:rPr>
                <w:b/>
                <w:bCs/>
                <w:color w:val="000000"/>
                <w:sz w:val="18"/>
                <w:szCs w:val="18"/>
                <w:lang w:val="es-ES_tradnl"/>
              </w:rPr>
              <w:t> </w:t>
            </w:r>
            <w:r w:rsidRPr="00F567E1">
              <w:rPr>
                <w:b/>
                <w:bCs/>
                <w:color w:val="000000"/>
                <w:sz w:val="18"/>
                <w:szCs w:val="18"/>
                <w:lang w:val="es-ES_tradnl"/>
              </w:rPr>
              <w:t>891</w:t>
            </w:r>
            <w:r w:rsidR="00FA2B2F" w:rsidRPr="00F567E1">
              <w:rPr>
                <w:b/>
                <w:bCs/>
                <w:color w:val="000000"/>
                <w:sz w:val="18"/>
                <w:szCs w:val="18"/>
                <w:lang w:val="es-ES_tradnl"/>
              </w:rPr>
              <w:t> </w:t>
            </w:r>
            <w:r w:rsidRPr="00F567E1">
              <w:rPr>
                <w:b/>
                <w:bCs/>
                <w:color w:val="000000"/>
                <w:sz w:val="18"/>
                <w:szCs w:val="18"/>
                <w:lang w:val="es-ES_tradnl"/>
              </w:rPr>
              <w:t>770</w:t>
            </w:r>
          </w:p>
        </w:tc>
      </w:tr>
    </w:tbl>
    <w:p w14:paraId="5A643865" w14:textId="0FF7B4D3" w:rsidR="00312042" w:rsidRPr="00F567E1" w:rsidRDefault="00312042" w:rsidP="00312042">
      <w:pPr>
        <w:spacing w:before="60"/>
        <w:ind w:left="1247"/>
        <w:rPr>
          <w:rFonts w:asciiTheme="majorBidi" w:hAnsiTheme="majorBidi" w:cstheme="majorBidi"/>
          <w:sz w:val="18"/>
          <w:szCs w:val="18"/>
          <w:lang w:val="es-ES_tradnl"/>
        </w:rPr>
        <w:sectPr w:rsidR="00312042" w:rsidRPr="00F567E1" w:rsidSect="00E84D8D">
          <w:footnotePr>
            <w:numRestart w:val="eachSect"/>
          </w:footnotePr>
          <w:pgSz w:w="16838" w:h="11906" w:orient="landscape" w:code="9"/>
          <w:pgMar w:top="907" w:right="992" w:bottom="1418" w:left="1418" w:header="539" w:footer="975" w:gutter="0"/>
          <w:cols w:space="539"/>
          <w:docGrid w:linePitch="360"/>
        </w:sectPr>
      </w:pPr>
      <w:r w:rsidRPr="00F567E1">
        <w:rPr>
          <w:sz w:val="18"/>
          <w:szCs w:val="18"/>
          <w:lang w:val="es-ES_tradnl"/>
        </w:rPr>
        <w:t>* Con carácter excepcional, se autoriza a la Secretaria Ejecutiva a retirar fondos adicionales, sin exceder los 541.749 dólares de los Estados Unidos, del saldo neto del fondo fiduciario general para cubrir cualquier déficit en la plantilla aprobada para el bienio 2026</w:t>
      </w:r>
      <w:r w:rsidR="00074CC9" w:rsidRPr="00F567E1">
        <w:rPr>
          <w:sz w:val="18"/>
          <w:szCs w:val="18"/>
          <w:lang w:val="es-ES_tradnl"/>
        </w:rPr>
        <w:t>-</w:t>
      </w:r>
      <w:r w:rsidRPr="00F567E1">
        <w:rPr>
          <w:sz w:val="18"/>
          <w:szCs w:val="18"/>
          <w:lang w:val="es-ES_tradnl"/>
        </w:rPr>
        <w:t>2027.</w:t>
      </w:r>
    </w:p>
    <w:p w14:paraId="51D45474" w14:textId="3C566C95" w:rsidR="00312042" w:rsidRPr="00F567E1" w:rsidRDefault="00312042" w:rsidP="00312042">
      <w:pPr>
        <w:pStyle w:val="Titletable"/>
        <w:spacing w:after="0"/>
        <w:rPr>
          <w:rFonts w:asciiTheme="majorBidi" w:hAnsiTheme="majorBidi" w:cstheme="majorBidi"/>
          <w:lang w:val="es-ES_tradnl"/>
        </w:rPr>
      </w:pPr>
      <w:r w:rsidRPr="00F567E1">
        <w:rPr>
          <w:b w:val="0"/>
          <w:bCs w:val="0"/>
          <w:lang w:val="es-ES_tradnl"/>
        </w:rPr>
        <w:lastRenderedPageBreak/>
        <w:t>Cuadro 2</w:t>
      </w:r>
      <w:r w:rsidRPr="00F567E1">
        <w:rPr>
          <w:lang w:val="es-ES_tradnl"/>
        </w:rPr>
        <w:t xml:space="preserve"> </w:t>
      </w:r>
      <w:r w:rsidR="006E3CFD" w:rsidRPr="00F567E1">
        <w:rPr>
          <w:lang w:val="es-ES_tradnl"/>
        </w:rPr>
        <w:br/>
      </w:r>
      <w:r w:rsidRPr="00F567E1">
        <w:rPr>
          <w:lang w:val="es-ES_tradnl"/>
        </w:rPr>
        <w:t>Sinopsis de la escala indicativa de cuotas y contribuciones al fondo fiduciario general para el bienio 2026</w:t>
      </w:r>
      <w:r w:rsidR="00074CC9" w:rsidRPr="00F567E1">
        <w:rPr>
          <w:lang w:val="es-ES_tradnl"/>
        </w:rPr>
        <w:t>-</w:t>
      </w:r>
      <w:r w:rsidRPr="00F567E1">
        <w:rPr>
          <w:lang w:val="es-ES_tradnl"/>
        </w:rPr>
        <w:t>2027</w:t>
      </w:r>
    </w:p>
    <w:p w14:paraId="59B8D735" w14:textId="40294A94" w:rsidR="00312042" w:rsidRPr="00F567E1" w:rsidRDefault="00312042" w:rsidP="00312042">
      <w:pPr>
        <w:pStyle w:val="Titletable"/>
        <w:spacing w:after="120"/>
        <w:rPr>
          <w:rFonts w:asciiTheme="majorBidi" w:hAnsiTheme="majorBidi" w:cstheme="majorBidi"/>
          <w:b w:val="0"/>
          <w:bCs w:val="0"/>
          <w:lang w:val="es-ES_tradnl"/>
        </w:rPr>
      </w:pPr>
      <w:r w:rsidRPr="00F567E1">
        <w:rPr>
          <w:b w:val="0"/>
          <w:bCs w:val="0"/>
          <w:lang w:val="es-ES_tradnl"/>
        </w:rPr>
        <w:t>(Dólares de los E</w:t>
      </w:r>
      <w:r w:rsidR="00074CC9" w:rsidRPr="00F567E1">
        <w:rPr>
          <w:b w:val="0"/>
          <w:bCs w:val="0"/>
          <w:lang w:val="es-ES_tradnl"/>
        </w:rPr>
        <w:t>stados Unidos</w:t>
      </w:r>
      <w:r w:rsidRPr="00F567E1">
        <w:rPr>
          <w:b w:val="0"/>
          <w:bCs w:val="0"/>
          <w:lang w:val="es-ES_tradnl"/>
        </w:rPr>
        <w:t>)</w:t>
      </w:r>
    </w:p>
    <w:tbl>
      <w:tblPr>
        <w:tblW w:w="5000" w:type="pct"/>
        <w:jc w:val="right"/>
        <w:tblLayout w:type="fixed"/>
        <w:tblLook w:val="04A0" w:firstRow="1" w:lastRow="0" w:firstColumn="1" w:lastColumn="0" w:noHBand="0" w:noVBand="1"/>
      </w:tblPr>
      <w:tblGrid>
        <w:gridCol w:w="542"/>
        <w:gridCol w:w="2573"/>
        <w:gridCol w:w="1400"/>
        <w:gridCol w:w="1073"/>
        <w:gridCol w:w="1293"/>
        <w:gridCol w:w="1293"/>
        <w:gridCol w:w="1313"/>
      </w:tblGrid>
      <w:tr w:rsidR="00F234CD" w:rsidRPr="00F567E1" w14:paraId="6444DECF" w14:textId="77777777" w:rsidTr="0083122C">
        <w:trPr>
          <w:trHeight w:val="680"/>
          <w:tblHeader/>
          <w:jc w:val="right"/>
        </w:trPr>
        <w:tc>
          <w:tcPr>
            <w:tcW w:w="541" w:type="dxa"/>
            <w:tcBorders>
              <w:top w:val="single" w:sz="4" w:space="0" w:color="auto"/>
              <w:left w:val="single" w:sz="4" w:space="0" w:color="auto"/>
              <w:bottom w:val="single" w:sz="12" w:space="0" w:color="auto"/>
              <w:right w:val="single" w:sz="4" w:space="0" w:color="auto"/>
            </w:tcBorders>
            <w:shd w:val="clear" w:color="000000" w:fill="DBB731"/>
            <w:noWrap/>
            <w:vAlign w:val="bottom"/>
            <w:hideMark/>
          </w:tcPr>
          <w:p w14:paraId="2324E9C4" w14:textId="77777777" w:rsidR="00312042" w:rsidRPr="00F567E1" w:rsidRDefault="00312042" w:rsidP="009A58EE">
            <w:pPr>
              <w:pStyle w:val="Normal-pool-Table"/>
              <w:rPr>
                <w:i/>
                <w:iCs/>
                <w:szCs w:val="18"/>
                <w:lang w:val="es-ES_tradnl"/>
              </w:rPr>
            </w:pPr>
            <w:r w:rsidRPr="00F567E1">
              <w:rPr>
                <w:i/>
                <w:iCs/>
                <w:color w:val="000000"/>
                <w:szCs w:val="18"/>
                <w:lang w:val="es-ES_tradnl"/>
              </w:rPr>
              <w:t> </w:t>
            </w:r>
          </w:p>
        </w:tc>
        <w:tc>
          <w:tcPr>
            <w:tcW w:w="2573" w:type="dxa"/>
            <w:tcBorders>
              <w:top w:val="single" w:sz="4" w:space="0" w:color="auto"/>
              <w:left w:val="nil"/>
              <w:bottom w:val="single" w:sz="12" w:space="0" w:color="auto"/>
              <w:right w:val="single" w:sz="4" w:space="0" w:color="auto"/>
            </w:tcBorders>
            <w:shd w:val="clear" w:color="000000" w:fill="DBB731"/>
            <w:noWrap/>
            <w:vAlign w:val="bottom"/>
            <w:hideMark/>
          </w:tcPr>
          <w:p w14:paraId="5A28D20D" w14:textId="77777777" w:rsidR="00312042" w:rsidRPr="00F567E1" w:rsidRDefault="00312042" w:rsidP="009A58EE">
            <w:pPr>
              <w:pStyle w:val="Normal-pool-Table"/>
              <w:rPr>
                <w:i/>
                <w:iCs/>
                <w:szCs w:val="18"/>
                <w:lang w:val="es-ES_tradnl"/>
              </w:rPr>
            </w:pPr>
            <w:r w:rsidRPr="00F567E1">
              <w:rPr>
                <w:i/>
                <w:iCs/>
                <w:color w:val="000000"/>
                <w:lang w:val="es-ES_tradnl"/>
              </w:rPr>
              <w:t>Parte</w:t>
            </w:r>
          </w:p>
        </w:tc>
        <w:tc>
          <w:tcPr>
            <w:tcW w:w="1400" w:type="dxa"/>
            <w:tcBorders>
              <w:top w:val="single" w:sz="4" w:space="0" w:color="auto"/>
              <w:left w:val="nil"/>
              <w:bottom w:val="single" w:sz="12" w:space="0" w:color="auto"/>
              <w:right w:val="single" w:sz="4" w:space="0" w:color="auto"/>
            </w:tcBorders>
            <w:shd w:val="clear" w:color="000000" w:fill="DBB731"/>
            <w:vAlign w:val="bottom"/>
            <w:hideMark/>
          </w:tcPr>
          <w:p w14:paraId="6B0F325C" w14:textId="77777777" w:rsidR="00312042" w:rsidRPr="00F567E1" w:rsidRDefault="00312042" w:rsidP="009A58EE">
            <w:pPr>
              <w:pStyle w:val="Normal-pool-Table"/>
              <w:jc w:val="right"/>
              <w:rPr>
                <w:i/>
                <w:iCs/>
                <w:szCs w:val="18"/>
                <w:lang w:val="es-ES_tradnl"/>
              </w:rPr>
            </w:pPr>
            <w:r w:rsidRPr="00F567E1">
              <w:rPr>
                <w:i/>
                <w:iCs/>
                <w:color w:val="000000"/>
                <w:lang w:val="es-ES_tradnl"/>
              </w:rPr>
              <w:t>Escala de cuotas de las Naciones Unidas (%)</w:t>
            </w:r>
          </w:p>
        </w:tc>
        <w:tc>
          <w:tcPr>
            <w:tcW w:w="1073" w:type="dxa"/>
            <w:tcBorders>
              <w:top w:val="single" w:sz="4" w:space="0" w:color="auto"/>
              <w:left w:val="nil"/>
              <w:bottom w:val="single" w:sz="12" w:space="0" w:color="auto"/>
              <w:right w:val="single" w:sz="4" w:space="0" w:color="auto"/>
            </w:tcBorders>
            <w:shd w:val="clear" w:color="000000" w:fill="DBB731"/>
            <w:vAlign w:val="bottom"/>
            <w:hideMark/>
          </w:tcPr>
          <w:p w14:paraId="410BD401" w14:textId="77777777" w:rsidR="00312042" w:rsidRPr="00F567E1" w:rsidRDefault="00312042" w:rsidP="009A58EE">
            <w:pPr>
              <w:pStyle w:val="Normal-pool-Table"/>
              <w:jc w:val="right"/>
              <w:rPr>
                <w:i/>
                <w:iCs/>
                <w:szCs w:val="18"/>
                <w:lang w:val="es-ES_tradnl"/>
              </w:rPr>
            </w:pPr>
            <w:r w:rsidRPr="00F567E1">
              <w:rPr>
                <w:i/>
                <w:iCs/>
                <w:color w:val="000000"/>
                <w:lang w:val="es-ES_tradnl"/>
              </w:rPr>
              <w:t>Escala de cuotas del Convenio de Minamata (%)</w:t>
            </w:r>
          </w:p>
        </w:tc>
        <w:tc>
          <w:tcPr>
            <w:tcW w:w="1293" w:type="dxa"/>
            <w:tcBorders>
              <w:top w:val="single" w:sz="4" w:space="0" w:color="auto"/>
              <w:left w:val="nil"/>
              <w:bottom w:val="single" w:sz="12" w:space="0" w:color="auto"/>
              <w:right w:val="single" w:sz="4" w:space="0" w:color="auto"/>
            </w:tcBorders>
            <w:shd w:val="clear" w:color="000000" w:fill="DBB731"/>
            <w:vAlign w:val="bottom"/>
            <w:hideMark/>
          </w:tcPr>
          <w:p w14:paraId="7DD10972" w14:textId="77777777" w:rsidR="00312042" w:rsidRPr="00F567E1" w:rsidRDefault="00312042" w:rsidP="00241FED">
            <w:pPr>
              <w:pStyle w:val="Normal-pool-Table"/>
              <w:ind w:left="-171"/>
              <w:jc w:val="right"/>
              <w:rPr>
                <w:i/>
                <w:iCs/>
                <w:szCs w:val="18"/>
                <w:lang w:val="es-ES_tradnl"/>
              </w:rPr>
            </w:pPr>
            <w:r w:rsidRPr="00F567E1">
              <w:rPr>
                <w:i/>
                <w:iCs/>
                <w:color w:val="000000"/>
                <w:lang w:val="es-ES_tradnl"/>
              </w:rPr>
              <w:t>Contribuciones para 2026</w:t>
            </w:r>
          </w:p>
        </w:tc>
        <w:tc>
          <w:tcPr>
            <w:tcW w:w="1293" w:type="dxa"/>
            <w:tcBorders>
              <w:top w:val="single" w:sz="4" w:space="0" w:color="auto"/>
              <w:left w:val="nil"/>
              <w:bottom w:val="single" w:sz="12" w:space="0" w:color="auto"/>
              <w:right w:val="single" w:sz="4" w:space="0" w:color="auto"/>
            </w:tcBorders>
            <w:shd w:val="clear" w:color="000000" w:fill="DBB731"/>
            <w:vAlign w:val="bottom"/>
            <w:hideMark/>
          </w:tcPr>
          <w:p w14:paraId="57644782" w14:textId="77777777" w:rsidR="00312042" w:rsidRPr="00F567E1" w:rsidRDefault="00312042" w:rsidP="00241FED">
            <w:pPr>
              <w:pStyle w:val="Normal-pool-Table"/>
              <w:ind w:left="-186"/>
              <w:jc w:val="right"/>
              <w:rPr>
                <w:i/>
                <w:iCs/>
                <w:szCs w:val="18"/>
                <w:lang w:val="es-ES_tradnl"/>
              </w:rPr>
            </w:pPr>
            <w:r w:rsidRPr="00F567E1">
              <w:rPr>
                <w:i/>
                <w:iCs/>
                <w:color w:val="000000"/>
                <w:lang w:val="es-ES_tradnl"/>
              </w:rPr>
              <w:t>Contribuciones para 2027</w:t>
            </w:r>
          </w:p>
        </w:tc>
        <w:tc>
          <w:tcPr>
            <w:tcW w:w="1313" w:type="dxa"/>
            <w:tcBorders>
              <w:top w:val="single" w:sz="4" w:space="0" w:color="auto"/>
              <w:left w:val="nil"/>
              <w:bottom w:val="single" w:sz="12" w:space="0" w:color="auto"/>
              <w:right w:val="single" w:sz="4" w:space="0" w:color="auto"/>
            </w:tcBorders>
            <w:shd w:val="clear" w:color="000000" w:fill="DBB731"/>
            <w:vAlign w:val="bottom"/>
            <w:hideMark/>
          </w:tcPr>
          <w:p w14:paraId="3D18320D" w14:textId="77F774B1" w:rsidR="00312042" w:rsidRPr="00F567E1" w:rsidRDefault="00312042" w:rsidP="009A58EE">
            <w:pPr>
              <w:pStyle w:val="Normal-pool-Table"/>
              <w:jc w:val="right"/>
              <w:rPr>
                <w:i/>
                <w:iCs/>
                <w:szCs w:val="18"/>
                <w:lang w:val="es-ES_tradnl"/>
              </w:rPr>
            </w:pPr>
            <w:r w:rsidRPr="00F567E1">
              <w:rPr>
                <w:i/>
                <w:iCs/>
                <w:color w:val="000000"/>
                <w:lang w:val="es-ES_tradnl"/>
              </w:rPr>
              <w:t>Total de contribuciones al fondo fiduciario general para 2026</w:t>
            </w:r>
            <w:r w:rsidR="00074CC9" w:rsidRPr="00F567E1">
              <w:rPr>
                <w:i/>
                <w:iCs/>
                <w:color w:val="000000"/>
                <w:lang w:val="es-ES_tradnl"/>
              </w:rPr>
              <w:t>-</w:t>
            </w:r>
            <w:r w:rsidRPr="00F567E1">
              <w:rPr>
                <w:i/>
                <w:iCs/>
                <w:color w:val="000000"/>
                <w:lang w:val="es-ES_tradnl"/>
              </w:rPr>
              <w:t>2027</w:t>
            </w:r>
          </w:p>
        </w:tc>
      </w:tr>
      <w:tr w:rsidR="00F234CD" w:rsidRPr="00F567E1" w14:paraId="32415499" w14:textId="77777777" w:rsidTr="0083122C">
        <w:trPr>
          <w:trHeight w:val="300"/>
          <w:jc w:val="right"/>
        </w:trPr>
        <w:tc>
          <w:tcPr>
            <w:tcW w:w="9486" w:type="dxa"/>
            <w:gridSpan w:val="7"/>
            <w:tcBorders>
              <w:top w:val="single" w:sz="12" w:space="0" w:color="auto"/>
              <w:left w:val="single" w:sz="4" w:space="0" w:color="auto"/>
              <w:bottom w:val="single" w:sz="4" w:space="0" w:color="auto"/>
              <w:right w:val="single" w:sz="4" w:space="0" w:color="000000"/>
            </w:tcBorders>
            <w:shd w:val="clear" w:color="000000" w:fill="C5D9F1"/>
            <w:noWrap/>
            <w:hideMark/>
          </w:tcPr>
          <w:p w14:paraId="41248CFB" w14:textId="77777777" w:rsidR="00312042" w:rsidRPr="00F567E1" w:rsidRDefault="00312042" w:rsidP="009A58EE">
            <w:pPr>
              <w:pStyle w:val="Normal-pool-Table"/>
              <w:rPr>
                <w:b/>
                <w:bCs/>
                <w:szCs w:val="18"/>
                <w:lang w:val="es-ES_tradnl"/>
              </w:rPr>
            </w:pPr>
            <w:r w:rsidRPr="00F567E1">
              <w:rPr>
                <w:b/>
                <w:bCs/>
                <w:color w:val="000000"/>
                <w:lang w:val="es-ES_tradnl"/>
              </w:rPr>
              <w:t>Estados de África (44)</w:t>
            </w:r>
          </w:p>
        </w:tc>
      </w:tr>
      <w:tr w:rsidR="00092F8A" w:rsidRPr="00F567E1" w14:paraId="53C64E6D" w14:textId="77777777" w:rsidTr="00CB7E08">
        <w:trPr>
          <w:trHeight w:val="55"/>
          <w:jc w:val="right"/>
        </w:trPr>
        <w:tc>
          <w:tcPr>
            <w:tcW w:w="541" w:type="dxa"/>
            <w:tcBorders>
              <w:top w:val="nil"/>
              <w:left w:val="single" w:sz="4" w:space="0" w:color="auto"/>
              <w:bottom w:val="single" w:sz="4" w:space="0" w:color="auto"/>
              <w:right w:val="single" w:sz="4" w:space="0" w:color="auto"/>
            </w:tcBorders>
            <w:noWrap/>
            <w:hideMark/>
          </w:tcPr>
          <w:p w14:paraId="5308A55F" w14:textId="77777777" w:rsidR="00092F8A" w:rsidRPr="00F567E1" w:rsidRDefault="00092F8A" w:rsidP="009A58EE">
            <w:pPr>
              <w:pStyle w:val="Normal-pool-Table"/>
              <w:rPr>
                <w:szCs w:val="18"/>
                <w:lang w:val="es-ES_tradnl"/>
              </w:rPr>
            </w:pPr>
            <w:r w:rsidRPr="00F567E1">
              <w:rPr>
                <w:color w:val="000000"/>
                <w:lang w:val="es-ES_tradnl"/>
              </w:rPr>
              <w:t>1</w:t>
            </w:r>
          </w:p>
        </w:tc>
        <w:tc>
          <w:tcPr>
            <w:tcW w:w="2573" w:type="dxa"/>
            <w:tcBorders>
              <w:top w:val="nil"/>
              <w:left w:val="nil"/>
              <w:bottom w:val="single" w:sz="4" w:space="0" w:color="auto"/>
              <w:right w:val="single" w:sz="4" w:space="0" w:color="auto"/>
            </w:tcBorders>
            <w:noWrap/>
            <w:hideMark/>
          </w:tcPr>
          <w:p w14:paraId="0DBCFED0" w14:textId="77777777" w:rsidR="00092F8A" w:rsidRPr="00F567E1" w:rsidRDefault="00092F8A" w:rsidP="009A58EE">
            <w:pPr>
              <w:pStyle w:val="Normal-pool-Table"/>
              <w:rPr>
                <w:szCs w:val="18"/>
                <w:lang w:val="es-ES_tradnl"/>
              </w:rPr>
            </w:pPr>
            <w:r w:rsidRPr="00F567E1">
              <w:rPr>
                <w:color w:val="000000"/>
                <w:lang w:val="es-ES_tradnl"/>
              </w:rPr>
              <w:t>Argelia</w:t>
            </w:r>
          </w:p>
        </w:tc>
        <w:tc>
          <w:tcPr>
            <w:tcW w:w="1400" w:type="dxa"/>
            <w:tcBorders>
              <w:top w:val="nil"/>
              <w:left w:val="nil"/>
              <w:bottom w:val="single" w:sz="4" w:space="0" w:color="auto"/>
              <w:right w:val="single" w:sz="4" w:space="0" w:color="auto"/>
            </w:tcBorders>
            <w:noWrap/>
            <w:hideMark/>
          </w:tcPr>
          <w:p w14:paraId="2688281D" w14:textId="77777777" w:rsidR="00092F8A" w:rsidRPr="00F567E1" w:rsidRDefault="00092F8A" w:rsidP="009A58EE">
            <w:pPr>
              <w:pStyle w:val="Normal-pool-Table"/>
              <w:jc w:val="right"/>
              <w:rPr>
                <w:szCs w:val="18"/>
                <w:lang w:val="es-ES_tradnl"/>
              </w:rPr>
            </w:pPr>
            <w:r w:rsidRPr="00F567E1">
              <w:rPr>
                <w:color w:val="000000"/>
                <w:lang w:val="es-ES_tradnl"/>
              </w:rPr>
              <w:t>0,087</w:t>
            </w:r>
          </w:p>
        </w:tc>
        <w:tc>
          <w:tcPr>
            <w:tcW w:w="1073" w:type="dxa"/>
            <w:tcBorders>
              <w:top w:val="nil"/>
              <w:left w:val="nil"/>
              <w:bottom w:val="single" w:sz="4" w:space="0" w:color="auto"/>
              <w:right w:val="single" w:sz="4" w:space="0" w:color="auto"/>
            </w:tcBorders>
            <w:noWrap/>
            <w:hideMark/>
          </w:tcPr>
          <w:p w14:paraId="50779D00" w14:textId="77777777" w:rsidR="00092F8A" w:rsidRPr="00F567E1" w:rsidRDefault="00092F8A" w:rsidP="009A58EE">
            <w:pPr>
              <w:pStyle w:val="Normal-pool-Table"/>
              <w:jc w:val="right"/>
              <w:rPr>
                <w:szCs w:val="18"/>
                <w:lang w:val="es-ES_tradnl"/>
              </w:rPr>
            </w:pPr>
            <w:r w:rsidRPr="00F567E1">
              <w:rPr>
                <w:color w:val="000000"/>
                <w:lang w:val="es-ES_tradnl"/>
              </w:rPr>
              <w:t>0,0878</w:t>
            </w:r>
          </w:p>
        </w:tc>
        <w:tc>
          <w:tcPr>
            <w:tcW w:w="1293" w:type="dxa"/>
            <w:tcBorders>
              <w:top w:val="nil"/>
              <w:left w:val="nil"/>
              <w:bottom w:val="single" w:sz="4" w:space="0" w:color="auto"/>
              <w:right w:val="single" w:sz="4" w:space="0" w:color="auto"/>
            </w:tcBorders>
            <w:noWrap/>
            <w:hideMark/>
          </w:tcPr>
          <w:p w14:paraId="17CEF93F" w14:textId="77777777" w:rsidR="00092F8A" w:rsidRPr="00F567E1" w:rsidRDefault="00092F8A" w:rsidP="009A58EE">
            <w:pPr>
              <w:pStyle w:val="Normal-pool-Table"/>
              <w:jc w:val="right"/>
              <w:rPr>
                <w:szCs w:val="18"/>
                <w:lang w:val="es-ES_tradnl"/>
              </w:rPr>
            </w:pPr>
            <w:r w:rsidRPr="00F567E1">
              <w:rPr>
                <w:color w:val="000000"/>
                <w:lang w:val="es-ES_tradnl"/>
              </w:rPr>
              <w:t>2 707</w:t>
            </w:r>
          </w:p>
        </w:tc>
        <w:tc>
          <w:tcPr>
            <w:tcW w:w="1293" w:type="dxa"/>
            <w:tcBorders>
              <w:top w:val="nil"/>
              <w:left w:val="nil"/>
              <w:bottom w:val="single" w:sz="4" w:space="0" w:color="auto"/>
              <w:right w:val="single" w:sz="4" w:space="0" w:color="auto"/>
            </w:tcBorders>
            <w:noWrap/>
            <w:hideMark/>
          </w:tcPr>
          <w:p w14:paraId="7A3C9D1B" w14:textId="77777777" w:rsidR="00092F8A" w:rsidRPr="00F567E1" w:rsidRDefault="00092F8A" w:rsidP="009A58EE">
            <w:pPr>
              <w:pStyle w:val="Normal-pool-Table"/>
              <w:jc w:val="right"/>
              <w:rPr>
                <w:szCs w:val="18"/>
                <w:lang w:val="es-ES_tradnl"/>
              </w:rPr>
            </w:pPr>
            <w:r w:rsidRPr="00F567E1">
              <w:rPr>
                <w:color w:val="000000"/>
                <w:lang w:val="es-ES_tradnl"/>
              </w:rPr>
              <w:t>3 573</w:t>
            </w:r>
          </w:p>
        </w:tc>
        <w:tc>
          <w:tcPr>
            <w:tcW w:w="1313" w:type="dxa"/>
            <w:tcBorders>
              <w:top w:val="nil"/>
              <w:left w:val="nil"/>
              <w:bottom w:val="single" w:sz="4" w:space="0" w:color="auto"/>
              <w:right w:val="single" w:sz="4" w:space="0" w:color="auto"/>
            </w:tcBorders>
            <w:noWrap/>
            <w:hideMark/>
          </w:tcPr>
          <w:p w14:paraId="02640FFF" w14:textId="77777777" w:rsidR="00092F8A" w:rsidRPr="00F567E1" w:rsidRDefault="00092F8A" w:rsidP="009A58EE">
            <w:pPr>
              <w:pStyle w:val="Normal-pool-Table"/>
              <w:jc w:val="right"/>
              <w:rPr>
                <w:szCs w:val="18"/>
                <w:lang w:val="es-ES_tradnl"/>
              </w:rPr>
            </w:pPr>
            <w:r w:rsidRPr="00F567E1">
              <w:rPr>
                <w:color w:val="000000"/>
                <w:lang w:val="es-ES_tradnl"/>
              </w:rPr>
              <w:t>6 281</w:t>
            </w:r>
          </w:p>
        </w:tc>
      </w:tr>
      <w:tr w:rsidR="00092F8A" w:rsidRPr="00F567E1" w14:paraId="51334AB5"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79BB8C8E" w14:textId="77777777" w:rsidR="00092F8A" w:rsidRPr="00F567E1" w:rsidRDefault="00092F8A" w:rsidP="009A58EE">
            <w:pPr>
              <w:pStyle w:val="Normal-pool-Table"/>
              <w:rPr>
                <w:szCs w:val="18"/>
                <w:lang w:val="es-ES_tradnl"/>
              </w:rPr>
            </w:pPr>
            <w:r w:rsidRPr="00F567E1">
              <w:rPr>
                <w:color w:val="000000"/>
                <w:lang w:val="es-ES_tradnl"/>
              </w:rPr>
              <w:t>2</w:t>
            </w:r>
          </w:p>
        </w:tc>
        <w:tc>
          <w:tcPr>
            <w:tcW w:w="2573" w:type="dxa"/>
            <w:tcBorders>
              <w:top w:val="nil"/>
              <w:left w:val="nil"/>
              <w:bottom w:val="single" w:sz="4" w:space="0" w:color="auto"/>
              <w:right w:val="single" w:sz="4" w:space="0" w:color="auto"/>
            </w:tcBorders>
            <w:noWrap/>
            <w:hideMark/>
          </w:tcPr>
          <w:p w14:paraId="2B0C1614" w14:textId="77777777" w:rsidR="00092F8A" w:rsidRPr="00F567E1" w:rsidRDefault="00092F8A" w:rsidP="009A58EE">
            <w:pPr>
              <w:pStyle w:val="Normal-pool-Table"/>
              <w:rPr>
                <w:szCs w:val="18"/>
                <w:lang w:val="es-ES_tradnl"/>
              </w:rPr>
            </w:pPr>
            <w:r w:rsidRPr="00F567E1">
              <w:rPr>
                <w:color w:val="000000"/>
                <w:lang w:val="es-ES_tradnl"/>
              </w:rPr>
              <w:t>Benin</w:t>
            </w:r>
          </w:p>
        </w:tc>
        <w:tc>
          <w:tcPr>
            <w:tcW w:w="1400" w:type="dxa"/>
            <w:tcBorders>
              <w:top w:val="nil"/>
              <w:left w:val="nil"/>
              <w:bottom w:val="single" w:sz="4" w:space="0" w:color="auto"/>
              <w:right w:val="single" w:sz="4" w:space="0" w:color="auto"/>
            </w:tcBorders>
            <w:noWrap/>
            <w:hideMark/>
          </w:tcPr>
          <w:p w14:paraId="09B7C5BA" w14:textId="77777777" w:rsidR="00092F8A" w:rsidRPr="00F567E1" w:rsidRDefault="00092F8A" w:rsidP="009A58EE">
            <w:pPr>
              <w:pStyle w:val="Normal-pool-Table"/>
              <w:jc w:val="right"/>
              <w:rPr>
                <w:szCs w:val="18"/>
                <w:lang w:val="es-ES_tradnl"/>
              </w:rPr>
            </w:pPr>
            <w:r w:rsidRPr="00F567E1">
              <w:rPr>
                <w:color w:val="000000"/>
                <w:lang w:val="es-ES_tradnl"/>
              </w:rPr>
              <w:t>0,005</w:t>
            </w:r>
          </w:p>
        </w:tc>
        <w:tc>
          <w:tcPr>
            <w:tcW w:w="1073" w:type="dxa"/>
            <w:tcBorders>
              <w:top w:val="nil"/>
              <w:left w:val="nil"/>
              <w:bottom w:val="single" w:sz="4" w:space="0" w:color="auto"/>
              <w:right w:val="single" w:sz="4" w:space="0" w:color="auto"/>
            </w:tcBorders>
            <w:noWrap/>
            <w:hideMark/>
          </w:tcPr>
          <w:p w14:paraId="6A29167B"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45506970"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38E9D816"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E139B21"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0386766A"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37C5D633" w14:textId="77777777" w:rsidR="00092F8A" w:rsidRPr="00F567E1" w:rsidRDefault="00092F8A" w:rsidP="009A58EE">
            <w:pPr>
              <w:pStyle w:val="Normal-pool-Table"/>
              <w:rPr>
                <w:szCs w:val="18"/>
                <w:lang w:val="es-ES_tradnl"/>
              </w:rPr>
            </w:pPr>
            <w:r w:rsidRPr="00F567E1">
              <w:rPr>
                <w:color w:val="000000"/>
                <w:lang w:val="es-ES_tradnl"/>
              </w:rPr>
              <w:t>3</w:t>
            </w:r>
          </w:p>
        </w:tc>
        <w:tc>
          <w:tcPr>
            <w:tcW w:w="2573" w:type="dxa"/>
            <w:tcBorders>
              <w:top w:val="nil"/>
              <w:left w:val="nil"/>
              <w:bottom w:val="single" w:sz="4" w:space="0" w:color="auto"/>
              <w:right w:val="single" w:sz="4" w:space="0" w:color="auto"/>
            </w:tcBorders>
            <w:noWrap/>
            <w:hideMark/>
          </w:tcPr>
          <w:p w14:paraId="3BB73134" w14:textId="77777777" w:rsidR="00092F8A" w:rsidRPr="00F567E1" w:rsidRDefault="00092F8A" w:rsidP="009A58EE">
            <w:pPr>
              <w:pStyle w:val="Normal-pool-Table"/>
              <w:rPr>
                <w:szCs w:val="18"/>
                <w:lang w:val="es-ES_tradnl"/>
              </w:rPr>
            </w:pPr>
            <w:r w:rsidRPr="00F567E1">
              <w:rPr>
                <w:color w:val="000000"/>
                <w:lang w:val="es-ES_tradnl"/>
              </w:rPr>
              <w:t>Botswana</w:t>
            </w:r>
          </w:p>
        </w:tc>
        <w:tc>
          <w:tcPr>
            <w:tcW w:w="1400" w:type="dxa"/>
            <w:tcBorders>
              <w:top w:val="nil"/>
              <w:left w:val="nil"/>
              <w:bottom w:val="single" w:sz="4" w:space="0" w:color="auto"/>
              <w:right w:val="single" w:sz="4" w:space="0" w:color="auto"/>
            </w:tcBorders>
            <w:noWrap/>
            <w:hideMark/>
          </w:tcPr>
          <w:p w14:paraId="7DE76716" w14:textId="77777777" w:rsidR="00092F8A" w:rsidRPr="00F567E1" w:rsidRDefault="00092F8A" w:rsidP="009A58EE">
            <w:pPr>
              <w:pStyle w:val="Normal-pool-Table"/>
              <w:jc w:val="right"/>
              <w:rPr>
                <w:szCs w:val="18"/>
                <w:lang w:val="es-ES_tradnl"/>
              </w:rPr>
            </w:pPr>
            <w:r w:rsidRPr="00F567E1">
              <w:rPr>
                <w:color w:val="000000"/>
                <w:lang w:val="es-ES_tradnl"/>
              </w:rPr>
              <w:t>0,013</w:t>
            </w:r>
          </w:p>
        </w:tc>
        <w:tc>
          <w:tcPr>
            <w:tcW w:w="1073" w:type="dxa"/>
            <w:tcBorders>
              <w:top w:val="nil"/>
              <w:left w:val="nil"/>
              <w:bottom w:val="single" w:sz="4" w:space="0" w:color="auto"/>
              <w:right w:val="single" w:sz="4" w:space="0" w:color="auto"/>
            </w:tcBorders>
            <w:noWrap/>
            <w:hideMark/>
          </w:tcPr>
          <w:p w14:paraId="316AB6F9" w14:textId="77777777" w:rsidR="00092F8A" w:rsidRPr="00F567E1" w:rsidRDefault="00092F8A" w:rsidP="009A58EE">
            <w:pPr>
              <w:pStyle w:val="Normal-pool-Table"/>
              <w:jc w:val="right"/>
              <w:rPr>
                <w:szCs w:val="18"/>
                <w:lang w:val="es-ES_tradnl"/>
              </w:rPr>
            </w:pPr>
            <w:r w:rsidRPr="00F567E1">
              <w:rPr>
                <w:color w:val="000000"/>
                <w:lang w:val="es-ES_tradnl"/>
              </w:rPr>
              <w:t>0,0131</w:t>
            </w:r>
          </w:p>
        </w:tc>
        <w:tc>
          <w:tcPr>
            <w:tcW w:w="1293" w:type="dxa"/>
            <w:tcBorders>
              <w:top w:val="nil"/>
              <w:left w:val="nil"/>
              <w:bottom w:val="single" w:sz="4" w:space="0" w:color="auto"/>
              <w:right w:val="single" w:sz="4" w:space="0" w:color="auto"/>
            </w:tcBorders>
            <w:noWrap/>
            <w:hideMark/>
          </w:tcPr>
          <w:p w14:paraId="65FA2B39" w14:textId="77777777" w:rsidR="00092F8A" w:rsidRPr="00F567E1" w:rsidRDefault="00092F8A" w:rsidP="009A58EE">
            <w:pPr>
              <w:pStyle w:val="Normal-pool-Table"/>
              <w:jc w:val="right"/>
              <w:rPr>
                <w:szCs w:val="18"/>
                <w:lang w:val="es-ES_tradnl"/>
              </w:rPr>
            </w:pPr>
            <w:r w:rsidRPr="00F567E1">
              <w:rPr>
                <w:color w:val="000000"/>
                <w:lang w:val="es-ES_tradnl"/>
              </w:rPr>
              <w:t>405</w:t>
            </w:r>
          </w:p>
        </w:tc>
        <w:tc>
          <w:tcPr>
            <w:tcW w:w="1293" w:type="dxa"/>
            <w:tcBorders>
              <w:top w:val="nil"/>
              <w:left w:val="nil"/>
              <w:bottom w:val="single" w:sz="4" w:space="0" w:color="auto"/>
              <w:right w:val="single" w:sz="4" w:space="0" w:color="auto"/>
            </w:tcBorders>
            <w:noWrap/>
            <w:hideMark/>
          </w:tcPr>
          <w:p w14:paraId="49590F76" w14:textId="77777777" w:rsidR="00092F8A" w:rsidRPr="00F567E1" w:rsidRDefault="00092F8A" w:rsidP="009A58EE">
            <w:pPr>
              <w:pStyle w:val="Normal-pool-Table"/>
              <w:jc w:val="right"/>
              <w:rPr>
                <w:szCs w:val="18"/>
                <w:lang w:val="es-ES_tradnl"/>
              </w:rPr>
            </w:pPr>
            <w:r w:rsidRPr="00F567E1">
              <w:rPr>
                <w:color w:val="000000"/>
                <w:lang w:val="es-ES_tradnl"/>
              </w:rPr>
              <w:t>534</w:t>
            </w:r>
          </w:p>
        </w:tc>
        <w:tc>
          <w:tcPr>
            <w:tcW w:w="1313" w:type="dxa"/>
            <w:tcBorders>
              <w:top w:val="nil"/>
              <w:left w:val="nil"/>
              <w:bottom w:val="single" w:sz="4" w:space="0" w:color="auto"/>
              <w:right w:val="single" w:sz="4" w:space="0" w:color="auto"/>
            </w:tcBorders>
            <w:noWrap/>
            <w:hideMark/>
          </w:tcPr>
          <w:p w14:paraId="78B2EEF7" w14:textId="77777777" w:rsidR="00092F8A" w:rsidRPr="00F567E1" w:rsidRDefault="00092F8A" w:rsidP="009A58EE">
            <w:pPr>
              <w:pStyle w:val="Normal-pool-Table"/>
              <w:jc w:val="right"/>
              <w:rPr>
                <w:szCs w:val="18"/>
                <w:lang w:val="es-ES_tradnl"/>
              </w:rPr>
            </w:pPr>
            <w:r w:rsidRPr="00F567E1">
              <w:rPr>
                <w:color w:val="000000"/>
                <w:lang w:val="es-ES_tradnl"/>
              </w:rPr>
              <w:t>938</w:t>
            </w:r>
          </w:p>
        </w:tc>
      </w:tr>
      <w:tr w:rsidR="00092F8A" w:rsidRPr="00F567E1" w14:paraId="7BFA6387"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58797D93" w14:textId="77777777" w:rsidR="00092F8A" w:rsidRPr="00F567E1" w:rsidRDefault="00092F8A" w:rsidP="009A58EE">
            <w:pPr>
              <w:pStyle w:val="Normal-pool-Table"/>
              <w:rPr>
                <w:szCs w:val="18"/>
                <w:lang w:val="es-ES_tradnl"/>
              </w:rPr>
            </w:pPr>
            <w:r w:rsidRPr="00F567E1">
              <w:rPr>
                <w:color w:val="000000"/>
                <w:lang w:val="es-ES_tradnl"/>
              </w:rPr>
              <w:t>4</w:t>
            </w:r>
          </w:p>
        </w:tc>
        <w:tc>
          <w:tcPr>
            <w:tcW w:w="2573" w:type="dxa"/>
            <w:tcBorders>
              <w:top w:val="nil"/>
              <w:left w:val="nil"/>
              <w:bottom w:val="single" w:sz="4" w:space="0" w:color="auto"/>
              <w:right w:val="single" w:sz="4" w:space="0" w:color="auto"/>
            </w:tcBorders>
            <w:noWrap/>
            <w:hideMark/>
          </w:tcPr>
          <w:p w14:paraId="47D34BAA" w14:textId="77777777" w:rsidR="00092F8A" w:rsidRPr="00F567E1" w:rsidRDefault="00092F8A" w:rsidP="009A58EE">
            <w:pPr>
              <w:pStyle w:val="Normal-pool-Table"/>
              <w:rPr>
                <w:szCs w:val="18"/>
                <w:lang w:val="es-ES_tradnl"/>
              </w:rPr>
            </w:pPr>
            <w:r w:rsidRPr="00F567E1">
              <w:rPr>
                <w:color w:val="000000"/>
                <w:lang w:val="es-ES_tradnl"/>
              </w:rPr>
              <w:t>Burkina Faso</w:t>
            </w:r>
          </w:p>
        </w:tc>
        <w:tc>
          <w:tcPr>
            <w:tcW w:w="1400" w:type="dxa"/>
            <w:tcBorders>
              <w:top w:val="nil"/>
              <w:left w:val="nil"/>
              <w:bottom w:val="single" w:sz="4" w:space="0" w:color="auto"/>
              <w:right w:val="single" w:sz="4" w:space="0" w:color="auto"/>
            </w:tcBorders>
            <w:noWrap/>
            <w:hideMark/>
          </w:tcPr>
          <w:p w14:paraId="100A9BBE" w14:textId="77777777" w:rsidR="00092F8A" w:rsidRPr="00F567E1" w:rsidRDefault="00092F8A" w:rsidP="009A58EE">
            <w:pPr>
              <w:pStyle w:val="Normal-pool-Table"/>
              <w:jc w:val="right"/>
              <w:rPr>
                <w:szCs w:val="18"/>
                <w:lang w:val="es-ES_tradnl"/>
              </w:rPr>
            </w:pPr>
            <w:r w:rsidRPr="00F567E1">
              <w:rPr>
                <w:color w:val="000000"/>
                <w:lang w:val="es-ES_tradnl"/>
              </w:rPr>
              <w:t>0,005</w:t>
            </w:r>
          </w:p>
        </w:tc>
        <w:tc>
          <w:tcPr>
            <w:tcW w:w="1073" w:type="dxa"/>
            <w:tcBorders>
              <w:top w:val="nil"/>
              <w:left w:val="nil"/>
              <w:bottom w:val="single" w:sz="4" w:space="0" w:color="auto"/>
              <w:right w:val="single" w:sz="4" w:space="0" w:color="auto"/>
            </w:tcBorders>
            <w:noWrap/>
            <w:hideMark/>
          </w:tcPr>
          <w:p w14:paraId="0205797B"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271212AA"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7B62D953"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1A3846A2"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0F3F4D72"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4FC93877" w14:textId="77777777" w:rsidR="00092F8A" w:rsidRPr="00F567E1" w:rsidRDefault="00092F8A" w:rsidP="009A58EE">
            <w:pPr>
              <w:pStyle w:val="Normal-pool-Table"/>
              <w:rPr>
                <w:szCs w:val="18"/>
                <w:lang w:val="es-ES_tradnl"/>
              </w:rPr>
            </w:pPr>
            <w:r w:rsidRPr="00F567E1">
              <w:rPr>
                <w:color w:val="000000"/>
                <w:lang w:val="es-ES_tradnl"/>
              </w:rPr>
              <w:t>5</w:t>
            </w:r>
          </w:p>
        </w:tc>
        <w:tc>
          <w:tcPr>
            <w:tcW w:w="2573" w:type="dxa"/>
            <w:tcBorders>
              <w:top w:val="nil"/>
              <w:left w:val="nil"/>
              <w:bottom w:val="single" w:sz="4" w:space="0" w:color="auto"/>
              <w:right w:val="single" w:sz="4" w:space="0" w:color="auto"/>
            </w:tcBorders>
            <w:noWrap/>
            <w:hideMark/>
          </w:tcPr>
          <w:p w14:paraId="758801F9" w14:textId="77777777" w:rsidR="00092F8A" w:rsidRPr="00F567E1" w:rsidRDefault="00092F8A" w:rsidP="009A58EE">
            <w:pPr>
              <w:pStyle w:val="Normal-pool-Table"/>
              <w:rPr>
                <w:szCs w:val="18"/>
                <w:lang w:val="es-ES_tradnl"/>
              </w:rPr>
            </w:pPr>
            <w:r w:rsidRPr="00F567E1">
              <w:rPr>
                <w:color w:val="000000"/>
                <w:lang w:val="es-ES_tradnl"/>
              </w:rPr>
              <w:t>Burundi</w:t>
            </w:r>
          </w:p>
        </w:tc>
        <w:tc>
          <w:tcPr>
            <w:tcW w:w="1400" w:type="dxa"/>
            <w:tcBorders>
              <w:top w:val="nil"/>
              <w:left w:val="nil"/>
              <w:bottom w:val="single" w:sz="4" w:space="0" w:color="auto"/>
              <w:right w:val="single" w:sz="4" w:space="0" w:color="auto"/>
            </w:tcBorders>
            <w:noWrap/>
            <w:hideMark/>
          </w:tcPr>
          <w:p w14:paraId="7DC09800"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60944397"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32F1E0FB"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450D0F5"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2B6CFD54"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6C3704CC"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0A8ABE4C" w14:textId="77777777" w:rsidR="00092F8A" w:rsidRPr="00F567E1" w:rsidRDefault="00092F8A" w:rsidP="009A58EE">
            <w:pPr>
              <w:pStyle w:val="Normal-pool-Table"/>
              <w:rPr>
                <w:szCs w:val="18"/>
                <w:lang w:val="es-ES_tradnl"/>
              </w:rPr>
            </w:pPr>
            <w:r w:rsidRPr="00F567E1">
              <w:rPr>
                <w:color w:val="000000"/>
                <w:lang w:val="es-ES_tradnl"/>
              </w:rPr>
              <w:t>6</w:t>
            </w:r>
          </w:p>
        </w:tc>
        <w:tc>
          <w:tcPr>
            <w:tcW w:w="2573" w:type="dxa"/>
            <w:tcBorders>
              <w:top w:val="nil"/>
              <w:left w:val="nil"/>
              <w:bottom w:val="single" w:sz="4" w:space="0" w:color="auto"/>
              <w:right w:val="single" w:sz="4" w:space="0" w:color="auto"/>
            </w:tcBorders>
            <w:noWrap/>
            <w:hideMark/>
          </w:tcPr>
          <w:p w14:paraId="07B31FB6" w14:textId="77777777" w:rsidR="00092F8A" w:rsidRPr="00F567E1" w:rsidRDefault="00092F8A" w:rsidP="009A58EE">
            <w:pPr>
              <w:pStyle w:val="Normal-pool-Table"/>
              <w:rPr>
                <w:szCs w:val="18"/>
                <w:lang w:val="es-ES_tradnl"/>
              </w:rPr>
            </w:pPr>
            <w:r w:rsidRPr="00F567E1">
              <w:rPr>
                <w:color w:val="000000"/>
                <w:lang w:val="es-ES_tradnl"/>
              </w:rPr>
              <w:t>Camerún</w:t>
            </w:r>
          </w:p>
        </w:tc>
        <w:tc>
          <w:tcPr>
            <w:tcW w:w="1400" w:type="dxa"/>
            <w:tcBorders>
              <w:top w:val="nil"/>
              <w:left w:val="nil"/>
              <w:bottom w:val="single" w:sz="4" w:space="0" w:color="auto"/>
              <w:right w:val="single" w:sz="4" w:space="0" w:color="auto"/>
            </w:tcBorders>
            <w:noWrap/>
            <w:hideMark/>
          </w:tcPr>
          <w:p w14:paraId="7DD44222" w14:textId="77777777" w:rsidR="00092F8A" w:rsidRPr="00F567E1" w:rsidRDefault="00092F8A" w:rsidP="009A58EE">
            <w:pPr>
              <w:pStyle w:val="Normal-pool-Table"/>
              <w:jc w:val="right"/>
              <w:rPr>
                <w:szCs w:val="18"/>
                <w:lang w:val="es-ES_tradnl"/>
              </w:rPr>
            </w:pPr>
            <w:r w:rsidRPr="00F567E1">
              <w:rPr>
                <w:color w:val="000000"/>
                <w:lang w:val="es-ES_tradnl"/>
              </w:rPr>
              <w:t>0,014</w:t>
            </w:r>
          </w:p>
        </w:tc>
        <w:tc>
          <w:tcPr>
            <w:tcW w:w="1073" w:type="dxa"/>
            <w:tcBorders>
              <w:top w:val="nil"/>
              <w:left w:val="nil"/>
              <w:bottom w:val="single" w:sz="4" w:space="0" w:color="auto"/>
              <w:right w:val="single" w:sz="4" w:space="0" w:color="auto"/>
            </w:tcBorders>
            <w:noWrap/>
            <w:hideMark/>
          </w:tcPr>
          <w:p w14:paraId="52FA1B52" w14:textId="77777777" w:rsidR="00092F8A" w:rsidRPr="00F567E1" w:rsidRDefault="00092F8A" w:rsidP="009A58EE">
            <w:pPr>
              <w:pStyle w:val="Normal-pool-Table"/>
              <w:jc w:val="right"/>
              <w:rPr>
                <w:szCs w:val="18"/>
                <w:lang w:val="es-ES_tradnl"/>
              </w:rPr>
            </w:pPr>
            <w:r w:rsidRPr="00F567E1">
              <w:rPr>
                <w:color w:val="000000"/>
                <w:lang w:val="es-ES_tradnl"/>
              </w:rPr>
              <w:t>0,0141</w:t>
            </w:r>
          </w:p>
        </w:tc>
        <w:tc>
          <w:tcPr>
            <w:tcW w:w="1293" w:type="dxa"/>
            <w:tcBorders>
              <w:top w:val="nil"/>
              <w:left w:val="nil"/>
              <w:bottom w:val="single" w:sz="4" w:space="0" w:color="auto"/>
              <w:right w:val="single" w:sz="4" w:space="0" w:color="auto"/>
            </w:tcBorders>
            <w:noWrap/>
            <w:hideMark/>
          </w:tcPr>
          <w:p w14:paraId="5FF6F420" w14:textId="77777777" w:rsidR="00092F8A" w:rsidRPr="00F567E1" w:rsidRDefault="00092F8A" w:rsidP="009A58EE">
            <w:pPr>
              <w:pStyle w:val="Normal-pool-Table"/>
              <w:jc w:val="right"/>
              <w:rPr>
                <w:szCs w:val="18"/>
                <w:lang w:val="es-ES_tradnl"/>
              </w:rPr>
            </w:pPr>
            <w:r w:rsidRPr="00F567E1">
              <w:rPr>
                <w:color w:val="000000"/>
                <w:lang w:val="es-ES_tradnl"/>
              </w:rPr>
              <w:t>436</w:t>
            </w:r>
          </w:p>
        </w:tc>
        <w:tc>
          <w:tcPr>
            <w:tcW w:w="1293" w:type="dxa"/>
            <w:tcBorders>
              <w:top w:val="nil"/>
              <w:left w:val="nil"/>
              <w:bottom w:val="single" w:sz="4" w:space="0" w:color="auto"/>
              <w:right w:val="single" w:sz="4" w:space="0" w:color="auto"/>
            </w:tcBorders>
            <w:noWrap/>
            <w:hideMark/>
          </w:tcPr>
          <w:p w14:paraId="20005993" w14:textId="77777777" w:rsidR="00092F8A" w:rsidRPr="00F567E1" w:rsidRDefault="00092F8A" w:rsidP="009A58EE">
            <w:pPr>
              <w:pStyle w:val="Normal-pool-Table"/>
              <w:jc w:val="right"/>
              <w:rPr>
                <w:szCs w:val="18"/>
                <w:lang w:val="es-ES_tradnl"/>
              </w:rPr>
            </w:pPr>
            <w:r w:rsidRPr="00F567E1">
              <w:rPr>
                <w:color w:val="000000"/>
                <w:lang w:val="es-ES_tradnl"/>
              </w:rPr>
              <w:t>575</w:t>
            </w:r>
          </w:p>
        </w:tc>
        <w:tc>
          <w:tcPr>
            <w:tcW w:w="1313" w:type="dxa"/>
            <w:tcBorders>
              <w:top w:val="nil"/>
              <w:left w:val="nil"/>
              <w:bottom w:val="single" w:sz="4" w:space="0" w:color="auto"/>
              <w:right w:val="single" w:sz="4" w:space="0" w:color="auto"/>
            </w:tcBorders>
            <w:noWrap/>
            <w:hideMark/>
          </w:tcPr>
          <w:p w14:paraId="48793019" w14:textId="77777777" w:rsidR="00092F8A" w:rsidRPr="00F567E1" w:rsidRDefault="00092F8A" w:rsidP="009A58EE">
            <w:pPr>
              <w:pStyle w:val="Normal-pool-Table"/>
              <w:jc w:val="right"/>
              <w:rPr>
                <w:szCs w:val="18"/>
                <w:lang w:val="es-ES_tradnl"/>
              </w:rPr>
            </w:pPr>
            <w:r w:rsidRPr="00F567E1">
              <w:rPr>
                <w:color w:val="000000"/>
                <w:lang w:val="es-ES_tradnl"/>
              </w:rPr>
              <w:t>1 011</w:t>
            </w:r>
          </w:p>
        </w:tc>
      </w:tr>
      <w:tr w:rsidR="00092F8A" w:rsidRPr="00F567E1" w14:paraId="5C78C44C"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15BFFE86" w14:textId="3F2288B6" w:rsidR="00092F8A" w:rsidRPr="00F567E1" w:rsidRDefault="003B3B6B" w:rsidP="009A58EE">
            <w:pPr>
              <w:pStyle w:val="Normal-pool-Table"/>
              <w:rPr>
                <w:szCs w:val="18"/>
                <w:lang w:val="es-ES_tradnl"/>
              </w:rPr>
            </w:pPr>
            <w:r w:rsidRPr="00F567E1">
              <w:rPr>
                <w:szCs w:val="18"/>
                <w:lang w:val="es-ES_tradnl"/>
              </w:rPr>
              <w:t>7</w:t>
            </w:r>
          </w:p>
        </w:tc>
        <w:tc>
          <w:tcPr>
            <w:tcW w:w="2573" w:type="dxa"/>
            <w:tcBorders>
              <w:top w:val="nil"/>
              <w:left w:val="nil"/>
              <w:bottom w:val="single" w:sz="4" w:space="0" w:color="auto"/>
              <w:right w:val="single" w:sz="4" w:space="0" w:color="auto"/>
            </w:tcBorders>
            <w:noWrap/>
            <w:hideMark/>
          </w:tcPr>
          <w:p w14:paraId="01940A43" w14:textId="77777777" w:rsidR="00092F8A" w:rsidRPr="00F567E1" w:rsidRDefault="00092F8A" w:rsidP="009A58EE">
            <w:pPr>
              <w:pStyle w:val="Normal-pool-Table"/>
              <w:rPr>
                <w:szCs w:val="18"/>
                <w:lang w:val="es-ES_tradnl"/>
              </w:rPr>
            </w:pPr>
            <w:r w:rsidRPr="00F567E1">
              <w:rPr>
                <w:color w:val="000000"/>
                <w:lang w:val="es-ES_tradnl"/>
              </w:rPr>
              <w:t>Chad</w:t>
            </w:r>
          </w:p>
        </w:tc>
        <w:tc>
          <w:tcPr>
            <w:tcW w:w="1400" w:type="dxa"/>
            <w:tcBorders>
              <w:top w:val="nil"/>
              <w:left w:val="nil"/>
              <w:bottom w:val="single" w:sz="4" w:space="0" w:color="auto"/>
              <w:right w:val="single" w:sz="4" w:space="0" w:color="auto"/>
            </w:tcBorders>
            <w:noWrap/>
            <w:hideMark/>
          </w:tcPr>
          <w:p w14:paraId="275A6CEE" w14:textId="77777777" w:rsidR="00092F8A" w:rsidRPr="00F567E1" w:rsidRDefault="00092F8A" w:rsidP="009A58EE">
            <w:pPr>
              <w:pStyle w:val="Normal-pool-Table"/>
              <w:jc w:val="right"/>
              <w:rPr>
                <w:szCs w:val="18"/>
                <w:lang w:val="es-ES_tradnl"/>
              </w:rPr>
            </w:pPr>
            <w:r w:rsidRPr="00F567E1">
              <w:rPr>
                <w:color w:val="000000"/>
                <w:lang w:val="es-ES_tradnl"/>
              </w:rPr>
              <w:t>0,005</w:t>
            </w:r>
          </w:p>
        </w:tc>
        <w:tc>
          <w:tcPr>
            <w:tcW w:w="1073" w:type="dxa"/>
            <w:tcBorders>
              <w:top w:val="nil"/>
              <w:left w:val="nil"/>
              <w:bottom w:val="single" w:sz="4" w:space="0" w:color="auto"/>
              <w:right w:val="single" w:sz="4" w:space="0" w:color="auto"/>
            </w:tcBorders>
            <w:noWrap/>
            <w:hideMark/>
          </w:tcPr>
          <w:p w14:paraId="5311AFF7"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68988356"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3DF37247"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F73E72F"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638DD3EC"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200F89BA" w14:textId="72DE5676" w:rsidR="00092F8A" w:rsidRPr="00F567E1" w:rsidRDefault="003B3B6B" w:rsidP="009A58EE">
            <w:pPr>
              <w:pStyle w:val="Normal-pool-Table"/>
              <w:rPr>
                <w:szCs w:val="18"/>
                <w:lang w:val="es-ES_tradnl"/>
              </w:rPr>
            </w:pPr>
            <w:r w:rsidRPr="00F567E1">
              <w:rPr>
                <w:color w:val="000000"/>
                <w:lang w:val="es-ES_tradnl"/>
              </w:rPr>
              <w:t>8</w:t>
            </w:r>
          </w:p>
        </w:tc>
        <w:tc>
          <w:tcPr>
            <w:tcW w:w="2573" w:type="dxa"/>
            <w:tcBorders>
              <w:top w:val="nil"/>
              <w:left w:val="nil"/>
              <w:bottom w:val="single" w:sz="4" w:space="0" w:color="auto"/>
              <w:right w:val="single" w:sz="4" w:space="0" w:color="auto"/>
            </w:tcBorders>
            <w:noWrap/>
            <w:hideMark/>
          </w:tcPr>
          <w:p w14:paraId="0F23708D" w14:textId="77777777" w:rsidR="00092F8A" w:rsidRPr="00F567E1" w:rsidRDefault="00092F8A" w:rsidP="009A58EE">
            <w:pPr>
              <w:pStyle w:val="Normal-pool-Table"/>
              <w:rPr>
                <w:szCs w:val="18"/>
                <w:lang w:val="es-ES_tradnl"/>
              </w:rPr>
            </w:pPr>
            <w:r w:rsidRPr="00F567E1">
              <w:rPr>
                <w:color w:val="000000"/>
                <w:lang w:val="es-ES_tradnl"/>
              </w:rPr>
              <w:t>Comoras</w:t>
            </w:r>
          </w:p>
        </w:tc>
        <w:tc>
          <w:tcPr>
            <w:tcW w:w="1400" w:type="dxa"/>
            <w:tcBorders>
              <w:top w:val="nil"/>
              <w:left w:val="nil"/>
              <w:bottom w:val="single" w:sz="4" w:space="0" w:color="auto"/>
              <w:right w:val="single" w:sz="4" w:space="0" w:color="auto"/>
            </w:tcBorders>
            <w:noWrap/>
            <w:hideMark/>
          </w:tcPr>
          <w:p w14:paraId="5DA18BBD"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197ACC8C"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1705C624"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38F1E28"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484BE85"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0EA52163"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5307FC3F" w14:textId="29E79276" w:rsidR="00092F8A" w:rsidRPr="00F567E1" w:rsidRDefault="003B3B6B" w:rsidP="009A58EE">
            <w:pPr>
              <w:pStyle w:val="Normal-pool-Table"/>
              <w:rPr>
                <w:szCs w:val="18"/>
                <w:lang w:val="es-ES_tradnl"/>
              </w:rPr>
            </w:pPr>
            <w:r w:rsidRPr="00F567E1">
              <w:rPr>
                <w:color w:val="000000"/>
                <w:lang w:val="es-ES_tradnl"/>
              </w:rPr>
              <w:t>9</w:t>
            </w:r>
          </w:p>
        </w:tc>
        <w:tc>
          <w:tcPr>
            <w:tcW w:w="2573" w:type="dxa"/>
            <w:tcBorders>
              <w:top w:val="nil"/>
              <w:left w:val="nil"/>
              <w:bottom w:val="single" w:sz="4" w:space="0" w:color="auto"/>
              <w:right w:val="single" w:sz="4" w:space="0" w:color="auto"/>
            </w:tcBorders>
            <w:noWrap/>
            <w:hideMark/>
          </w:tcPr>
          <w:p w14:paraId="7464CBDC" w14:textId="77777777" w:rsidR="00092F8A" w:rsidRPr="00F567E1" w:rsidRDefault="00092F8A" w:rsidP="009A58EE">
            <w:pPr>
              <w:pStyle w:val="Normal-pool-Table"/>
              <w:rPr>
                <w:szCs w:val="18"/>
                <w:lang w:val="es-ES_tradnl"/>
              </w:rPr>
            </w:pPr>
            <w:r w:rsidRPr="00F567E1">
              <w:rPr>
                <w:color w:val="000000"/>
                <w:lang w:val="es-ES_tradnl"/>
              </w:rPr>
              <w:t>Congo</w:t>
            </w:r>
          </w:p>
        </w:tc>
        <w:tc>
          <w:tcPr>
            <w:tcW w:w="1400" w:type="dxa"/>
            <w:tcBorders>
              <w:top w:val="nil"/>
              <w:left w:val="nil"/>
              <w:bottom w:val="single" w:sz="4" w:space="0" w:color="auto"/>
              <w:right w:val="single" w:sz="4" w:space="0" w:color="auto"/>
            </w:tcBorders>
            <w:noWrap/>
            <w:hideMark/>
          </w:tcPr>
          <w:p w14:paraId="59EDA1FE" w14:textId="77777777" w:rsidR="00092F8A" w:rsidRPr="00F567E1" w:rsidRDefault="00092F8A" w:rsidP="009A58EE">
            <w:pPr>
              <w:pStyle w:val="Normal-pool-Table"/>
              <w:jc w:val="right"/>
              <w:rPr>
                <w:szCs w:val="18"/>
                <w:lang w:val="es-ES_tradnl"/>
              </w:rPr>
            </w:pPr>
            <w:r w:rsidRPr="00F567E1">
              <w:rPr>
                <w:color w:val="000000"/>
                <w:lang w:val="es-ES_tradnl"/>
              </w:rPr>
              <w:t>0,005</w:t>
            </w:r>
          </w:p>
        </w:tc>
        <w:tc>
          <w:tcPr>
            <w:tcW w:w="1073" w:type="dxa"/>
            <w:tcBorders>
              <w:top w:val="nil"/>
              <w:left w:val="nil"/>
              <w:bottom w:val="single" w:sz="4" w:space="0" w:color="auto"/>
              <w:right w:val="single" w:sz="4" w:space="0" w:color="auto"/>
            </w:tcBorders>
            <w:noWrap/>
            <w:hideMark/>
          </w:tcPr>
          <w:p w14:paraId="0C6C7CD8"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38FE2FB4"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A78DFF0"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5A33C1F8"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3658C86D"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6FFE81B8" w14:textId="43FD8CA0"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0</w:t>
            </w:r>
          </w:p>
        </w:tc>
        <w:tc>
          <w:tcPr>
            <w:tcW w:w="2573" w:type="dxa"/>
            <w:tcBorders>
              <w:top w:val="nil"/>
              <w:left w:val="nil"/>
              <w:bottom w:val="single" w:sz="4" w:space="0" w:color="auto"/>
              <w:right w:val="single" w:sz="4" w:space="0" w:color="auto"/>
            </w:tcBorders>
            <w:noWrap/>
            <w:hideMark/>
          </w:tcPr>
          <w:p w14:paraId="11C356E0" w14:textId="77777777" w:rsidR="00092F8A" w:rsidRPr="00F567E1" w:rsidRDefault="00092F8A" w:rsidP="009A58EE">
            <w:pPr>
              <w:pStyle w:val="Normal-pool-Table"/>
              <w:rPr>
                <w:szCs w:val="18"/>
                <w:lang w:val="es-ES_tradnl"/>
              </w:rPr>
            </w:pPr>
            <w:r w:rsidRPr="00F567E1">
              <w:rPr>
                <w:color w:val="000000"/>
                <w:lang w:val="es-ES_tradnl"/>
              </w:rPr>
              <w:t>Côte d’Ivoire</w:t>
            </w:r>
          </w:p>
        </w:tc>
        <w:tc>
          <w:tcPr>
            <w:tcW w:w="1400" w:type="dxa"/>
            <w:tcBorders>
              <w:top w:val="nil"/>
              <w:left w:val="nil"/>
              <w:bottom w:val="single" w:sz="4" w:space="0" w:color="auto"/>
              <w:right w:val="single" w:sz="4" w:space="0" w:color="auto"/>
            </w:tcBorders>
            <w:noWrap/>
            <w:hideMark/>
          </w:tcPr>
          <w:p w14:paraId="0DE87990" w14:textId="77777777" w:rsidR="00092F8A" w:rsidRPr="00F567E1" w:rsidRDefault="00092F8A" w:rsidP="009A58EE">
            <w:pPr>
              <w:pStyle w:val="Normal-pool-Table"/>
              <w:jc w:val="right"/>
              <w:rPr>
                <w:szCs w:val="18"/>
                <w:lang w:val="es-ES_tradnl"/>
              </w:rPr>
            </w:pPr>
            <w:r w:rsidRPr="00F567E1">
              <w:rPr>
                <w:color w:val="000000"/>
                <w:lang w:val="es-ES_tradnl"/>
              </w:rPr>
              <w:t>0,024</w:t>
            </w:r>
          </w:p>
        </w:tc>
        <w:tc>
          <w:tcPr>
            <w:tcW w:w="1073" w:type="dxa"/>
            <w:tcBorders>
              <w:top w:val="nil"/>
              <w:left w:val="nil"/>
              <w:bottom w:val="single" w:sz="4" w:space="0" w:color="auto"/>
              <w:right w:val="single" w:sz="4" w:space="0" w:color="auto"/>
            </w:tcBorders>
            <w:noWrap/>
            <w:hideMark/>
          </w:tcPr>
          <w:p w14:paraId="2A8C46E8" w14:textId="77777777" w:rsidR="00092F8A" w:rsidRPr="00F567E1" w:rsidRDefault="00092F8A" w:rsidP="009A58EE">
            <w:pPr>
              <w:pStyle w:val="Normal-pool-Table"/>
              <w:jc w:val="right"/>
              <w:rPr>
                <w:szCs w:val="18"/>
                <w:lang w:val="es-ES_tradnl"/>
              </w:rPr>
            </w:pPr>
            <w:r w:rsidRPr="00F567E1">
              <w:rPr>
                <w:color w:val="000000"/>
                <w:lang w:val="es-ES_tradnl"/>
              </w:rPr>
              <w:t>0,0242</w:t>
            </w:r>
          </w:p>
        </w:tc>
        <w:tc>
          <w:tcPr>
            <w:tcW w:w="1293" w:type="dxa"/>
            <w:tcBorders>
              <w:top w:val="nil"/>
              <w:left w:val="nil"/>
              <w:bottom w:val="single" w:sz="4" w:space="0" w:color="auto"/>
              <w:right w:val="single" w:sz="4" w:space="0" w:color="auto"/>
            </w:tcBorders>
            <w:noWrap/>
            <w:hideMark/>
          </w:tcPr>
          <w:p w14:paraId="6288F198" w14:textId="77777777" w:rsidR="00092F8A" w:rsidRPr="00F567E1" w:rsidRDefault="00092F8A" w:rsidP="009A58EE">
            <w:pPr>
              <w:pStyle w:val="Normal-pool-Table"/>
              <w:jc w:val="right"/>
              <w:rPr>
                <w:szCs w:val="18"/>
                <w:lang w:val="es-ES_tradnl"/>
              </w:rPr>
            </w:pPr>
            <w:r w:rsidRPr="00F567E1">
              <w:rPr>
                <w:color w:val="000000"/>
                <w:lang w:val="es-ES_tradnl"/>
              </w:rPr>
              <w:t>747</w:t>
            </w:r>
          </w:p>
        </w:tc>
        <w:tc>
          <w:tcPr>
            <w:tcW w:w="1293" w:type="dxa"/>
            <w:tcBorders>
              <w:top w:val="nil"/>
              <w:left w:val="nil"/>
              <w:bottom w:val="single" w:sz="4" w:space="0" w:color="auto"/>
              <w:right w:val="single" w:sz="4" w:space="0" w:color="auto"/>
            </w:tcBorders>
            <w:noWrap/>
            <w:hideMark/>
          </w:tcPr>
          <w:p w14:paraId="3AA940B7" w14:textId="77777777" w:rsidR="00092F8A" w:rsidRPr="00F567E1" w:rsidRDefault="00092F8A" w:rsidP="009A58EE">
            <w:pPr>
              <w:pStyle w:val="Normal-pool-Table"/>
              <w:jc w:val="right"/>
              <w:rPr>
                <w:szCs w:val="18"/>
                <w:lang w:val="es-ES_tradnl"/>
              </w:rPr>
            </w:pPr>
            <w:r w:rsidRPr="00F567E1">
              <w:rPr>
                <w:color w:val="000000"/>
                <w:lang w:val="es-ES_tradnl"/>
              </w:rPr>
              <w:t>986</w:t>
            </w:r>
          </w:p>
        </w:tc>
        <w:tc>
          <w:tcPr>
            <w:tcW w:w="1313" w:type="dxa"/>
            <w:tcBorders>
              <w:top w:val="nil"/>
              <w:left w:val="nil"/>
              <w:bottom w:val="single" w:sz="4" w:space="0" w:color="auto"/>
              <w:right w:val="single" w:sz="4" w:space="0" w:color="auto"/>
            </w:tcBorders>
            <w:noWrap/>
            <w:hideMark/>
          </w:tcPr>
          <w:p w14:paraId="0A2486EC" w14:textId="77777777" w:rsidR="00092F8A" w:rsidRPr="00F567E1" w:rsidRDefault="00092F8A" w:rsidP="009A58EE">
            <w:pPr>
              <w:pStyle w:val="Normal-pool-Table"/>
              <w:jc w:val="right"/>
              <w:rPr>
                <w:szCs w:val="18"/>
                <w:lang w:val="es-ES_tradnl"/>
              </w:rPr>
            </w:pPr>
            <w:r w:rsidRPr="00F567E1">
              <w:rPr>
                <w:color w:val="000000"/>
                <w:lang w:val="es-ES_tradnl"/>
              </w:rPr>
              <w:t>1 733</w:t>
            </w:r>
          </w:p>
        </w:tc>
      </w:tr>
      <w:tr w:rsidR="00092F8A" w:rsidRPr="00F567E1" w14:paraId="2A7808D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70DDC63" w14:textId="75DA8252"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1</w:t>
            </w:r>
          </w:p>
        </w:tc>
        <w:tc>
          <w:tcPr>
            <w:tcW w:w="2573" w:type="dxa"/>
            <w:tcBorders>
              <w:top w:val="nil"/>
              <w:left w:val="nil"/>
              <w:bottom w:val="single" w:sz="4" w:space="0" w:color="auto"/>
              <w:right w:val="single" w:sz="4" w:space="0" w:color="auto"/>
            </w:tcBorders>
            <w:noWrap/>
            <w:hideMark/>
          </w:tcPr>
          <w:p w14:paraId="39CC6CD3" w14:textId="77777777" w:rsidR="00092F8A" w:rsidRPr="00F567E1" w:rsidRDefault="00092F8A" w:rsidP="009A58EE">
            <w:pPr>
              <w:pStyle w:val="Normal-pool-Table"/>
              <w:rPr>
                <w:szCs w:val="18"/>
                <w:lang w:val="es-ES_tradnl"/>
              </w:rPr>
            </w:pPr>
            <w:proofErr w:type="spellStart"/>
            <w:r w:rsidRPr="00F567E1">
              <w:rPr>
                <w:color w:val="000000"/>
                <w:lang w:val="es-ES_tradnl"/>
              </w:rPr>
              <w:t>Djibouti</w:t>
            </w:r>
            <w:proofErr w:type="spellEnd"/>
          </w:p>
        </w:tc>
        <w:tc>
          <w:tcPr>
            <w:tcW w:w="1400" w:type="dxa"/>
            <w:tcBorders>
              <w:top w:val="nil"/>
              <w:left w:val="nil"/>
              <w:bottom w:val="single" w:sz="4" w:space="0" w:color="auto"/>
              <w:right w:val="single" w:sz="4" w:space="0" w:color="auto"/>
            </w:tcBorders>
            <w:noWrap/>
            <w:hideMark/>
          </w:tcPr>
          <w:p w14:paraId="7277B098" w14:textId="77777777" w:rsidR="00092F8A" w:rsidRPr="00F567E1" w:rsidRDefault="00092F8A" w:rsidP="009A58EE">
            <w:pPr>
              <w:pStyle w:val="Normal-pool-Table"/>
              <w:jc w:val="right"/>
              <w:rPr>
                <w:szCs w:val="18"/>
                <w:lang w:val="es-ES_tradnl"/>
              </w:rPr>
            </w:pPr>
            <w:r w:rsidRPr="00F567E1">
              <w:rPr>
                <w:color w:val="000000"/>
                <w:lang w:val="es-ES_tradnl"/>
              </w:rPr>
              <w:t>0,002</w:t>
            </w:r>
          </w:p>
        </w:tc>
        <w:tc>
          <w:tcPr>
            <w:tcW w:w="1073" w:type="dxa"/>
            <w:tcBorders>
              <w:top w:val="nil"/>
              <w:left w:val="nil"/>
              <w:bottom w:val="single" w:sz="4" w:space="0" w:color="auto"/>
              <w:right w:val="single" w:sz="4" w:space="0" w:color="auto"/>
            </w:tcBorders>
            <w:noWrap/>
            <w:hideMark/>
          </w:tcPr>
          <w:p w14:paraId="74BE9E2B"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4FC6C7A3"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17E5A756"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60515007"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57F7E90F"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59F6FF75" w14:textId="0C6C3CE7"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2</w:t>
            </w:r>
          </w:p>
        </w:tc>
        <w:tc>
          <w:tcPr>
            <w:tcW w:w="2573" w:type="dxa"/>
            <w:tcBorders>
              <w:top w:val="nil"/>
              <w:left w:val="nil"/>
              <w:bottom w:val="single" w:sz="4" w:space="0" w:color="auto"/>
              <w:right w:val="single" w:sz="4" w:space="0" w:color="auto"/>
            </w:tcBorders>
            <w:noWrap/>
            <w:hideMark/>
          </w:tcPr>
          <w:p w14:paraId="73B31AEB" w14:textId="77777777" w:rsidR="00092F8A" w:rsidRPr="00F567E1" w:rsidRDefault="00092F8A" w:rsidP="009A58EE">
            <w:pPr>
              <w:pStyle w:val="Normal-pool-Table"/>
              <w:rPr>
                <w:szCs w:val="18"/>
                <w:lang w:val="es-ES_tradnl"/>
              </w:rPr>
            </w:pPr>
            <w:r w:rsidRPr="00F567E1">
              <w:rPr>
                <w:color w:val="000000"/>
                <w:lang w:val="es-ES_tradnl"/>
              </w:rPr>
              <w:t>Eritrea</w:t>
            </w:r>
          </w:p>
        </w:tc>
        <w:tc>
          <w:tcPr>
            <w:tcW w:w="1400" w:type="dxa"/>
            <w:tcBorders>
              <w:top w:val="nil"/>
              <w:left w:val="nil"/>
              <w:bottom w:val="single" w:sz="4" w:space="0" w:color="auto"/>
              <w:right w:val="single" w:sz="4" w:space="0" w:color="auto"/>
            </w:tcBorders>
            <w:noWrap/>
            <w:hideMark/>
          </w:tcPr>
          <w:p w14:paraId="391CAD65"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1C34D7A2"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32411075"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5213199"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65786CEF"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3E48FEDF"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5CB4D54A" w14:textId="70DB435E"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3</w:t>
            </w:r>
          </w:p>
        </w:tc>
        <w:tc>
          <w:tcPr>
            <w:tcW w:w="2573" w:type="dxa"/>
            <w:tcBorders>
              <w:top w:val="nil"/>
              <w:left w:val="nil"/>
              <w:bottom w:val="single" w:sz="4" w:space="0" w:color="auto"/>
              <w:right w:val="single" w:sz="4" w:space="0" w:color="auto"/>
            </w:tcBorders>
            <w:noWrap/>
            <w:hideMark/>
          </w:tcPr>
          <w:p w14:paraId="206766DB" w14:textId="77777777" w:rsidR="00092F8A" w:rsidRPr="00F567E1" w:rsidRDefault="00092F8A" w:rsidP="009A58EE">
            <w:pPr>
              <w:pStyle w:val="Normal-pool-Table"/>
              <w:rPr>
                <w:szCs w:val="18"/>
                <w:lang w:val="es-ES_tradnl"/>
              </w:rPr>
            </w:pPr>
            <w:proofErr w:type="spellStart"/>
            <w:r w:rsidRPr="00F567E1">
              <w:rPr>
                <w:color w:val="000000"/>
                <w:lang w:val="es-ES_tradnl"/>
              </w:rPr>
              <w:t>Eswatini</w:t>
            </w:r>
            <w:proofErr w:type="spellEnd"/>
          </w:p>
        </w:tc>
        <w:tc>
          <w:tcPr>
            <w:tcW w:w="1400" w:type="dxa"/>
            <w:tcBorders>
              <w:top w:val="nil"/>
              <w:left w:val="nil"/>
              <w:bottom w:val="single" w:sz="4" w:space="0" w:color="auto"/>
              <w:right w:val="single" w:sz="4" w:space="0" w:color="auto"/>
            </w:tcBorders>
            <w:noWrap/>
            <w:hideMark/>
          </w:tcPr>
          <w:p w14:paraId="39E19369" w14:textId="77777777" w:rsidR="00092F8A" w:rsidRPr="00F567E1" w:rsidRDefault="00092F8A" w:rsidP="009A58EE">
            <w:pPr>
              <w:pStyle w:val="Normal-pool-Table"/>
              <w:jc w:val="right"/>
              <w:rPr>
                <w:szCs w:val="18"/>
                <w:lang w:val="es-ES_tradnl"/>
              </w:rPr>
            </w:pPr>
            <w:r w:rsidRPr="00F567E1">
              <w:rPr>
                <w:color w:val="000000"/>
                <w:lang w:val="es-ES_tradnl"/>
              </w:rPr>
              <w:t>0,002</w:t>
            </w:r>
          </w:p>
        </w:tc>
        <w:tc>
          <w:tcPr>
            <w:tcW w:w="1073" w:type="dxa"/>
            <w:tcBorders>
              <w:top w:val="nil"/>
              <w:left w:val="nil"/>
              <w:bottom w:val="single" w:sz="4" w:space="0" w:color="auto"/>
              <w:right w:val="single" w:sz="4" w:space="0" w:color="auto"/>
            </w:tcBorders>
            <w:noWrap/>
            <w:hideMark/>
          </w:tcPr>
          <w:p w14:paraId="1DE0F14C"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995B564"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F5CB3CA"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026A2CE5"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626AC62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16674E7" w14:textId="6F5BAF7A"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4</w:t>
            </w:r>
          </w:p>
        </w:tc>
        <w:tc>
          <w:tcPr>
            <w:tcW w:w="2573" w:type="dxa"/>
            <w:tcBorders>
              <w:top w:val="nil"/>
              <w:left w:val="nil"/>
              <w:bottom w:val="single" w:sz="4" w:space="0" w:color="auto"/>
              <w:right w:val="single" w:sz="4" w:space="0" w:color="auto"/>
            </w:tcBorders>
            <w:noWrap/>
            <w:hideMark/>
          </w:tcPr>
          <w:p w14:paraId="229F7BC4" w14:textId="77777777" w:rsidR="00092F8A" w:rsidRPr="00F567E1" w:rsidRDefault="00092F8A" w:rsidP="009A58EE">
            <w:pPr>
              <w:pStyle w:val="Normal-pool-Table"/>
              <w:rPr>
                <w:szCs w:val="18"/>
                <w:lang w:val="es-ES_tradnl"/>
              </w:rPr>
            </w:pPr>
            <w:r w:rsidRPr="00F567E1">
              <w:rPr>
                <w:color w:val="000000"/>
                <w:lang w:val="es-ES_tradnl"/>
              </w:rPr>
              <w:t>Etiopía</w:t>
            </w:r>
          </w:p>
        </w:tc>
        <w:tc>
          <w:tcPr>
            <w:tcW w:w="1400" w:type="dxa"/>
            <w:tcBorders>
              <w:top w:val="nil"/>
              <w:left w:val="nil"/>
              <w:bottom w:val="single" w:sz="4" w:space="0" w:color="auto"/>
              <w:right w:val="single" w:sz="4" w:space="0" w:color="auto"/>
            </w:tcBorders>
            <w:noWrap/>
            <w:hideMark/>
          </w:tcPr>
          <w:p w14:paraId="5B5BCA5F" w14:textId="77777777" w:rsidR="00092F8A" w:rsidRPr="00F567E1" w:rsidRDefault="00092F8A" w:rsidP="009A58EE">
            <w:pPr>
              <w:pStyle w:val="Normal-pool-Table"/>
              <w:jc w:val="right"/>
              <w:rPr>
                <w:szCs w:val="18"/>
                <w:lang w:val="es-ES_tradnl"/>
              </w:rPr>
            </w:pPr>
            <w:r w:rsidRPr="00F567E1">
              <w:rPr>
                <w:color w:val="000000"/>
                <w:lang w:val="es-ES_tradnl"/>
              </w:rPr>
              <w:t>0,01</w:t>
            </w:r>
          </w:p>
        </w:tc>
        <w:tc>
          <w:tcPr>
            <w:tcW w:w="1073" w:type="dxa"/>
            <w:tcBorders>
              <w:top w:val="nil"/>
              <w:left w:val="nil"/>
              <w:bottom w:val="single" w:sz="4" w:space="0" w:color="auto"/>
              <w:right w:val="single" w:sz="4" w:space="0" w:color="auto"/>
            </w:tcBorders>
            <w:noWrap/>
            <w:hideMark/>
          </w:tcPr>
          <w:p w14:paraId="6B6F72E1" w14:textId="77777777" w:rsidR="00092F8A" w:rsidRPr="00F567E1" w:rsidRDefault="00092F8A" w:rsidP="009A58EE">
            <w:pPr>
              <w:pStyle w:val="Normal-pool-Table"/>
              <w:jc w:val="right"/>
              <w:rPr>
                <w:szCs w:val="18"/>
                <w:lang w:val="es-ES_tradnl"/>
              </w:rPr>
            </w:pPr>
            <w:r w:rsidRPr="00F567E1">
              <w:rPr>
                <w:color w:val="000000"/>
                <w:lang w:val="es-ES_tradnl"/>
              </w:rPr>
              <w:t>0,0101</w:t>
            </w:r>
          </w:p>
        </w:tc>
        <w:tc>
          <w:tcPr>
            <w:tcW w:w="1293" w:type="dxa"/>
            <w:tcBorders>
              <w:top w:val="nil"/>
              <w:left w:val="nil"/>
              <w:bottom w:val="single" w:sz="4" w:space="0" w:color="auto"/>
              <w:right w:val="single" w:sz="4" w:space="0" w:color="auto"/>
            </w:tcBorders>
            <w:noWrap/>
            <w:hideMark/>
          </w:tcPr>
          <w:p w14:paraId="2D970FCF" w14:textId="77777777" w:rsidR="00092F8A" w:rsidRPr="00F567E1" w:rsidRDefault="00092F8A" w:rsidP="009A58EE">
            <w:pPr>
              <w:pStyle w:val="Normal-pool-Table"/>
              <w:jc w:val="right"/>
              <w:rPr>
                <w:szCs w:val="18"/>
                <w:lang w:val="es-ES_tradnl"/>
              </w:rPr>
            </w:pPr>
            <w:r w:rsidRPr="00F567E1">
              <w:rPr>
                <w:color w:val="000000"/>
                <w:lang w:val="es-ES_tradnl"/>
              </w:rPr>
              <w:t>311</w:t>
            </w:r>
          </w:p>
        </w:tc>
        <w:tc>
          <w:tcPr>
            <w:tcW w:w="1293" w:type="dxa"/>
            <w:tcBorders>
              <w:top w:val="nil"/>
              <w:left w:val="nil"/>
              <w:bottom w:val="single" w:sz="4" w:space="0" w:color="auto"/>
              <w:right w:val="single" w:sz="4" w:space="0" w:color="auto"/>
            </w:tcBorders>
            <w:noWrap/>
            <w:hideMark/>
          </w:tcPr>
          <w:p w14:paraId="17464B99" w14:textId="77777777" w:rsidR="00092F8A" w:rsidRPr="00F567E1" w:rsidRDefault="00092F8A" w:rsidP="009A58EE">
            <w:pPr>
              <w:pStyle w:val="Normal-pool-Table"/>
              <w:jc w:val="right"/>
              <w:rPr>
                <w:szCs w:val="18"/>
                <w:lang w:val="es-ES_tradnl"/>
              </w:rPr>
            </w:pPr>
            <w:r w:rsidRPr="00F567E1">
              <w:rPr>
                <w:color w:val="000000"/>
                <w:lang w:val="es-ES_tradnl"/>
              </w:rPr>
              <w:t>411</w:t>
            </w:r>
          </w:p>
        </w:tc>
        <w:tc>
          <w:tcPr>
            <w:tcW w:w="1313" w:type="dxa"/>
            <w:tcBorders>
              <w:top w:val="nil"/>
              <w:left w:val="nil"/>
              <w:bottom w:val="single" w:sz="4" w:space="0" w:color="auto"/>
              <w:right w:val="single" w:sz="4" w:space="0" w:color="auto"/>
            </w:tcBorders>
            <w:noWrap/>
            <w:hideMark/>
          </w:tcPr>
          <w:p w14:paraId="7ECEE66C" w14:textId="77777777" w:rsidR="00092F8A" w:rsidRPr="00F567E1" w:rsidRDefault="00092F8A" w:rsidP="009A58EE">
            <w:pPr>
              <w:pStyle w:val="Normal-pool-Table"/>
              <w:jc w:val="right"/>
              <w:rPr>
                <w:szCs w:val="18"/>
                <w:lang w:val="es-ES_tradnl"/>
              </w:rPr>
            </w:pPr>
            <w:r w:rsidRPr="00F567E1">
              <w:rPr>
                <w:color w:val="000000"/>
                <w:lang w:val="es-ES_tradnl"/>
              </w:rPr>
              <w:t>722</w:t>
            </w:r>
          </w:p>
        </w:tc>
      </w:tr>
      <w:tr w:rsidR="00092F8A" w:rsidRPr="00F567E1" w14:paraId="241A355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53FB46F" w14:textId="663F09C1"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5</w:t>
            </w:r>
          </w:p>
        </w:tc>
        <w:tc>
          <w:tcPr>
            <w:tcW w:w="2573" w:type="dxa"/>
            <w:tcBorders>
              <w:top w:val="nil"/>
              <w:left w:val="nil"/>
              <w:bottom w:val="single" w:sz="4" w:space="0" w:color="auto"/>
              <w:right w:val="single" w:sz="4" w:space="0" w:color="auto"/>
            </w:tcBorders>
            <w:noWrap/>
            <w:hideMark/>
          </w:tcPr>
          <w:p w14:paraId="67F9D4FF" w14:textId="77777777" w:rsidR="00092F8A" w:rsidRPr="00F567E1" w:rsidRDefault="00092F8A" w:rsidP="009A58EE">
            <w:pPr>
              <w:pStyle w:val="Normal-pool-Table"/>
              <w:rPr>
                <w:szCs w:val="18"/>
                <w:lang w:val="es-ES_tradnl"/>
              </w:rPr>
            </w:pPr>
            <w:r w:rsidRPr="00F567E1">
              <w:rPr>
                <w:color w:val="000000"/>
                <w:lang w:val="es-ES_tradnl"/>
              </w:rPr>
              <w:t>Gabón</w:t>
            </w:r>
          </w:p>
        </w:tc>
        <w:tc>
          <w:tcPr>
            <w:tcW w:w="1400" w:type="dxa"/>
            <w:tcBorders>
              <w:top w:val="nil"/>
              <w:left w:val="nil"/>
              <w:bottom w:val="single" w:sz="4" w:space="0" w:color="auto"/>
              <w:right w:val="single" w:sz="4" w:space="0" w:color="auto"/>
            </w:tcBorders>
            <w:noWrap/>
            <w:hideMark/>
          </w:tcPr>
          <w:p w14:paraId="766D3032" w14:textId="77777777" w:rsidR="00092F8A" w:rsidRPr="00F567E1" w:rsidRDefault="00092F8A" w:rsidP="009A58EE">
            <w:pPr>
              <w:pStyle w:val="Normal-pool-Table"/>
              <w:jc w:val="right"/>
              <w:rPr>
                <w:szCs w:val="18"/>
                <w:lang w:val="es-ES_tradnl"/>
              </w:rPr>
            </w:pPr>
            <w:r w:rsidRPr="00F567E1">
              <w:rPr>
                <w:color w:val="000000"/>
                <w:lang w:val="es-ES_tradnl"/>
              </w:rPr>
              <w:t>0,011</w:t>
            </w:r>
          </w:p>
        </w:tc>
        <w:tc>
          <w:tcPr>
            <w:tcW w:w="1073" w:type="dxa"/>
            <w:tcBorders>
              <w:top w:val="nil"/>
              <w:left w:val="nil"/>
              <w:bottom w:val="single" w:sz="4" w:space="0" w:color="auto"/>
              <w:right w:val="single" w:sz="4" w:space="0" w:color="auto"/>
            </w:tcBorders>
            <w:noWrap/>
            <w:hideMark/>
          </w:tcPr>
          <w:p w14:paraId="55DEEE24" w14:textId="77777777" w:rsidR="00092F8A" w:rsidRPr="00F567E1" w:rsidRDefault="00092F8A" w:rsidP="009A58EE">
            <w:pPr>
              <w:pStyle w:val="Normal-pool-Table"/>
              <w:jc w:val="right"/>
              <w:rPr>
                <w:szCs w:val="18"/>
                <w:lang w:val="es-ES_tradnl"/>
              </w:rPr>
            </w:pPr>
            <w:r w:rsidRPr="00F567E1">
              <w:rPr>
                <w:color w:val="000000"/>
                <w:lang w:val="es-ES_tradnl"/>
              </w:rPr>
              <w:t>0,0111</w:t>
            </w:r>
          </w:p>
        </w:tc>
        <w:tc>
          <w:tcPr>
            <w:tcW w:w="1293" w:type="dxa"/>
            <w:tcBorders>
              <w:top w:val="nil"/>
              <w:left w:val="nil"/>
              <w:bottom w:val="single" w:sz="4" w:space="0" w:color="auto"/>
              <w:right w:val="single" w:sz="4" w:space="0" w:color="auto"/>
            </w:tcBorders>
            <w:noWrap/>
            <w:hideMark/>
          </w:tcPr>
          <w:p w14:paraId="6462BE35" w14:textId="77777777" w:rsidR="00092F8A" w:rsidRPr="00F567E1" w:rsidRDefault="00092F8A" w:rsidP="009A58EE">
            <w:pPr>
              <w:pStyle w:val="Normal-pool-Table"/>
              <w:jc w:val="right"/>
              <w:rPr>
                <w:szCs w:val="18"/>
                <w:lang w:val="es-ES_tradnl"/>
              </w:rPr>
            </w:pPr>
            <w:r w:rsidRPr="00F567E1">
              <w:rPr>
                <w:color w:val="000000"/>
                <w:lang w:val="es-ES_tradnl"/>
              </w:rPr>
              <w:t>342</w:t>
            </w:r>
          </w:p>
        </w:tc>
        <w:tc>
          <w:tcPr>
            <w:tcW w:w="1293" w:type="dxa"/>
            <w:tcBorders>
              <w:top w:val="nil"/>
              <w:left w:val="nil"/>
              <w:bottom w:val="single" w:sz="4" w:space="0" w:color="auto"/>
              <w:right w:val="single" w:sz="4" w:space="0" w:color="auto"/>
            </w:tcBorders>
            <w:noWrap/>
            <w:hideMark/>
          </w:tcPr>
          <w:p w14:paraId="3B27DD02" w14:textId="77777777" w:rsidR="00092F8A" w:rsidRPr="00F567E1" w:rsidRDefault="00092F8A" w:rsidP="009A58EE">
            <w:pPr>
              <w:pStyle w:val="Normal-pool-Table"/>
              <w:jc w:val="right"/>
              <w:rPr>
                <w:szCs w:val="18"/>
                <w:lang w:val="es-ES_tradnl"/>
              </w:rPr>
            </w:pPr>
            <w:r w:rsidRPr="00F567E1">
              <w:rPr>
                <w:color w:val="000000"/>
                <w:lang w:val="es-ES_tradnl"/>
              </w:rPr>
              <w:t>452</w:t>
            </w:r>
          </w:p>
        </w:tc>
        <w:tc>
          <w:tcPr>
            <w:tcW w:w="1313" w:type="dxa"/>
            <w:tcBorders>
              <w:top w:val="nil"/>
              <w:left w:val="nil"/>
              <w:bottom w:val="single" w:sz="4" w:space="0" w:color="auto"/>
              <w:right w:val="single" w:sz="4" w:space="0" w:color="auto"/>
            </w:tcBorders>
            <w:noWrap/>
            <w:hideMark/>
          </w:tcPr>
          <w:p w14:paraId="035662D5" w14:textId="77777777" w:rsidR="00092F8A" w:rsidRPr="00F567E1" w:rsidRDefault="00092F8A" w:rsidP="009A58EE">
            <w:pPr>
              <w:pStyle w:val="Normal-pool-Table"/>
              <w:jc w:val="right"/>
              <w:rPr>
                <w:szCs w:val="18"/>
                <w:lang w:val="es-ES_tradnl"/>
              </w:rPr>
            </w:pPr>
            <w:r w:rsidRPr="00F567E1">
              <w:rPr>
                <w:color w:val="000000"/>
                <w:lang w:val="es-ES_tradnl"/>
              </w:rPr>
              <w:t>794</w:t>
            </w:r>
          </w:p>
        </w:tc>
      </w:tr>
      <w:tr w:rsidR="00092F8A" w:rsidRPr="00F567E1" w14:paraId="1937007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C7CE150" w14:textId="34FB6199"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6</w:t>
            </w:r>
          </w:p>
        </w:tc>
        <w:tc>
          <w:tcPr>
            <w:tcW w:w="2573" w:type="dxa"/>
            <w:tcBorders>
              <w:top w:val="nil"/>
              <w:left w:val="nil"/>
              <w:bottom w:val="single" w:sz="4" w:space="0" w:color="auto"/>
              <w:right w:val="single" w:sz="4" w:space="0" w:color="auto"/>
            </w:tcBorders>
            <w:noWrap/>
            <w:hideMark/>
          </w:tcPr>
          <w:p w14:paraId="7DDC6EF5" w14:textId="77777777" w:rsidR="00092F8A" w:rsidRPr="00F567E1" w:rsidRDefault="00092F8A" w:rsidP="009A58EE">
            <w:pPr>
              <w:pStyle w:val="Normal-pool-Table"/>
              <w:rPr>
                <w:szCs w:val="18"/>
                <w:lang w:val="es-ES_tradnl"/>
              </w:rPr>
            </w:pPr>
            <w:r w:rsidRPr="00F567E1">
              <w:rPr>
                <w:color w:val="000000"/>
                <w:lang w:val="es-ES_tradnl"/>
              </w:rPr>
              <w:t>Gambia</w:t>
            </w:r>
          </w:p>
        </w:tc>
        <w:tc>
          <w:tcPr>
            <w:tcW w:w="1400" w:type="dxa"/>
            <w:tcBorders>
              <w:top w:val="nil"/>
              <w:left w:val="nil"/>
              <w:bottom w:val="single" w:sz="4" w:space="0" w:color="auto"/>
              <w:right w:val="single" w:sz="4" w:space="0" w:color="auto"/>
            </w:tcBorders>
            <w:noWrap/>
            <w:hideMark/>
          </w:tcPr>
          <w:p w14:paraId="0C99B65A"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7FF54C38"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007A0306"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63D2A843"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238DFD31"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308B9E2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E1AA462" w14:textId="5418A69F"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7</w:t>
            </w:r>
          </w:p>
        </w:tc>
        <w:tc>
          <w:tcPr>
            <w:tcW w:w="2573" w:type="dxa"/>
            <w:tcBorders>
              <w:top w:val="nil"/>
              <w:left w:val="nil"/>
              <w:bottom w:val="single" w:sz="4" w:space="0" w:color="auto"/>
              <w:right w:val="single" w:sz="4" w:space="0" w:color="auto"/>
            </w:tcBorders>
            <w:noWrap/>
            <w:hideMark/>
          </w:tcPr>
          <w:p w14:paraId="0F212FCD" w14:textId="77777777" w:rsidR="00092F8A" w:rsidRPr="00F567E1" w:rsidRDefault="00092F8A" w:rsidP="009A58EE">
            <w:pPr>
              <w:pStyle w:val="Normal-pool-Table"/>
              <w:rPr>
                <w:szCs w:val="18"/>
                <w:lang w:val="es-ES_tradnl"/>
              </w:rPr>
            </w:pPr>
            <w:r w:rsidRPr="00F567E1">
              <w:rPr>
                <w:color w:val="000000"/>
                <w:lang w:val="es-ES_tradnl"/>
              </w:rPr>
              <w:t>Ghana</w:t>
            </w:r>
          </w:p>
        </w:tc>
        <w:tc>
          <w:tcPr>
            <w:tcW w:w="1400" w:type="dxa"/>
            <w:tcBorders>
              <w:top w:val="nil"/>
              <w:left w:val="nil"/>
              <w:bottom w:val="single" w:sz="4" w:space="0" w:color="auto"/>
              <w:right w:val="single" w:sz="4" w:space="0" w:color="auto"/>
            </w:tcBorders>
            <w:noWrap/>
            <w:hideMark/>
          </w:tcPr>
          <w:p w14:paraId="07338A0B" w14:textId="77777777" w:rsidR="00092F8A" w:rsidRPr="00F567E1" w:rsidRDefault="00092F8A" w:rsidP="009A58EE">
            <w:pPr>
              <w:pStyle w:val="Normal-pool-Table"/>
              <w:jc w:val="right"/>
              <w:rPr>
                <w:szCs w:val="18"/>
                <w:lang w:val="es-ES_tradnl"/>
              </w:rPr>
            </w:pPr>
            <w:r w:rsidRPr="00F567E1">
              <w:rPr>
                <w:color w:val="000000"/>
                <w:lang w:val="es-ES_tradnl"/>
              </w:rPr>
              <w:t>0,025</w:t>
            </w:r>
          </w:p>
        </w:tc>
        <w:tc>
          <w:tcPr>
            <w:tcW w:w="1073" w:type="dxa"/>
            <w:tcBorders>
              <w:top w:val="nil"/>
              <w:left w:val="nil"/>
              <w:bottom w:val="single" w:sz="4" w:space="0" w:color="auto"/>
              <w:right w:val="single" w:sz="4" w:space="0" w:color="auto"/>
            </w:tcBorders>
            <w:noWrap/>
            <w:hideMark/>
          </w:tcPr>
          <w:p w14:paraId="5F436ECF" w14:textId="77777777" w:rsidR="00092F8A" w:rsidRPr="00F567E1" w:rsidRDefault="00092F8A" w:rsidP="009A58EE">
            <w:pPr>
              <w:pStyle w:val="Normal-pool-Table"/>
              <w:jc w:val="right"/>
              <w:rPr>
                <w:szCs w:val="18"/>
                <w:lang w:val="es-ES_tradnl"/>
              </w:rPr>
            </w:pPr>
            <w:r w:rsidRPr="00F567E1">
              <w:rPr>
                <w:color w:val="000000"/>
                <w:lang w:val="es-ES_tradnl"/>
              </w:rPr>
              <w:t>0,0252</w:t>
            </w:r>
          </w:p>
        </w:tc>
        <w:tc>
          <w:tcPr>
            <w:tcW w:w="1293" w:type="dxa"/>
            <w:tcBorders>
              <w:top w:val="nil"/>
              <w:left w:val="nil"/>
              <w:bottom w:val="single" w:sz="4" w:space="0" w:color="auto"/>
              <w:right w:val="single" w:sz="4" w:space="0" w:color="auto"/>
            </w:tcBorders>
            <w:noWrap/>
            <w:hideMark/>
          </w:tcPr>
          <w:p w14:paraId="38FED87C" w14:textId="77777777" w:rsidR="00092F8A" w:rsidRPr="00F567E1" w:rsidRDefault="00092F8A" w:rsidP="009A58EE">
            <w:pPr>
              <w:pStyle w:val="Normal-pool-Table"/>
              <w:jc w:val="right"/>
              <w:rPr>
                <w:szCs w:val="18"/>
                <w:lang w:val="es-ES_tradnl"/>
              </w:rPr>
            </w:pPr>
            <w:r w:rsidRPr="00F567E1">
              <w:rPr>
                <w:color w:val="000000"/>
                <w:lang w:val="es-ES_tradnl"/>
              </w:rPr>
              <w:t>778</w:t>
            </w:r>
          </w:p>
        </w:tc>
        <w:tc>
          <w:tcPr>
            <w:tcW w:w="1293" w:type="dxa"/>
            <w:tcBorders>
              <w:top w:val="nil"/>
              <w:left w:val="nil"/>
              <w:bottom w:val="single" w:sz="4" w:space="0" w:color="auto"/>
              <w:right w:val="single" w:sz="4" w:space="0" w:color="auto"/>
            </w:tcBorders>
            <w:noWrap/>
            <w:hideMark/>
          </w:tcPr>
          <w:p w14:paraId="23C3EC5C" w14:textId="77777777" w:rsidR="00092F8A" w:rsidRPr="00F567E1" w:rsidRDefault="00092F8A" w:rsidP="009A58EE">
            <w:pPr>
              <w:pStyle w:val="Normal-pool-Table"/>
              <w:jc w:val="right"/>
              <w:rPr>
                <w:szCs w:val="18"/>
                <w:lang w:val="es-ES_tradnl"/>
              </w:rPr>
            </w:pPr>
            <w:r w:rsidRPr="00F567E1">
              <w:rPr>
                <w:color w:val="000000"/>
                <w:lang w:val="es-ES_tradnl"/>
              </w:rPr>
              <w:t>1 027</w:t>
            </w:r>
          </w:p>
        </w:tc>
        <w:tc>
          <w:tcPr>
            <w:tcW w:w="1313" w:type="dxa"/>
            <w:tcBorders>
              <w:top w:val="nil"/>
              <w:left w:val="nil"/>
              <w:bottom w:val="single" w:sz="4" w:space="0" w:color="auto"/>
              <w:right w:val="single" w:sz="4" w:space="0" w:color="auto"/>
            </w:tcBorders>
            <w:noWrap/>
            <w:hideMark/>
          </w:tcPr>
          <w:p w14:paraId="2E4F3AB3" w14:textId="77777777" w:rsidR="00092F8A" w:rsidRPr="00F567E1" w:rsidRDefault="00092F8A" w:rsidP="009A58EE">
            <w:pPr>
              <w:pStyle w:val="Normal-pool-Table"/>
              <w:jc w:val="right"/>
              <w:rPr>
                <w:szCs w:val="18"/>
                <w:lang w:val="es-ES_tradnl"/>
              </w:rPr>
            </w:pPr>
            <w:r w:rsidRPr="00F567E1">
              <w:rPr>
                <w:color w:val="000000"/>
                <w:lang w:val="es-ES_tradnl"/>
              </w:rPr>
              <w:t>1 805</w:t>
            </w:r>
          </w:p>
        </w:tc>
      </w:tr>
      <w:tr w:rsidR="00092F8A" w:rsidRPr="00F567E1" w14:paraId="0592D87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73DF4D5" w14:textId="1BB3DFC2" w:rsidR="00092F8A" w:rsidRPr="00F567E1" w:rsidRDefault="003B3B6B" w:rsidP="009A58EE">
            <w:pPr>
              <w:pStyle w:val="Normal-pool-Table"/>
              <w:rPr>
                <w:szCs w:val="18"/>
                <w:lang w:val="es-ES_tradnl"/>
              </w:rPr>
            </w:pPr>
            <w:r w:rsidRPr="00F567E1">
              <w:rPr>
                <w:color w:val="000000"/>
                <w:lang w:val="es-ES_tradnl"/>
              </w:rPr>
              <w:t>18</w:t>
            </w:r>
          </w:p>
        </w:tc>
        <w:tc>
          <w:tcPr>
            <w:tcW w:w="2573" w:type="dxa"/>
            <w:tcBorders>
              <w:top w:val="nil"/>
              <w:left w:val="nil"/>
              <w:bottom w:val="single" w:sz="4" w:space="0" w:color="auto"/>
              <w:right w:val="single" w:sz="4" w:space="0" w:color="auto"/>
            </w:tcBorders>
            <w:noWrap/>
            <w:hideMark/>
          </w:tcPr>
          <w:p w14:paraId="1EE68CF6" w14:textId="77777777" w:rsidR="00092F8A" w:rsidRPr="00F567E1" w:rsidRDefault="00092F8A" w:rsidP="009A58EE">
            <w:pPr>
              <w:pStyle w:val="Normal-pool-Table"/>
              <w:rPr>
                <w:szCs w:val="18"/>
                <w:lang w:val="es-ES_tradnl"/>
              </w:rPr>
            </w:pPr>
            <w:r w:rsidRPr="00F567E1">
              <w:rPr>
                <w:color w:val="000000"/>
                <w:lang w:val="es-ES_tradnl"/>
              </w:rPr>
              <w:t>Guinea</w:t>
            </w:r>
          </w:p>
        </w:tc>
        <w:tc>
          <w:tcPr>
            <w:tcW w:w="1400" w:type="dxa"/>
            <w:tcBorders>
              <w:top w:val="nil"/>
              <w:left w:val="nil"/>
              <w:bottom w:val="single" w:sz="4" w:space="0" w:color="auto"/>
              <w:right w:val="single" w:sz="4" w:space="0" w:color="auto"/>
            </w:tcBorders>
            <w:noWrap/>
            <w:hideMark/>
          </w:tcPr>
          <w:p w14:paraId="0DBA7D55" w14:textId="77777777" w:rsidR="00092F8A" w:rsidRPr="00F567E1" w:rsidRDefault="00092F8A" w:rsidP="009A58EE">
            <w:pPr>
              <w:pStyle w:val="Normal-pool-Table"/>
              <w:jc w:val="right"/>
              <w:rPr>
                <w:szCs w:val="18"/>
                <w:lang w:val="es-ES_tradnl"/>
              </w:rPr>
            </w:pPr>
            <w:r w:rsidRPr="00F567E1">
              <w:rPr>
                <w:color w:val="000000"/>
                <w:lang w:val="es-ES_tradnl"/>
              </w:rPr>
              <w:t>0,004</w:t>
            </w:r>
          </w:p>
        </w:tc>
        <w:tc>
          <w:tcPr>
            <w:tcW w:w="1073" w:type="dxa"/>
            <w:tcBorders>
              <w:top w:val="nil"/>
              <w:left w:val="nil"/>
              <w:bottom w:val="single" w:sz="4" w:space="0" w:color="auto"/>
              <w:right w:val="single" w:sz="4" w:space="0" w:color="auto"/>
            </w:tcBorders>
            <w:noWrap/>
            <w:hideMark/>
          </w:tcPr>
          <w:p w14:paraId="4666CFB0"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713A7A69"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6B77086D"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508B2838"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657A30ED" w14:textId="77777777" w:rsidTr="00CB7E08">
        <w:trPr>
          <w:trHeight w:val="42"/>
          <w:jc w:val="right"/>
        </w:trPr>
        <w:tc>
          <w:tcPr>
            <w:tcW w:w="541" w:type="dxa"/>
            <w:tcBorders>
              <w:top w:val="nil"/>
              <w:left w:val="single" w:sz="4" w:space="0" w:color="auto"/>
              <w:bottom w:val="single" w:sz="4" w:space="0" w:color="auto"/>
              <w:right w:val="single" w:sz="4" w:space="0" w:color="auto"/>
            </w:tcBorders>
            <w:noWrap/>
            <w:hideMark/>
          </w:tcPr>
          <w:p w14:paraId="6D872B30" w14:textId="1A64BFB6" w:rsidR="00092F8A" w:rsidRPr="00F567E1" w:rsidRDefault="00092F8A" w:rsidP="009A58EE">
            <w:pPr>
              <w:pStyle w:val="Normal-pool-Table"/>
              <w:rPr>
                <w:szCs w:val="18"/>
                <w:lang w:val="es-ES_tradnl"/>
              </w:rPr>
            </w:pPr>
            <w:r w:rsidRPr="00F567E1">
              <w:rPr>
                <w:color w:val="000000"/>
                <w:lang w:val="es-ES_tradnl"/>
              </w:rPr>
              <w:t>1</w:t>
            </w:r>
            <w:r w:rsidR="003B3B6B" w:rsidRPr="00F567E1">
              <w:rPr>
                <w:color w:val="000000"/>
                <w:lang w:val="es-ES_tradnl"/>
              </w:rPr>
              <w:t>9</w:t>
            </w:r>
          </w:p>
        </w:tc>
        <w:tc>
          <w:tcPr>
            <w:tcW w:w="2573" w:type="dxa"/>
            <w:tcBorders>
              <w:top w:val="nil"/>
              <w:left w:val="nil"/>
              <w:bottom w:val="single" w:sz="4" w:space="0" w:color="auto"/>
              <w:right w:val="single" w:sz="4" w:space="0" w:color="auto"/>
            </w:tcBorders>
            <w:noWrap/>
            <w:hideMark/>
          </w:tcPr>
          <w:p w14:paraId="7590C818" w14:textId="77777777" w:rsidR="00092F8A" w:rsidRPr="00F567E1" w:rsidRDefault="00092F8A" w:rsidP="009A58EE">
            <w:pPr>
              <w:pStyle w:val="Normal-pool-Table"/>
              <w:rPr>
                <w:szCs w:val="18"/>
                <w:lang w:val="es-ES_tradnl"/>
              </w:rPr>
            </w:pPr>
            <w:r w:rsidRPr="00F567E1">
              <w:rPr>
                <w:color w:val="000000"/>
                <w:lang w:val="es-ES_tradnl"/>
              </w:rPr>
              <w:t>Guinea Ecuatorial</w:t>
            </w:r>
          </w:p>
        </w:tc>
        <w:tc>
          <w:tcPr>
            <w:tcW w:w="1400" w:type="dxa"/>
            <w:tcBorders>
              <w:top w:val="nil"/>
              <w:left w:val="nil"/>
              <w:bottom w:val="single" w:sz="4" w:space="0" w:color="auto"/>
              <w:right w:val="single" w:sz="4" w:space="0" w:color="auto"/>
            </w:tcBorders>
            <w:noWrap/>
            <w:hideMark/>
          </w:tcPr>
          <w:p w14:paraId="4E594411" w14:textId="77777777" w:rsidR="00092F8A" w:rsidRPr="00F567E1" w:rsidRDefault="00092F8A" w:rsidP="009A58EE">
            <w:pPr>
              <w:pStyle w:val="Normal-pool-Table"/>
              <w:jc w:val="right"/>
              <w:rPr>
                <w:szCs w:val="18"/>
                <w:lang w:val="es-ES_tradnl"/>
              </w:rPr>
            </w:pPr>
            <w:r w:rsidRPr="00F567E1">
              <w:rPr>
                <w:color w:val="000000"/>
                <w:lang w:val="es-ES_tradnl"/>
              </w:rPr>
              <w:t>0,008</w:t>
            </w:r>
          </w:p>
        </w:tc>
        <w:tc>
          <w:tcPr>
            <w:tcW w:w="1073" w:type="dxa"/>
            <w:tcBorders>
              <w:top w:val="nil"/>
              <w:left w:val="nil"/>
              <w:bottom w:val="single" w:sz="4" w:space="0" w:color="auto"/>
              <w:right w:val="single" w:sz="4" w:space="0" w:color="auto"/>
            </w:tcBorders>
            <w:noWrap/>
            <w:hideMark/>
          </w:tcPr>
          <w:p w14:paraId="51952A0C"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627B0173"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23F3729E"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4D80E912"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22AC01B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B3E8B0" w14:textId="03C478FF" w:rsidR="00092F8A" w:rsidRPr="00F567E1" w:rsidRDefault="00092F8A" w:rsidP="009A58EE">
            <w:pPr>
              <w:pStyle w:val="Normal-pool-Table"/>
              <w:rPr>
                <w:szCs w:val="18"/>
                <w:lang w:val="es-ES_tradnl"/>
              </w:rPr>
            </w:pPr>
            <w:r w:rsidRPr="00F567E1">
              <w:rPr>
                <w:color w:val="000000"/>
                <w:lang w:val="es-ES_tradnl"/>
              </w:rPr>
              <w:t>2</w:t>
            </w:r>
            <w:r w:rsidR="003B3B6B" w:rsidRPr="00F567E1">
              <w:rPr>
                <w:color w:val="000000"/>
                <w:lang w:val="es-ES_tradnl"/>
              </w:rPr>
              <w:t>0</w:t>
            </w:r>
          </w:p>
        </w:tc>
        <w:tc>
          <w:tcPr>
            <w:tcW w:w="2573" w:type="dxa"/>
            <w:tcBorders>
              <w:top w:val="nil"/>
              <w:left w:val="nil"/>
              <w:bottom w:val="single" w:sz="4" w:space="0" w:color="auto"/>
              <w:right w:val="single" w:sz="4" w:space="0" w:color="auto"/>
            </w:tcBorders>
            <w:noWrap/>
            <w:hideMark/>
          </w:tcPr>
          <w:p w14:paraId="5FF273B0" w14:textId="77777777" w:rsidR="00092F8A" w:rsidRPr="00F567E1" w:rsidRDefault="00092F8A" w:rsidP="009A58EE">
            <w:pPr>
              <w:pStyle w:val="Normal-pool-Table"/>
              <w:rPr>
                <w:szCs w:val="18"/>
                <w:lang w:val="es-ES_tradnl"/>
              </w:rPr>
            </w:pPr>
            <w:r w:rsidRPr="00F567E1">
              <w:rPr>
                <w:color w:val="000000"/>
                <w:lang w:val="es-ES_tradnl"/>
              </w:rPr>
              <w:t>Guinea</w:t>
            </w:r>
            <w:r w:rsidRPr="00F567E1">
              <w:rPr>
                <w:color w:val="000000"/>
                <w:lang w:val="es-ES_tradnl"/>
              </w:rPr>
              <w:noBreakHyphen/>
              <w:t>Bissau</w:t>
            </w:r>
          </w:p>
        </w:tc>
        <w:tc>
          <w:tcPr>
            <w:tcW w:w="1400" w:type="dxa"/>
            <w:tcBorders>
              <w:top w:val="nil"/>
              <w:left w:val="nil"/>
              <w:bottom w:val="single" w:sz="4" w:space="0" w:color="auto"/>
              <w:right w:val="single" w:sz="4" w:space="0" w:color="auto"/>
            </w:tcBorders>
            <w:noWrap/>
            <w:hideMark/>
          </w:tcPr>
          <w:p w14:paraId="734D1946"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6FCF99AC"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0A475672"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6DCC09BC"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479E6596"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74DEA07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BCB65C2" w14:textId="15C19D3A" w:rsidR="00092F8A" w:rsidRPr="00F567E1" w:rsidRDefault="00092F8A" w:rsidP="009A58EE">
            <w:pPr>
              <w:pStyle w:val="Normal-pool-Table"/>
              <w:rPr>
                <w:szCs w:val="18"/>
                <w:lang w:val="es-ES_tradnl"/>
              </w:rPr>
            </w:pPr>
            <w:r w:rsidRPr="00F567E1">
              <w:rPr>
                <w:color w:val="000000"/>
                <w:lang w:val="es-ES_tradnl"/>
              </w:rPr>
              <w:t>2</w:t>
            </w:r>
            <w:r w:rsidR="003B3B6B" w:rsidRPr="00F567E1">
              <w:rPr>
                <w:color w:val="000000"/>
                <w:lang w:val="es-ES_tradnl"/>
              </w:rPr>
              <w:t>1</w:t>
            </w:r>
          </w:p>
        </w:tc>
        <w:tc>
          <w:tcPr>
            <w:tcW w:w="2573" w:type="dxa"/>
            <w:tcBorders>
              <w:top w:val="nil"/>
              <w:left w:val="nil"/>
              <w:bottom w:val="single" w:sz="4" w:space="0" w:color="auto"/>
              <w:right w:val="single" w:sz="4" w:space="0" w:color="auto"/>
            </w:tcBorders>
            <w:noWrap/>
            <w:hideMark/>
          </w:tcPr>
          <w:p w14:paraId="050BA2DD" w14:textId="77777777" w:rsidR="00092F8A" w:rsidRPr="00F567E1" w:rsidRDefault="00092F8A" w:rsidP="009A58EE">
            <w:pPr>
              <w:pStyle w:val="Normal-pool-Table"/>
              <w:rPr>
                <w:szCs w:val="18"/>
                <w:lang w:val="es-ES_tradnl"/>
              </w:rPr>
            </w:pPr>
            <w:r w:rsidRPr="00F567E1">
              <w:rPr>
                <w:color w:val="000000"/>
                <w:lang w:val="es-ES_tradnl"/>
              </w:rPr>
              <w:t>Kenya</w:t>
            </w:r>
          </w:p>
        </w:tc>
        <w:tc>
          <w:tcPr>
            <w:tcW w:w="1400" w:type="dxa"/>
            <w:tcBorders>
              <w:top w:val="nil"/>
              <w:left w:val="nil"/>
              <w:bottom w:val="single" w:sz="4" w:space="0" w:color="auto"/>
              <w:right w:val="single" w:sz="4" w:space="0" w:color="auto"/>
            </w:tcBorders>
            <w:noWrap/>
            <w:hideMark/>
          </w:tcPr>
          <w:p w14:paraId="2A73B487" w14:textId="77777777" w:rsidR="00092F8A" w:rsidRPr="00F567E1" w:rsidRDefault="00092F8A" w:rsidP="009A58EE">
            <w:pPr>
              <w:pStyle w:val="Normal-pool-Table"/>
              <w:jc w:val="right"/>
              <w:rPr>
                <w:szCs w:val="18"/>
                <w:lang w:val="es-ES_tradnl"/>
              </w:rPr>
            </w:pPr>
            <w:r w:rsidRPr="00F567E1">
              <w:rPr>
                <w:color w:val="000000"/>
                <w:lang w:val="es-ES_tradnl"/>
              </w:rPr>
              <w:t>0,037</w:t>
            </w:r>
          </w:p>
        </w:tc>
        <w:tc>
          <w:tcPr>
            <w:tcW w:w="1073" w:type="dxa"/>
            <w:tcBorders>
              <w:top w:val="nil"/>
              <w:left w:val="nil"/>
              <w:bottom w:val="single" w:sz="4" w:space="0" w:color="auto"/>
              <w:right w:val="single" w:sz="4" w:space="0" w:color="auto"/>
            </w:tcBorders>
            <w:noWrap/>
            <w:hideMark/>
          </w:tcPr>
          <w:p w14:paraId="33E17A62" w14:textId="77777777" w:rsidR="00092F8A" w:rsidRPr="00F567E1" w:rsidRDefault="00092F8A" w:rsidP="009A58EE">
            <w:pPr>
              <w:pStyle w:val="Normal-pool-Table"/>
              <w:jc w:val="right"/>
              <w:rPr>
                <w:szCs w:val="18"/>
                <w:lang w:val="es-ES_tradnl"/>
              </w:rPr>
            </w:pPr>
            <w:r w:rsidRPr="00F567E1">
              <w:rPr>
                <w:color w:val="000000"/>
                <w:lang w:val="es-ES_tradnl"/>
              </w:rPr>
              <w:t>0,0373</w:t>
            </w:r>
          </w:p>
        </w:tc>
        <w:tc>
          <w:tcPr>
            <w:tcW w:w="1293" w:type="dxa"/>
            <w:tcBorders>
              <w:top w:val="nil"/>
              <w:left w:val="nil"/>
              <w:bottom w:val="single" w:sz="4" w:space="0" w:color="auto"/>
              <w:right w:val="single" w:sz="4" w:space="0" w:color="auto"/>
            </w:tcBorders>
            <w:noWrap/>
            <w:hideMark/>
          </w:tcPr>
          <w:p w14:paraId="6C20C52F" w14:textId="77777777" w:rsidR="00092F8A" w:rsidRPr="00F567E1" w:rsidRDefault="00092F8A" w:rsidP="009A58EE">
            <w:pPr>
              <w:pStyle w:val="Normal-pool-Table"/>
              <w:jc w:val="right"/>
              <w:rPr>
                <w:szCs w:val="18"/>
                <w:lang w:val="es-ES_tradnl"/>
              </w:rPr>
            </w:pPr>
            <w:r w:rsidRPr="00F567E1">
              <w:rPr>
                <w:color w:val="000000"/>
                <w:lang w:val="es-ES_tradnl"/>
              </w:rPr>
              <w:t>1 151</w:t>
            </w:r>
          </w:p>
        </w:tc>
        <w:tc>
          <w:tcPr>
            <w:tcW w:w="1293" w:type="dxa"/>
            <w:tcBorders>
              <w:top w:val="nil"/>
              <w:left w:val="nil"/>
              <w:bottom w:val="single" w:sz="4" w:space="0" w:color="auto"/>
              <w:right w:val="single" w:sz="4" w:space="0" w:color="auto"/>
            </w:tcBorders>
            <w:noWrap/>
            <w:hideMark/>
          </w:tcPr>
          <w:p w14:paraId="40399622" w14:textId="77777777" w:rsidR="00092F8A" w:rsidRPr="00F567E1" w:rsidRDefault="00092F8A" w:rsidP="009A58EE">
            <w:pPr>
              <w:pStyle w:val="Normal-pool-Table"/>
              <w:jc w:val="right"/>
              <w:rPr>
                <w:szCs w:val="18"/>
                <w:lang w:val="es-ES_tradnl"/>
              </w:rPr>
            </w:pPr>
            <w:r w:rsidRPr="00F567E1">
              <w:rPr>
                <w:color w:val="000000"/>
                <w:lang w:val="es-ES_tradnl"/>
              </w:rPr>
              <w:t>1 520</w:t>
            </w:r>
          </w:p>
        </w:tc>
        <w:tc>
          <w:tcPr>
            <w:tcW w:w="1313" w:type="dxa"/>
            <w:tcBorders>
              <w:top w:val="nil"/>
              <w:left w:val="nil"/>
              <w:bottom w:val="single" w:sz="4" w:space="0" w:color="auto"/>
              <w:right w:val="single" w:sz="4" w:space="0" w:color="auto"/>
            </w:tcBorders>
            <w:noWrap/>
            <w:hideMark/>
          </w:tcPr>
          <w:p w14:paraId="7C416C24" w14:textId="77777777" w:rsidR="00092F8A" w:rsidRPr="00F567E1" w:rsidRDefault="00092F8A" w:rsidP="009A58EE">
            <w:pPr>
              <w:pStyle w:val="Normal-pool-Table"/>
              <w:jc w:val="right"/>
              <w:rPr>
                <w:szCs w:val="18"/>
                <w:lang w:val="es-ES_tradnl"/>
              </w:rPr>
            </w:pPr>
            <w:r w:rsidRPr="00F567E1">
              <w:rPr>
                <w:color w:val="000000"/>
                <w:lang w:val="es-ES_tradnl"/>
              </w:rPr>
              <w:t>2 671</w:t>
            </w:r>
          </w:p>
        </w:tc>
      </w:tr>
      <w:tr w:rsidR="00092F8A" w:rsidRPr="00F567E1" w14:paraId="0C8381D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BE7A41" w14:textId="48C0591E" w:rsidR="00092F8A" w:rsidRPr="00F567E1" w:rsidRDefault="00092F8A" w:rsidP="009A58EE">
            <w:pPr>
              <w:pStyle w:val="Normal-pool-Table"/>
              <w:rPr>
                <w:szCs w:val="18"/>
                <w:lang w:val="es-ES_tradnl"/>
              </w:rPr>
            </w:pPr>
            <w:r w:rsidRPr="00F567E1">
              <w:rPr>
                <w:color w:val="000000"/>
                <w:lang w:val="es-ES_tradnl"/>
              </w:rPr>
              <w:t>2</w:t>
            </w:r>
            <w:r w:rsidR="003B3B6B" w:rsidRPr="00F567E1">
              <w:rPr>
                <w:color w:val="000000"/>
                <w:lang w:val="es-ES_tradnl"/>
              </w:rPr>
              <w:t>2</w:t>
            </w:r>
          </w:p>
        </w:tc>
        <w:tc>
          <w:tcPr>
            <w:tcW w:w="2573" w:type="dxa"/>
            <w:tcBorders>
              <w:top w:val="nil"/>
              <w:left w:val="nil"/>
              <w:bottom w:val="single" w:sz="4" w:space="0" w:color="auto"/>
              <w:right w:val="single" w:sz="4" w:space="0" w:color="auto"/>
            </w:tcBorders>
            <w:noWrap/>
            <w:hideMark/>
          </w:tcPr>
          <w:p w14:paraId="7564C9AE" w14:textId="77777777" w:rsidR="00092F8A" w:rsidRPr="00F567E1" w:rsidRDefault="00092F8A" w:rsidP="009A58EE">
            <w:pPr>
              <w:pStyle w:val="Normal-pool-Table"/>
              <w:rPr>
                <w:szCs w:val="18"/>
                <w:lang w:val="es-ES_tradnl"/>
              </w:rPr>
            </w:pPr>
            <w:proofErr w:type="spellStart"/>
            <w:r w:rsidRPr="00F567E1">
              <w:rPr>
                <w:color w:val="000000"/>
                <w:lang w:val="es-ES_tradnl"/>
              </w:rPr>
              <w:t>Lesotho</w:t>
            </w:r>
            <w:proofErr w:type="spellEnd"/>
          </w:p>
        </w:tc>
        <w:tc>
          <w:tcPr>
            <w:tcW w:w="1400" w:type="dxa"/>
            <w:tcBorders>
              <w:top w:val="nil"/>
              <w:left w:val="nil"/>
              <w:bottom w:val="single" w:sz="4" w:space="0" w:color="auto"/>
              <w:right w:val="single" w:sz="4" w:space="0" w:color="auto"/>
            </w:tcBorders>
            <w:noWrap/>
            <w:hideMark/>
          </w:tcPr>
          <w:p w14:paraId="369A0FA6"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4F571B76"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BC554A2"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3C4CB1BB"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654B1578"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4D65598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C183E57" w14:textId="0963D2CE" w:rsidR="00092F8A" w:rsidRPr="00F567E1" w:rsidRDefault="00092F8A" w:rsidP="009A58EE">
            <w:pPr>
              <w:pStyle w:val="Normal-pool-Table"/>
              <w:rPr>
                <w:szCs w:val="18"/>
                <w:lang w:val="es-ES_tradnl"/>
              </w:rPr>
            </w:pPr>
            <w:r w:rsidRPr="00F567E1">
              <w:rPr>
                <w:color w:val="000000"/>
                <w:lang w:val="es-ES_tradnl"/>
              </w:rPr>
              <w:t>2</w:t>
            </w:r>
            <w:r w:rsidR="003B3B6B" w:rsidRPr="00F567E1">
              <w:rPr>
                <w:color w:val="000000"/>
                <w:lang w:val="es-ES_tradnl"/>
              </w:rPr>
              <w:t>3</w:t>
            </w:r>
          </w:p>
        </w:tc>
        <w:tc>
          <w:tcPr>
            <w:tcW w:w="2573" w:type="dxa"/>
            <w:tcBorders>
              <w:top w:val="nil"/>
              <w:left w:val="nil"/>
              <w:bottom w:val="single" w:sz="4" w:space="0" w:color="auto"/>
              <w:right w:val="single" w:sz="4" w:space="0" w:color="auto"/>
            </w:tcBorders>
            <w:noWrap/>
            <w:hideMark/>
          </w:tcPr>
          <w:p w14:paraId="391C5C68" w14:textId="77777777" w:rsidR="00092F8A" w:rsidRPr="00F567E1" w:rsidRDefault="00092F8A" w:rsidP="009A58EE">
            <w:pPr>
              <w:pStyle w:val="Normal-pool-Table"/>
              <w:rPr>
                <w:szCs w:val="18"/>
                <w:lang w:val="es-ES_tradnl"/>
              </w:rPr>
            </w:pPr>
            <w:r w:rsidRPr="00F567E1">
              <w:rPr>
                <w:color w:val="000000"/>
                <w:lang w:val="es-ES_tradnl"/>
              </w:rPr>
              <w:t>Liberia</w:t>
            </w:r>
          </w:p>
        </w:tc>
        <w:tc>
          <w:tcPr>
            <w:tcW w:w="1400" w:type="dxa"/>
            <w:tcBorders>
              <w:top w:val="nil"/>
              <w:left w:val="nil"/>
              <w:bottom w:val="single" w:sz="4" w:space="0" w:color="auto"/>
              <w:right w:val="single" w:sz="4" w:space="0" w:color="auto"/>
            </w:tcBorders>
            <w:noWrap/>
            <w:hideMark/>
          </w:tcPr>
          <w:p w14:paraId="1011E298"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192E8869"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2933D78C"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44E0E090"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0213D1D4"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0159225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4277924" w14:textId="2FFA46A2" w:rsidR="00092F8A" w:rsidRPr="00F567E1" w:rsidRDefault="00092F8A" w:rsidP="009A58EE">
            <w:pPr>
              <w:pStyle w:val="Normal-pool-Table"/>
              <w:rPr>
                <w:szCs w:val="18"/>
                <w:lang w:val="es-ES_tradnl"/>
              </w:rPr>
            </w:pPr>
            <w:r w:rsidRPr="00F567E1">
              <w:rPr>
                <w:color w:val="000000"/>
                <w:lang w:val="es-ES_tradnl"/>
              </w:rPr>
              <w:t>2</w:t>
            </w:r>
            <w:r w:rsidR="003B3B6B" w:rsidRPr="00F567E1">
              <w:rPr>
                <w:color w:val="000000"/>
                <w:lang w:val="es-ES_tradnl"/>
              </w:rPr>
              <w:t>4</w:t>
            </w:r>
          </w:p>
        </w:tc>
        <w:tc>
          <w:tcPr>
            <w:tcW w:w="2573" w:type="dxa"/>
            <w:tcBorders>
              <w:top w:val="nil"/>
              <w:left w:val="nil"/>
              <w:bottom w:val="single" w:sz="4" w:space="0" w:color="auto"/>
              <w:right w:val="single" w:sz="4" w:space="0" w:color="auto"/>
            </w:tcBorders>
            <w:noWrap/>
            <w:hideMark/>
          </w:tcPr>
          <w:p w14:paraId="395F2B4D" w14:textId="77777777" w:rsidR="00092F8A" w:rsidRPr="00F567E1" w:rsidRDefault="00092F8A" w:rsidP="009A58EE">
            <w:pPr>
              <w:pStyle w:val="Normal-pool-Table"/>
              <w:rPr>
                <w:szCs w:val="18"/>
                <w:lang w:val="es-ES_tradnl"/>
              </w:rPr>
            </w:pPr>
            <w:r w:rsidRPr="00F567E1">
              <w:rPr>
                <w:color w:val="000000"/>
                <w:lang w:val="es-ES_tradnl"/>
              </w:rPr>
              <w:t>Madagascar</w:t>
            </w:r>
          </w:p>
        </w:tc>
        <w:tc>
          <w:tcPr>
            <w:tcW w:w="1400" w:type="dxa"/>
            <w:tcBorders>
              <w:top w:val="nil"/>
              <w:left w:val="nil"/>
              <w:bottom w:val="single" w:sz="4" w:space="0" w:color="auto"/>
              <w:right w:val="single" w:sz="4" w:space="0" w:color="auto"/>
            </w:tcBorders>
            <w:noWrap/>
            <w:hideMark/>
          </w:tcPr>
          <w:p w14:paraId="130CFEEB" w14:textId="77777777" w:rsidR="00092F8A" w:rsidRPr="00F567E1" w:rsidRDefault="00092F8A" w:rsidP="009A58EE">
            <w:pPr>
              <w:pStyle w:val="Normal-pool-Table"/>
              <w:jc w:val="right"/>
              <w:rPr>
                <w:szCs w:val="18"/>
                <w:lang w:val="es-ES_tradnl"/>
              </w:rPr>
            </w:pPr>
            <w:r w:rsidRPr="00F567E1">
              <w:rPr>
                <w:color w:val="000000"/>
                <w:lang w:val="es-ES_tradnl"/>
              </w:rPr>
              <w:t>0,004</w:t>
            </w:r>
          </w:p>
        </w:tc>
        <w:tc>
          <w:tcPr>
            <w:tcW w:w="1073" w:type="dxa"/>
            <w:tcBorders>
              <w:top w:val="nil"/>
              <w:left w:val="nil"/>
              <w:bottom w:val="single" w:sz="4" w:space="0" w:color="auto"/>
              <w:right w:val="single" w:sz="4" w:space="0" w:color="auto"/>
            </w:tcBorders>
            <w:noWrap/>
            <w:hideMark/>
          </w:tcPr>
          <w:p w14:paraId="749C3DF5"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2901CFE0"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45907F32"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536C6B31"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537F47E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38696BA" w14:textId="24D53683" w:rsidR="00092F8A" w:rsidRPr="00F567E1" w:rsidRDefault="00092F8A" w:rsidP="009A58EE">
            <w:pPr>
              <w:pStyle w:val="Normal-pool-Table"/>
              <w:rPr>
                <w:szCs w:val="18"/>
                <w:lang w:val="es-ES_tradnl"/>
              </w:rPr>
            </w:pPr>
            <w:r w:rsidRPr="00F567E1">
              <w:rPr>
                <w:color w:val="000000"/>
                <w:lang w:val="es-ES_tradnl"/>
              </w:rPr>
              <w:t>2</w:t>
            </w:r>
            <w:r w:rsidR="003B3B6B" w:rsidRPr="00F567E1">
              <w:rPr>
                <w:color w:val="000000"/>
                <w:lang w:val="es-ES_tradnl"/>
              </w:rPr>
              <w:t>5</w:t>
            </w:r>
          </w:p>
        </w:tc>
        <w:tc>
          <w:tcPr>
            <w:tcW w:w="2573" w:type="dxa"/>
            <w:tcBorders>
              <w:top w:val="nil"/>
              <w:left w:val="nil"/>
              <w:bottom w:val="single" w:sz="4" w:space="0" w:color="auto"/>
              <w:right w:val="single" w:sz="4" w:space="0" w:color="auto"/>
            </w:tcBorders>
            <w:noWrap/>
            <w:hideMark/>
          </w:tcPr>
          <w:p w14:paraId="6D514FD6" w14:textId="77777777" w:rsidR="00092F8A" w:rsidRPr="00F567E1" w:rsidRDefault="00092F8A" w:rsidP="009A58EE">
            <w:pPr>
              <w:pStyle w:val="Normal-pool-Table"/>
              <w:rPr>
                <w:szCs w:val="18"/>
                <w:lang w:val="es-ES_tradnl"/>
              </w:rPr>
            </w:pPr>
            <w:r w:rsidRPr="00F567E1">
              <w:rPr>
                <w:color w:val="000000"/>
                <w:lang w:val="es-ES_tradnl"/>
              </w:rPr>
              <w:t>Malawi</w:t>
            </w:r>
          </w:p>
        </w:tc>
        <w:tc>
          <w:tcPr>
            <w:tcW w:w="1400" w:type="dxa"/>
            <w:tcBorders>
              <w:top w:val="nil"/>
              <w:left w:val="nil"/>
              <w:bottom w:val="single" w:sz="4" w:space="0" w:color="auto"/>
              <w:right w:val="single" w:sz="4" w:space="0" w:color="auto"/>
            </w:tcBorders>
            <w:noWrap/>
            <w:hideMark/>
          </w:tcPr>
          <w:p w14:paraId="6370AA1E" w14:textId="77777777" w:rsidR="00092F8A" w:rsidRPr="00F567E1" w:rsidRDefault="00092F8A" w:rsidP="009A58EE">
            <w:pPr>
              <w:pStyle w:val="Normal-pool-Table"/>
              <w:jc w:val="right"/>
              <w:rPr>
                <w:szCs w:val="18"/>
                <w:lang w:val="es-ES_tradnl"/>
              </w:rPr>
            </w:pPr>
            <w:r w:rsidRPr="00F567E1">
              <w:rPr>
                <w:color w:val="000000"/>
                <w:lang w:val="es-ES_tradnl"/>
              </w:rPr>
              <w:t>0,003</w:t>
            </w:r>
          </w:p>
        </w:tc>
        <w:tc>
          <w:tcPr>
            <w:tcW w:w="1073" w:type="dxa"/>
            <w:tcBorders>
              <w:top w:val="nil"/>
              <w:left w:val="nil"/>
              <w:bottom w:val="single" w:sz="4" w:space="0" w:color="auto"/>
              <w:right w:val="single" w:sz="4" w:space="0" w:color="auto"/>
            </w:tcBorders>
            <w:noWrap/>
            <w:hideMark/>
          </w:tcPr>
          <w:p w14:paraId="743B37F5"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1EDEA3E6"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E4265A0"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441985F"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4F4EA84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4F66F7D" w14:textId="61249FAC" w:rsidR="00092F8A" w:rsidRPr="00F567E1" w:rsidRDefault="00092F8A" w:rsidP="009A58EE">
            <w:pPr>
              <w:pStyle w:val="Normal-pool-Table"/>
              <w:rPr>
                <w:szCs w:val="18"/>
                <w:lang w:val="es-ES_tradnl"/>
              </w:rPr>
            </w:pPr>
            <w:r w:rsidRPr="00F567E1">
              <w:rPr>
                <w:color w:val="000000"/>
                <w:lang w:val="es-ES_tradnl"/>
              </w:rPr>
              <w:t>2</w:t>
            </w:r>
            <w:r w:rsidR="003B3B6B" w:rsidRPr="00F567E1">
              <w:rPr>
                <w:color w:val="000000"/>
                <w:lang w:val="es-ES_tradnl"/>
              </w:rPr>
              <w:t>6</w:t>
            </w:r>
          </w:p>
        </w:tc>
        <w:tc>
          <w:tcPr>
            <w:tcW w:w="2573" w:type="dxa"/>
            <w:tcBorders>
              <w:top w:val="nil"/>
              <w:left w:val="nil"/>
              <w:bottom w:val="single" w:sz="4" w:space="0" w:color="auto"/>
              <w:right w:val="single" w:sz="4" w:space="0" w:color="auto"/>
            </w:tcBorders>
            <w:noWrap/>
            <w:hideMark/>
          </w:tcPr>
          <w:p w14:paraId="0D1FF0F2" w14:textId="77777777" w:rsidR="00092F8A" w:rsidRPr="00F567E1" w:rsidRDefault="00092F8A" w:rsidP="009A58EE">
            <w:pPr>
              <w:pStyle w:val="Normal-pool-Table"/>
              <w:rPr>
                <w:szCs w:val="18"/>
                <w:lang w:val="es-ES_tradnl"/>
              </w:rPr>
            </w:pPr>
            <w:r w:rsidRPr="00F567E1">
              <w:rPr>
                <w:color w:val="000000"/>
                <w:lang w:val="es-ES_tradnl"/>
              </w:rPr>
              <w:t>Malí</w:t>
            </w:r>
          </w:p>
        </w:tc>
        <w:tc>
          <w:tcPr>
            <w:tcW w:w="1400" w:type="dxa"/>
            <w:tcBorders>
              <w:top w:val="nil"/>
              <w:left w:val="nil"/>
              <w:bottom w:val="single" w:sz="4" w:space="0" w:color="auto"/>
              <w:right w:val="single" w:sz="4" w:space="0" w:color="auto"/>
            </w:tcBorders>
            <w:noWrap/>
            <w:hideMark/>
          </w:tcPr>
          <w:p w14:paraId="1D6B21EC" w14:textId="77777777" w:rsidR="00092F8A" w:rsidRPr="00F567E1" w:rsidRDefault="00092F8A" w:rsidP="009A58EE">
            <w:pPr>
              <w:pStyle w:val="Normal-pool-Table"/>
              <w:jc w:val="right"/>
              <w:rPr>
                <w:szCs w:val="18"/>
                <w:lang w:val="es-ES_tradnl"/>
              </w:rPr>
            </w:pPr>
            <w:r w:rsidRPr="00F567E1">
              <w:rPr>
                <w:color w:val="000000"/>
                <w:lang w:val="es-ES_tradnl"/>
              </w:rPr>
              <w:t>0,005</w:t>
            </w:r>
          </w:p>
        </w:tc>
        <w:tc>
          <w:tcPr>
            <w:tcW w:w="1073" w:type="dxa"/>
            <w:tcBorders>
              <w:top w:val="nil"/>
              <w:left w:val="nil"/>
              <w:bottom w:val="single" w:sz="4" w:space="0" w:color="auto"/>
              <w:right w:val="single" w:sz="4" w:space="0" w:color="auto"/>
            </w:tcBorders>
            <w:noWrap/>
            <w:hideMark/>
          </w:tcPr>
          <w:p w14:paraId="32012271"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70931C5E"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6B441C0"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5C4B497A"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2D3EF42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79ABFA1" w14:textId="27FECB0B" w:rsidR="00092F8A" w:rsidRPr="00F567E1" w:rsidRDefault="00092F8A" w:rsidP="009A58EE">
            <w:pPr>
              <w:pStyle w:val="Normal-pool-Table"/>
              <w:rPr>
                <w:szCs w:val="18"/>
                <w:lang w:val="es-ES_tradnl"/>
              </w:rPr>
            </w:pPr>
            <w:r w:rsidRPr="00F567E1">
              <w:rPr>
                <w:color w:val="000000"/>
                <w:lang w:val="es-ES_tradnl"/>
              </w:rPr>
              <w:t>2</w:t>
            </w:r>
            <w:r w:rsidR="003B3B6B" w:rsidRPr="00F567E1">
              <w:rPr>
                <w:color w:val="000000"/>
                <w:lang w:val="es-ES_tradnl"/>
              </w:rPr>
              <w:t>7</w:t>
            </w:r>
          </w:p>
        </w:tc>
        <w:tc>
          <w:tcPr>
            <w:tcW w:w="2573" w:type="dxa"/>
            <w:tcBorders>
              <w:top w:val="nil"/>
              <w:left w:val="nil"/>
              <w:bottom w:val="single" w:sz="4" w:space="0" w:color="auto"/>
              <w:right w:val="single" w:sz="4" w:space="0" w:color="auto"/>
            </w:tcBorders>
            <w:noWrap/>
            <w:hideMark/>
          </w:tcPr>
          <w:p w14:paraId="26B6456D" w14:textId="77777777" w:rsidR="00092F8A" w:rsidRPr="00F567E1" w:rsidRDefault="00092F8A" w:rsidP="009A58EE">
            <w:pPr>
              <w:pStyle w:val="Normal-pool-Table"/>
              <w:rPr>
                <w:szCs w:val="18"/>
                <w:lang w:val="es-ES_tradnl"/>
              </w:rPr>
            </w:pPr>
            <w:r w:rsidRPr="00F567E1">
              <w:rPr>
                <w:color w:val="000000"/>
                <w:lang w:val="es-ES_tradnl"/>
              </w:rPr>
              <w:t>Mauricio</w:t>
            </w:r>
          </w:p>
        </w:tc>
        <w:tc>
          <w:tcPr>
            <w:tcW w:w="1400" w:type="dxa"/>
            <w:tcBorders>
              <w:top w:val="nil"/>
              <w:left w:val="nil"/>
              <w:bottom w:val="single" w:sz="4" w:space="0" w:color="auto"/>
              <w:right w:val="single" w:sz="4" w:space="0" w:color="auto"/>
            </w:tcBorders>
            <w:noWrap/>
            <w:hideMark/>
          </w:tcPr>
          <w:p w14:paraId="39923A71" w14:textId="77777777" w:rsidR="00092F8A" w:rsidRPr="00F567E1" w:rsidRDefault="00092F8A" w:rsidP="009A58EE">
            <w:pPr>
              <w:pStyle w:val="Normal-pool-Table"/>
              <w:jc w:val="right"/>
              <w:rPr>
                <w:szCs w:val="18"/>
                <w:lang w:val="es-ES_tradnl"/>
              </w:rPr>
            </w:pPr>
            <w:r w:rsidRPr="00F567E1">
              <w:rPr>
                <w:color w:val="000000"/>
                <w:lang w:val="es-ES_tradnl"/>
              </w:rPr>
              <w:t>0,01</w:t>
            </w:r>
          </w:p>
        </w:tc>
        <w:tc>
          <w:tcPr>
            <w:tcW w:w="1073" w:type="dxa"/>
            <w:tcBorders>
              <w:top w:val="nil"/>
              <w:left w:val="nil"/>
              <w:bottom w:val="single" w:sz="4" w:space="0" w:color="auto"/>
              <w:right w:val="single" w:sz="4" w:space="0" w:color="auto"/>
            </w:tcBorders>
            <w:noWrap/>
            <w:hideMark/>
          </w:tcPr>
          <w:p w14:paraId="39D8E4B5" w14:textId="77777777" w:rsidR="00092F8A" w:rsidRPr="00F567E1" w:rsidRDefault="00092F8A" w:rsidP="009A58EE">
            <w:pPr>
              <w:pStyle w:val="Normal-pool-Table"/>
              <w:jc w:val="right"/>
              <w:rPr>
                <w:szCs w:val="18"/>
                <w:lang w:val="es-ES_tradnl"/>
              </w:rPr>
            </w:pPr>
            <w:r w:rsidRPr="00F567E1">
              <w:rPr>
                <w:color w:val="000000"/>
                <w:lang w:val="es-ES_tradnl"/>
              </w:rPr>
              <w:t>0,0101</w:t>
            </w:r>
          </w:p>
        </w:tc>
        <w:tc>
          <w:tcPr>
            <w:tcW w:w="1293" w:type="dxa"/>
            <w:tcBorders>
              <w:top w:val="nil"/>
              <w:left w:val="nil"/>
              <w:bottom w:val="single" w:sz="4" w:space="0" w:color="auto"/>
              <w:right w:val="single" w:sz="4" w:space="0" w:color="auto"/>
            </w:tcBorders>
            <w:noWrap/>
            <w:hideMark/>
          </w:tcPr>
          <w:p w14:paraId="50CABD8F" w14:textId="77777777" w:rsidR="00092F8A" w:rsidRPr="00F567E1" w:rsidRDefault="00092F8A" w:rsidP="009A58EE">
            <w:pPr>
              <w:pStyle w:val="Normal-pool-Table"/>
              <w:jc w:val="right"/>
              <w:rPr>
                <w:szCs w:val="18"/>
                <w:lang w:val="es-ES_tradnl"/>
              </w:rPr>
            </w:pPr>
            <w:r w:rsidRPr="00F567E1">
              <w:rPr>
                <w:color w:val="000000"/>
                <w:lang w:val="es-ES_tradnl"/>
              </w:rPr>
              <w:t>311</w:t>
            </w:r>
          </w:p>
        </w:tc>
        <w:tc>
          <w:tcPr>
            <w:tcW w:w="1293" w:type="dxa"/>
            <w:tcBorders>
              <w:top w:val="nil"/>
              <w:left w:val="nil"/>
              <w:bottom w:val="single" w:sz="4" w:space="0" w:color="auto"/>
              <w:right w:val="single" w:sz="4" w:space="0" w:color="auto"/>
            </w:tcBorders>
            <w:noWrap/>
            <w:hideMark/>
          </w:tcPr>
          <w:p w14:paraId="0CD6ED92" w14:textId="77777777" w:rsidR="00092F8A" w:rsidRPr="00F567E1" w:rsidRDefault="00092F8A" w:rsidP="009A58EE">
            <w:pPr>
              <w:pStyle w:val="Normal-pool-Table"/>
              <w:jc w:val="right"/>
              <w:rPr>
                <w:szCs w:val="18"/>
                <w:lang w:val="es-ES_tradnl"/>
              </w:rPr>
            </w:pPr>
            <w:r w:rsidRPr="00F567E1">
              <w:rPr>
                <w:color w:val="000000"/>
                <w:lang w:val="es-ES_tradnl"/>
              </w:rPr>
              <w:t>411</w:t>
            </w:r>
          </w:p>
        </w:tc>
        <w:tc>
          <w:tcPr>
            <w:tcW w:w="1313" w:type="dxa"/>
            <w:tcBorders>
              <w:top w:val="nil"/>
              <w:left w:val="nil"/>
              <w:bottom w:val="single" w:sz="4" w:space="0" w:color="auto"/>
              <w:right w:val="single" w:sz="4" w:space="0" w:color="auto"/>
            </w:tcBorders>
            <w:noWrap/>
            <w:hideMark/>
          </w:tcPr>
          <w:p w14:paraId="2C64AC9E" w14:textId="77777777" w:rsidR="00092F8A" w:rsidRPr="00F567E1" w:rsidRDefault="00092F8A" w:rsidP="009A58EE">
            <w:pPr>
              <w:pStyle w:val="Normal-pool-Table"/>
              <w:jc w:val="right"/>
              <w:rPr>
                <w:szCs w:val="18"/>
                <w:lang w:val="es-ES_tradnl"/>
              </w:rPr>
            </w:pPr>
            <w:r w:rsidRPr="00F567E1">
              <w:rPr>
                <w:color w:val="000000"/>
                <w:lang w:val="es-ES_tradnl"/>
              </w:rPr>
              <w:t>722</w:t>
            </w:r>
          </w:p>
        </w:tc>
      </w:tr>
      <w:tr w:rsidR="00092F8A" w:rsidRPr="00F567E1" w14:paraId="5DF2425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32A46D3" w14:textId="77777777" w:rsidR="00092F8A" w:rsidRPr="00F567E1" w:rsidRDefault="00092F8A" w:rsidP="009A58EE">
            <w:pPr>
              <w:pStyle w:val="Normal-pool-Table"/>
              <w:rPr>
                <w:szCs w:val="18"/>
                <w:lang w:val="es-ES_tradnl"/>
              </w:rPr>
            </w:pPr>
            <w:r w:rsidRPr="00F567E1">
              <w:rPr>
                <w:color w:val="000000"/>
                <w:lang w:val="es-ES_tradnl"/>
              </w:rPr>
              <w:t>28</w:t>
            </w:r>
          </w:p>
        </w:tc>
        <w:tc>
          <w:tcPr>
            <w:tcW w:w="2573" w:type="dxa"/>
            <w:tcBorders>
              <w:top w:val="nil"/>
              <w:left w:val="nil"/>
              <w:bottom w:val="single" w:sz="4" w:space="0" w:color="auto"/>
              <w:right w:val="single" w:sz="4" w:space="0" w:color="auto"/>
            </w:tcBorders>
            <w:noWrap/>
            <w:hideMark/>
          </w:tcPr>
          <w:p w14:paraId="67EBFCBE" w14:textId="77777777" w:rsidR="00092F8A" w:rsidRPr="00F567E1" w:rsidRDefault="00092F8A" w:rsidP="009A58EE">
            <w:pPr>
              <w:pStyle w:val="Normal-pool-Table"/>
              <w:rPr>
                <w:szCs w:val="18"/>
                <w:lang w:val="es-ES_tradnl"/>
              </w:rPr>
            </w:pPr>
            <w:r w:rsidRPr="00F567E1">
              <w:rPr>
                <w:color w:val="000000"/>
                <w:lang w:val="es-ES_tradnl"/>
              </w:rPr>
              <w:t>Mauritania</w:t>
            </w:r>
          </w:p>
        </w:tc>
        <w:tc>
          <w:tcPr>
            <w:tcW w:w="1400" w:type="dxa"/>
            <w:tcBorders>
              <w:top w:val="nil"/>
              <w:left w:val="nil"/>
              <w:bottom w:val="single" w:sz="4" w:space="0" w:color="auto"/>
              <w:right w:val="single" w:sz="4" w:space="0" w:color="auto"/>
            </w:tcBorders>
            <w:noWrap/>
            <w:hideMark/>
          </w:tcPr>
          <w:p w14:paraId="634BFB09" w14:textId="77777777" w:rsidR="00092F8A" w:rsidRPr="00F567E1" w:rsidRDefault="00092F8A" w:rsidP="009A58EE">
            <w:pPr>
              <w:pStyle w:val="Normal-pool-Table"/>
              <w:jc w:val="right"/>
              <w:rPr>
                <w:szCs w:val="18"/>
                <w:lang w:val="es-ES_tradnl"/>
              </w:rPr>
            </w:pPr>
            <w:r w:rsidRPr="00F567E1">
              <w:rPr>
                <w:color w:val="000000"/>
                <w:lang w:val="es-ES_tradnl"/>
              </w:rPr>
              <w:t>0,003</w:t>
            </w:r>
          </w:p>
        </w:tc>
        <w:tc>
          <w:tcPr>
            <w:tcW w:w="1073" w:type="dxa"/>
            <w:tcBorders>
              <w:top w:val="nil"/>
              <w:left w:val="nil"/>
              <w:bottom w:val="single" w:sz="4" w:space="0" w:color="auto"/>
              <w:right w:val="single" w:sz="4" w:space="0" w:color="auto"/>
            </w:tcBorders>
            <w:noWrap/>
            <w:hideMark/>
          </w:tcPr>
          <w:p w14:paraId="74EA6554"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F3E3848"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71020A3B"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64F5EBC"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58BE9DC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1E6E62F" w14:textId="5F772177" w:rsidR="00092F8A" w:rsidRPr="00F567E1" w:rsidRDefault="003B3B6B" w:rsidP="009A58EE">
            <w:pPr>
              <w:pStyle w:val="Normal-pool-Table"/>
              <w:rPr>
                <w:szCs w:val="18"/>
                <w:lang w:val="es-ES_tradnl"/>
              </w:rPr>
            </w:pPr>
            <w:r w:rsidRPr="00F567E1">
              <w:rPr>
                <w:color w:val="000000"/>
                <w:lang w:val="es-ES_tradnl"/>
              </w:rPr>
              <w:t>29</w:t>
            </w:r>
          </w:p>
        </w:tc>
        <w:tc>
          <w:tcPr>
            <w:tcW w:w="2573" w:type="dxa"/>
            <w:tcBorders>
              <w:top w:val="nil"/>
              <w:left w:val="nil"/>
              <w:bottom w:val="single" w:sz="4" w:space="0" w:color="auto"/>
              <w:right w:val="single" w:sz="4" w:space="0" w:color="auto"/>
            </w:tcBorders>
            <w:noWrap/>
            <w:hideMark/>
          </w:tcPr>
          <w:p w14:paraId="02195ADE" w14:textId="77777777" w:rsidR="00092F8A" w:rsidRPr="00F567E1" w:rsidRDefault="00092F8A" w:rsidP="009A58EE">
            <w:pPr>
              <w:pStyle w:val="Normal-pool-Table"/>
              <w:rPr>
                <w:szCs w:val="18"/>
                <w:lang w:val="es-ES_tradnl"/>
              </w:rPr>
            </w:pPr>
            <w:r w:rsidRPr="00F567E1">
              <w:rPr>
                <w:color w:val="000000"/>
                <w:lang w:val="es-ES_tradnl"/>
              </w:rPr>
              <w:t>Mozambique</w:t>
            </w:r>
          </w:p>
        </w:tc>
        <w:tc>
          <w:tcPr>
            <w:tcW w:w="1400" w:type="dxa"/>
            <w:tcBorders>
              <w:top w:val="nil"/>
              <w:left w:val="nil"/>
              <w:bottom w:val="single" w:sz="4" w:space="0" w:color="auto"/>
              <w:right w:val="single" w:sz="4" w:space="0" w:color="auto"/>
            </w:tcBorders>
            <w:noWrap/>
            <w:hideMark/>
          </w:tcPr>
          <w:p w14:paraId="21BF9632" w14:textId="77777777" w:rsidR="00092F8A" w:rsidRPr="00F567E1" w:rsidRDefault="00092F8A" w:rsidP="009A58EE">
            <w:pPr>
              <w:pStyle w:val="Normal-pool-Table"/>
              <w:jc w:val="right"/>
              <w:rPr>
                <w:szCs w:val="18"/>
                <w:lang w:val="es-ES_tradnl"/>
              </w:rPr>
            </w:pPr>
            <w:r w:rsidRPr="00F567E1">
              <w:rPr>
                <w:color w:val="000000"/>
                <w:lang w:val="es-ES_tradnl"/>
              </w:rPr>
              <w:t>0,002</w:t>
            </w:r>
          </w:p>
        </w:tc>
        <w:tc>
          <w:tcPr>
            <w:tcW w:w="1073" w:type="dxa"/>
            <w:tcBorders>
              <w:top w:val="nil"/>
              <w:left w:val="nil"/>
              <w:bottom w:val="single" w:sz="4" w:space="0" w:color="auto"/>
              <w:right w:val="single" w:sz="4" w:space="0" w:color="auto"/>
            </w:tcBorders>
            <w:noWrap/>
            <w:hideMark/>
          </w:tcPr>
          <w:p w14:paraId="4DF1C1B3"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4EA0D016"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A5BB097"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A92471A"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765764C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3B742A5" w14:textId="0B8AAF67" w:rsidR="00092F8A" w:rsidRPr="00F567E1" w:rsidRDefault="00092F8A" w:rsidP="009A58EE">
            <w:pPr>
              <w:pStyle w:val="Normal-pool-Table"/>
              <w:rPr>
                <w:szCs w:val="18"/>
                <w:lang w:val="es-ES_tradnl"/>
              </w:rPr>
            </w:pPr>
            <w:r w:rsidRPr="00F567E1">
              <w:rPr>
                <w:color w:val="000000"/>
                <w:lang w:val="es-ES_tradnl"/>
              </w:rPr>
              <w:t>3</w:t>
            </w:r>
            <w:r w:rsidR="003B3B6B" w:rsidRPr="00F567E1">
              <w:rPr>
                <w:color w:val="000000"/>
                <w:lang w:val="es-ES_tradnl"/>
              </w:rPr>
              <w:t>0</w:t>
            </w:r>
          </w:p>
        </w:tc>
        <w:tc>
          <w:tcPr>
            <w:tcW w:w="2573" w:type="dxa"/>
            <w:tcBorders>
              <w:top w:val="nil"/>
              <w:left w:val="nil"/>
              <w:bottom w:val="single" w:sz="4" w:space="0" w:color="auto"/>
              <w:right w:val="single" w:sz="4" w:space="0" w:color="auto"/>
            </w:tcBorders>
            <w:noWrap/>
            <w:hideMark/>
          </w:tcPr>
          <w:p w14:paraId="488470A2" w14:textId="77777777" w:rsidR="00092F8A" w:rsidRPr="00F567E1" w:rsidRDefault="00092F8A" w:rsidP="009A58EE">
            <w:pPr>
              <w:pStyle w:val="Normal-pool-Table"/>
              <w:rPr>
                <w:szCs w:val="18"/>
                <w:lang w:val="es-ES_tradnl"/>
              </w:rPr>
            </w:pPr>
            <w:r w:rsidRPr="00F567E1">
              <w:rPr>
                <w:color w:val="000000"/>
                <w:lang w:val="es-ES_tradnl"/>
              </w:rPr>
              <w:t>Namibia</w:t>
            </w:r>
          </w:p>
        </w:tc>
        <w:tc>
          <w:tcPr>
            <w:tcW w:w="1400" w:type="dxa"/>
            <w:tcBorders>
              <w:top w:val="nil"/>
              <w:left w:val="nil"/>
              <w:bottom w:val="single" w:sz="4" w:space="0" w:color="auto"/>
              <w:right w:val="single" w:sz="4" w:space="0" w:color="auto"/>
            </w:tcBorders>
            <w:noWrap/>
            <w:hideMark/>
          </w:tcPr>
          <w:p w14:paraId="1BE1D5A3" w14:textId="77777777" w:rsidR="00092F8A" w:rsidRPr="00F567E1" w:rsidRDefault="00092F8A" w:rsidP="009A58EE">
            <w:pPr>
              <w:pStyle w:val="Normal-pool-Table"/>
              <w:jc w:val="right"/>
              <w:rPr>
                <w:szCs w:val="18"/>
                <w:lang w:val="es-ES_tradnl"/>
              </w:rPr>
            </w:pPr>
            <w:r w:rsidRPr="00F567E1">
              <w:rPr>
                <w:color w:val="000000"/>
                <w:lang w:val="es-ES_tradnl"/>
              </w:rPr>
              <w:t>0,007</w:t>
            </w:r>
          </w:p>
        </w:tc>
        <w:tc>
          <w:tcPr>
            <w:tcW w:w="1073" w:type="dxa"/>
            <w:tcBorders>
              <w:top w:val="nil"/>
              <w:left w:val="nil"/>
              <w:bottom w:val="single" w:sz="4" w:space="0" w:color="auto"/>
              <w:right w:val="single" w:sz="4" w:space="0" w:color="auto"/>
            </w:tcBorders>
            <w:noWrap/>
            <w:hideMark/>
          </w:tcPr>
          <w:p w14:paraId="41CD9F70"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086A61A2"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74304470"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ABE6C8D"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35F6CE0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1C1A3AC" w14:textId="25AC6250" w:rsidR="00092F8A" w:rsidRPr="00F567E1" w:rsidRDefault="00092F8A" w:rsidP="009A58EE">
            <w:pPr>
              <w:pStyle w:val="Normal-pool-Table"/>
              <w:rPr>
                <w:szCs w:val="18"/>
                <w:lang w:val="es-ES_tradnl"/>
              </w:rPr>
            </w:pPr>
            <w:r w:rsidRPr="00F567E1">
              <w:rPr>
                <w:color w:val="000000"/>
                <w:lang w:val="es-ES_tradnl"/>
              </w:rPr>
              <w:t>3</w:t>
            </w:r>
            <w:r w:rsidR="003B3B6B" w:rsidRPr="00F567E1">
              <w:rPr>
                <w:color w:val="000000"/>
                <w:lang w:val="es-ES_tradnl"/>
              </w:rPr>
              <w:t>1</w:t>
            </w:r>
          </w:p>
        </w:tc>
        <w:tc>
          <w:tcPr>
            <w:tcW w:w="2573" w:type="dxa"/>
            <w:tcBorders>
              <w:top w:val="nil"/>
              <w:left w:val="nil"/>
              <w:bottom w:val="single" w:sz="4" w:space="0" w:color="auto"/>
              <w:right w:val="single" w:sz="4" w:space="0" w:color="auto"/>
            </w:tcBorders>
            <w:noWrap/>
            <w:hideMark/>
          </w:tcPr>
          <w:p w14:paraId="4CB0C9B0" w14:textId="77777777" w:rsidR="00092F8A" w:rsidRPr="00F567E1" w:rsidRDefault="00092F8A" w:rsidP="009A58EE">
            <w:pPr>
              <w:pStyle w:val="Normal-pool-Table"/>
              <w:rPr>
                <w:szCs w:val="18"/>
                <w:lang w:val="es-ES_tradnl"/>
              </w:rPr>
            </w:pPr>
            <w:r w:rsidRPr="00F567E1">
              <w:rPr>
                <w:color w:val="000000"/>
                <w:lang w:val="es-ES_tradnl"/>
              </w:rPr>
              <w:t>Níger</w:t>
            </w:r>
          </w:p>
        </w:tc>
        <w:tc>
          <w:tcPr>
            <w:tcW w:w="1400" w:type="dxa"/>
            <w:tcBorders>
              <w:top w:val="nil"/>
              <w:left w:val="nil"/>
              <w:bottom w:val="single" w:sz="4" w:space="0" w:color="auto"/>
              <w:right w:val="single" w:sz="4" w:space="0" w:color="auto"/>
            </w:tcBorders>
            <w:noWrap/>
            <w:hideMark/>
          </w:tcPr>
          <w:p w14:paraId="3536345D" w14:textId="77777777" w:rsidR="00092F8A" w:rsidRPr="00F567E1" w:rsidRDefault="00092F8A" w:rsidP="009A58EE">
            <w:pPr>
              <w:pStyle w:val="Normal-pool-Table"/>
              <w:jc w:val="right"/>
              <w:rPr>
                <w:szCs w:val="18"/>
                <w:lang w:val="es-ES_tradnl"/>
              </w:rPr>
            </w:pPr>
            <w:r w:rsidRPr="00F567E1">
              <w:rPr>
                <w:color w:val="000000"/>
                <w:lang w:val="es-ES_tradnl"/>
              </w:rPr>
              <w:t>0,004</w:t>
            </w:r>
          </w:p>
        </w:tc>
        <w:tc>
          <w:tcPr>
            <w:tcW w:w="1073" w:type="dxa"/>
            <w:tcBorders>
              <w:top w:val="nil"/>
              <w:left w:val="nil"/>
              <w:bottom w:val="single" w:sz="4" w:space="0" w:color="auto"/>
              <w:right w:val="single" w:sz="4" w:space="0" w:color="auto"/>
            </w:tcBorders>
            <w:noWrap/>
            <w:hideMark/>
          </w:tcPr>
          <w:p w14:paraId="7B839BF0"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03024352"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8DD6175"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2FF06F9E"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7E4824A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84A40F0" w14:textId="17F17382" w:rsidR="00092F8A" w:rsidRPr="00F567E1" w:rsidRDefault="00092F8A" w:rsidP="009A58EE">
            <w:pPr>
              <w:pStyle w:val="Normal-pool-Table"/>
              <w:rPr>
                <w:szCs w:val="18"/>
                <w:lang w:val="es-ES_tradnl"/>
              </w:rPr>
            </w:pPr>
            <w:r w:rsidRPr="00F567E1">
              <w:rPr>
                <w:color w:val="000000"/>
                <w:lang w:val="es-ES_tradnl"/>
              </w:rPr>
              <w:t>3</w:t>
            </w:r>
            <w:r w:rsidR="003B3B6B" w:rsidRPr="00F567E1">
              <w:rPr>
                <w:color w:val="000000"/>
                <w:lang w:val="es-ES_tradnl"/>
              </w:rPr>
              <w:t>2</w:t>
            </w:r>
          </w:p>
        </w:tc>
        <w:tc>
          <w:tcPr>
            <w:tcW w:w="2573" w:type="dxa"/>
            <w:tcBorders>
              <w:top w:val="nil"/>
              <w:left w:val="nil"/>
              <w:bottom w:val="single" w:sz="4" w:space="0" w:color="auto"/>
              <w:right w:val="single" w:sz="4" w:space="0" w:color="auto"/>
            </w:tcBorders>
            <w:noWrap/>
            <w:hideMark/>
          </w:tcPr>
          <w:p w14:paraId="33AA124D" w14:textId="77777777" w:rsidR="00092F8A" w:rsidRPr="00F567E1" w:rsidRDefault="00092F8A" w:rsidP="009A58EE">
            <w:pPr>
              <w:pStyle w:val="Normal-pool-Table"/>
              <w:rPr>
                <w:szCs w:val="18"/>
                <w:lang w:val="es-ES_tradnl"/>
              </w:rPr>
            </w:pPr>
            <w:r w:rsidRPr="00F567E1">
              <w:rPr>
                <w:color w:val="000000"/>
                <w:lang w:val="es-ES_tradnl"/>
              </w:rPr>
              <w:t>Nigeria</w:t>
            </w:r>
          </w:p>
        </w:tc>
        <w:tc>
          <w:tcPr>
            <w:tcW w:w="1400" w:type="dxa"/>
            <w:tcBorders>
              <w:top w:val="nil"/>
              <w:left w:val="nil"/>
              <w:bottom w:val="single" w:sz="4" w:space="0" w:color="auto"/>
              <w:right w:val="single" w:sz="4" w:space="0" w:color="auto"/>
            </w:tcBorders>
            <w:noWrap/>
            <w:hideMark/>
          </w:tcPr>
          <w:p w14:paraId="1E8CE905" w14:textId="77777777" w:rsidR="00092F8A" w:rsidRPr="00F567E1" w:rsidRDefault="00092F8A" w:rsidP="009A58EE">
            <w:pPr>
              <w:pStyle w:val="Normal-pool-Table"/>
              <w:jc w:val="right"/>
              <w:rPr>
                <w:szCs w:val="18"/>
                <w:lang w:val="es-ES_tradnl"/>
              </w:rPr>
            </w:pPr>
            <w:r w:rsidRPr="00F567E1">
              <w:rPr>
                <w:color w:val="000000"/>
                <w:lang w:val="es-ES_tradnl"/>
              </w:rPr>
              <w:t>0,15</w:t>
            </w:r>
          </w:p>
        </w:tc>
        <w:tc>
          <w:tcPr>
            <w:tcW w:w="1073" w:type="dxa"/>
            <w:tcBorders>
              <w:top w:val="nil"/>
              <w:left w:val="nil"/>
              <w:bottom w:val="single" w:sz="4" w:space="0" w:color="auto"/>
              <w:right w:val="single" w:sz="4" w:space="0" w:color="auto"/>
            </w:tcBorders>
            <w:noWrap/>
            <w:hideMark/>
          </w:tcPr>
          <w:p w14:paraId="1ED41E83" w14:textId="77777777" w:rsidR="00092F8A" w:rsidRPr="00F567E1" w:rsidRDefault="00092F8A" w:rsidP="009A58EE">
            <w:pPr>
              <w:pStyle w:val="Normal-pool-Table"/>
              <w:jc w:val="right"/>
              <w:rPr>
                <w:szCs w:val="18"/>
                <w:lang w:val="es-ES_tradnl"/>
              </w:rPr>
            </w:pPr>
            <w:r w:rsidRPr="00F567E1">
              <w:rPr>
                <w:color w:val="000000"/>
                <w:lang w:val="es-ES_tradnl"/>
              </w:rPr>
              <w:t>0,1514</w:t>
            </w:r>
          </w:p>
        </w:tc>
        <w:tc>
          <w:tcPr>
            <w:tcW w:w="1293" w:type="dxa"/>
            <w:tcBorders>
              <w:top w:val="nil"/>
              <w:left w:val="nil"/>
              <w:bottom w:val="single" w:sz="4" w:space="0" w:color="auto"/>
              <w:right w:val="single" w:sz="4" w:space="0" w:color="auto"/>
            </w:tcBorders>
            <w:noWrap/>
            <w:hideMark/>
          </w:tcPr>
          <w:p w14:paraId="4AA35C2F" w14:textId="77777777" w:rsidR="00092F8A" w:rsidRPr="00F567E1" w:rsidRDefault="00092F8A" w:rsidP="009A58EE">
            <w:pPr>
              <w:pStyle w:val="Normal-pool-Table"/>
              <w:jc w:val="right"/>
              <w:rPr>
                <w:szCs w:val="18"/>
                <w:lang w:val="es-ES_tradnl"/>
              </w:rPr>
            </w:pPr>
            <w:r w:rsidRPr="00F567E1">
              <w:rPr>
                <w:color w:val="000000"/>
                <w:lang w:val="es-ES_tradnl"/>
              </w:rPr>
              <w:t>4 668</w:t>
            </w:r>
          </w:p>
        </w:tc>
        <w:tc>
          <w:tcPr>
            <w:tcW w:w="1293" w:type="dxa"/>
            <w:tcBorders>
              <w:top w:val="nil"/>
              <w:left w:val="nil"/>
              <w:bottom w:val="single" w:sz="4" w:space="0" w:color="auto"/>
              <w:right w:val="single" w:sz="4" w:space="0" w:color="auto"/>
            </w:tcBorders>
            <w:noWrap/>
            <w:hideMark/>
          </w:tcPr>
          <w:p w14:paraId="781453AF" w14:textId="77777777" w:rsidR="00092F8A" w:rsidRPr="00F567E1" w:rsidRDefault="00092F8A" w:rsidP="009A58EE">
            <w:pPr>
              <w:pStyle w:val="Normal-pool-Table"/>
              <w:jc w:val="right"/>
              <w:rPr>
                <w:szCs w:val="18"/>
                <w:lang w:val="es-ES_tradnl"/>
              </w:rPr>
            </w:pPr>
            <w:r w:rsidRPr="00F567E1">
              <w:rPr>
                <w:color w:val="000000"/>
                <w:lang w:val="es-ES_tradnl"/>
              </w:rPr>
              <w:t>6 161</w:t>
            </w:r>
          </w:p>
        </w:tc>
        <w:tc>
          <w:tcPr>
            <w:tcW w:w="1313" w:type="dxa"/>
            <w:tcBorders>
              <w:top w:val="nil"/>
              <w:left w:val="nil"/>
              <w:bottom w:val="single" w:sz="4" w:space="0" w:color="auto"/>
              <w:right w:val="single" w:sz="4" w:space="0" w:color="auto"/>
            </w:tcBorders>
            <w:noWrap/>
            <w:hideMark/>
          </w:tcPr>
          <w:p w14:paraId="3EDB4DE5" w14:textId="77777777" w:rsidR="00092F8A" w:rsidRPr="00F567E1" w:rsidRDefault="00092F8A" w:rsidP="009A58EE">
            <w:pPr>
              <w:pStyle w:val="Normal-pool-Table"/>
              <w:jc w:val="right"/>
              <w:rPr>
                <w:szCs w:val="18"/>
                <w:lang w:val="es-ES_tradnl"/>
              </w:rPr>
            </w:pPr>
            <w:r w:rsidRPr="00F567E1">
              <w:rPr>
                <w:color w:val="000000"/>
                <w:lang w:val="es-ES_tradnl"/>
              </w:rPr>
              <w:t>10 829</w:t>
            </w:r>
          </w:p>
        </w:tc>
      </w:tr>
      <w:tr w:rsidR="00092F8A" w:rsidRPr="00F567E1" w14:paraId="6FA8DC2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0B2178B" w14:textId="4E3FDD76" w:rsidR="00092F8A" w:rsidRPr="00F567E1" w:rsidRDefault="003B3B6B" w:rsidP="009A58EE">
            <w:pPr>
              <w:pStyle w:val="Normal-pool-Table"/>
              <w:rPr>
                <w:szCs w:val="18"/>
                <w:lang w:val="es-ES_tradnl"/>
              </w:rPr>
            </w:pPr>
            <w:r w:rsidRPr="00F567E1">
              <w:rPr>
                <w:color w:val="000000"/>
                <w:lang w:val="es-ES_tradnl"/>
              </w:rPr>
              <w:t>33</w:t>
            </w:r>
          </w:p>
        </w:tc>
        <w:tc>
          <w:tcPr>
            <w:tcW w:w="2573" w:type="dxa"/>
            <w:tcBorders>
              <w:top w:val="nil"/>
              <w:left w:val="nil"/>
              <w:bottom w:val="single" w:sz="4" w:space="0" w:color="auto"/>
              <w:right w:val="single" w:sz="4" w:space="0" w:color="auto"/>
            </w:tcBorders>
            <w:noWrap/>
            <w:hideMark/>
          </w:tcPr>
          <w:p w14:paraId="3B3E0E6E" w14:textId="77777777" w:rsidR="00092F8A" w:rsidRPr="00F567E1" w:rsidRDefault="00092F8A" w:rsidP="009A58EE">
            <w:pPr>
              <w:pStyle w:val="Normal-pool-Table"/>
              <w:rPr>
                <w:szCs w:val="18"/>
                <w:lang w:val="es-ES_tradnl"/>
              </w:rPr>
            </w:pPr>
            <w:r w:rsidRPr="00F567E1">
              <w:rPr>
                <w:color w:val="000000"/>
                <w:lang w:val="es-ES_tradnl"/>
              </w:rPr>
              <w:t>República Centroafricana</w:t>
            </w:r>
          </w:p>
        </w:tc>
        <w:tc>
          <w:tcPr>
            <w:tcW w:w="1400" w:type="dxa"/>
            <w:tcBorders>
              <w:top w:val="nil"/>
              <w:left w:val="nil"/>
              <w:bottom w:val="single" w:sz="4" w:space="0" w:color="auto"/>
              <w:right w:val="single" w:sz="4" w:space="0" w:color="auto"/>
            </w:tcBorders>
            <w:noWrap/>
            <w:hideMark/>
          </w:tcPr>
          <w:p w14:paraId="56BC711E"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164C7FF7"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0FD5E812"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1C34BD01"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2E438743"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3DE9FFB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C126A3B" w14:textId="6AC587E9" w:rsidR="00092F8A" w:rsidRPr="00F567E1" w:rsidRDefault="003B3B6B" w:rsidP="009A58EE">
            <w:pPr>
              <w:pStyle w:val="Normal-pool-Table"/>
              <w:rPr>
                <w:szCs w:val="18"/>
                <w:lang w:val="es-ES_tradnl"/>
              </w:rPr>
            </w:pPr>
            <w:r w:rsidRPr="00F567E1">
              <w:rPr>
                <w:color w:val="000000"/>
                <w:lang w:val="es-ES_tradnl"/>
              </w:rPr>
              <w:t>34</w:t>
            </w:r>
          </w:p>
        </w:tc>
        <w:tc>
          <w:tcPr>
            <w:tcW w:w="2573" w:type="dxa"/>
            <w:tcBorders>
              <w:top w:val="nil"/>
              <w:left w:val="nil"/>
              <w:bottom w:val="single" w:sz="4" w:space="0" w:color="auto"/>
              <w:right w:val="single" w:sz="4" w:space="0" w:color="auto"/>
            </w:tcBorders>
            <w:noWrap/>
            <w:hideMark/>
          </w:tcPr>
          <w:p w14:paraId="29823DC4" w14:textId="77777777" w:rsidR="00092F8A" w:rsidRPr="00F567E1" w:rsidRDefault="00092F8A" w:rsidP="009A58EE">
            <w:pPr>
              <w:pStyle w:val="Normal-pool-Table"/>
              <w:rPr>
                <w:szCs w:val="18"/>
                <w:lang w:val="es-ES_tradnl"/>
              </w:rPr>
            </w:pPr>
            <w:r w:rsidRPr="00F567E1">
              <w:rPr>
                <w:color w:val="000000"/>
                <w:lang w:val="es-ES_tradnl"/>
              </w:rPr>
              <w:t xml:space="preserve">República Unida de </w:t>
            </w:r>
            <w:proofErr w:type="spellStart"/>
            <w:r w:rsidRPr="00F567E1">
              <w:rPr>
                <w:color w:val="000000"/>
                <w:lang w:val="es-ES_tradnl"/>
              </w:rPr>
              <w:t>Tanzanía</w:t>
            </w:r>
            <w:proofErr w:type="spellEnd"/>
          </w:p>
        </w:tc>
        <w:tc>
          <w:tcPr>
            <w:tcW w:w="1400" w:type="dxa"/>
            <w:tcBorders>
              <w:top w:val="nil"/>
              <w:left w:val="nil"/>
              <w:bottom w:val="single" w:sz="4" w:space="0" w:color="auto"/>
              <w:right w:val="single" w:sz="4" w:space="0" w:color="auto"/>
            </w:tcBorders>
            <w:noWrap/>
            <w:hideMark/>
          </w:tcPr>
          <w:p w14:paraId="04884400" w14:textId="77777777" w:rsidR="00092F8A" w:rsidRPr="00F567E1" w:rsidRDefault="00092F8A" w:rsidP="009A58EE">
            <w:pPr>
              <w:pStyle w:val="Normal-pool-Table"/>
              <w:jc w:val="right"/>
              <w:rPr>
                <w:szCs w:val="18"/>
                <w:lang w:val="es-ES_tradnl"/>
              </w:rPr>
            </w:pPr>
            <w:r w:rsidRPr="00F567E1">
              <w:rPr>
                <w:color w:val="000000"/>
                <w:lang w:val="es-ES_tradnl"/>
              </w:rPr>
              <w:t>0,01</w:t>
            </w:r>
          </w:p>
        </w:tc>
        <w:tc>
          <w:tcPr>
            <w:tcW w:w="1073" w:type="dxa"/>
            <w:tcBorders>
              <w:top w:val="nil"/>
              <w:left w:val="nil"/>
              <w:bottom w:val="single" w:sz="4" w:space="0" w:color="auto"/>
              <w:right w:val="single" w:sz="4" w:space="0" w:color="auto"/>
            </w:tcBorders>
            <w:noWrap/>
            <w:hideMark/>
          </w:tcPr>
          <w:p w14:paraId="7AA56586" w14:textId="77777777" w:rsidR="00092F8A" w:rsidRPr="00F567E1" w:rsidRDefault="00092F8A" w:rsidP="009A58EE">
            <w:pPr>
              <w:pStyle w:val="Normal-pool-Table"/>
              <w:jc w:val="right"/>
              <w:rPr>
                <w:szCs w:val="18"/>
                <w:lang w:val="es-ES_tradnl"/>
              </w:rPr>
            </w:pPr>
            <w:r w:rsidRPr="00F567E1">
              <w:rPr>
                <w:color w:val="000000"/>
                <w:lang w:val="es-ES_tradnl"/>
              </w:rPr>
              <w:t>0,0101</w:t>
            </w:r>
          </w:p>
        </w:tc>
        <w:tc>
          <w:tcPr>
            <w:tcW w:w="1293" w:type="dxa"/>
            <w:tcBorders>
              <w:top w:val="nil"/>
              <w:left w:val="nil"/>
              <w:bottom w:val="single" w:sz="4" w:space="0" w:color="auto"/>
              <w:right w:val="single" w:sz="4" w:space="0" w:color="auto"/>
            </w:tcBorders>
            <w:noWrap/>
            <w:hideMark/>
          </w:tcPr>
          <w:p w14:paraId="3634C85B" w14:textId="77777777" w:rsidR="00092F8A" w:rsidRPr="00F567E1" w:rsidRDefault="00092F8A" w:rsidP="009A58EE">
            <w:pPr>
              <w:pStyle w:val="Normal-pool-Table"/>
              <w:jc w:val="right"/>
              <w:rPr>
                <w:szCs w:val="18"/>
                <w:lang w:val="es-ES_tradnl"/>
              </w:rPr>
            </w:pPr>
            <w:r w:rsidRPr="00F567E1">
              <w:rPr>
                <w:color w:val="000000"/>
                <w:lang w:val="es-ES_tradnl"/>
              </w:rPr>
              <w:t>311</w:t>
            </w:r>
          </w:p>
        </w:tc>
        <w:tc>
          <w:tcPr>
            <w:tcW w:w="1293" w:type="dxa"/>
            <w:tcBorders>
              <w:top w:val="nil"/>
              <w:left w:val="nil"/>
              <w:bottom w:val="single" w:sz="4" w:space="0" w:color="auto"/>
              <w:right w:val="single" w:sz="4" w:space="0" w:color="auto"/>
            </w:tcBorders>
            <w:noWrap/>
            <w:hideMark/>
          </w:tcPr>
          <w:p w14:paraId="21F71C82" w14:textId="77777777" w:rsidR="00092F8A" w:rsidRPr="00F567E1" w:rsidRDefault="00092F8A" w:rsidP="009A58EE">
            <w:pPr>
              <w:pStyle w:val="Normal-pool-Table"/>
              <w:jc w:val="right"/>
              <w:rPr>
                <w:szCs w:val="18"/>
                <w:lang w:val="es-ES_tradnl"/>
              </w:rPr>
            </w:pPr>
            <w:r w:rsidRPr="00F567E1">
              <w:rPr>
                <w:color w:val="000000"/>
                <w:lang w:val="es-ES_tradnl"/>
              </w:rPr>
              <w:t>411</w:t>
            </w:r>
          </w:p>
        </w:tc>
        <w:tc>
          <w:tcPr>
            <w:tcW w:w="1313" w:type="dxa"/>
            <w:tcBorders>
              <w:top w:val="nil"/>
              <w:left w:val="nil"/>
              <w:bottom w:val="single" w:sz="4" w:space="0" w:color="auto"/>
              <w:right w:val="single" w:sz="4" w:space="0" w:color="auto"/>
            </w:tcBorders>
            <w:noWrap/>
            <w:hideMark/>
          </w:tcPr>
          <w:p w14:paraId="200D6BB7" w14:textId="77777777" w:rsidR="00092F8A" w:rsidRPr="00F567E1" w:rsidRDefault="00092F8A" w:rsidP="009A58EE">
            <w:pPr>
              <w:pStyle w:val="Normal-pool-Table"/>
              <w:jc w:val="right"/>
              <w:rPr>
                <w:szCs w:val="18"/>
                <w:lang w:val="es-ES_tradnl"/>
              </w:rPr>
            </w:pPr>
            <w:r w:rsidRPr="00F567E1">
              <w:rPr>
                <w:color w:val="000000"/>
                <w:lang w:val="es-ES_tradnl"/>
              </w:rPr>
              <w:t>722</w:t>
            </w:r>
          </w:p>
        </w:tc>
      </w:tr>
      <w:tr w:rsidR="00092F8A" w:rsidRPr="00F567E1" w14:paraId="0F20CE7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5038D62" w14:textId="7ADCB9F5" w:rsidR="00092F8A" w:rsidRPr="00F567E1" w:rsidRDefault="00092F8A" w:rsidP="009A58EE">
            <w:pPr>
              <w:pStyle w:val="Normal-pool-Table"/>
              <w:rPr>
                <w:szCs w:val="18"/>
                <w:lang w:val="es-ES_tradnl"/>
              </w:rPr>
            </w:pPr>
            <w:r w:rsidRPr="00F567E1">
              <w:rPr>
                <w:color w:val="000000"/>
                <w:lang w:val="es-ES_tradnl"/>
              </w:rPr>
              <w:t>3</w:t>
            </w:r>
            <w:r w:rsidR="003B3B6B" w:rsidRPr="00F567E1">
              <w:rPr>
                <w:color w:val="000000"/>
                <w:lang w:val="es-ES_tradnl"/>
              </w:rPr>
              <w:t>5</w:t>
            </w:r>
          </w:p>
        </w:tc>
        <w:tc>
          <w:tcPr>
            <w:tcW w:w="2573" w:type="dxa"/>
            <w:tcBorders>
              <w:top w:val="nil"/>
              <w:left w:val="nil"/>
              <w:bottom w:val="single" w:sz="4" w:space="0" w:color="auto"/>
              <w:right w:val="single" w:sz="4" w:space="0" w:color="auto"/>
            </w:tcBorders>
            <w:noWrap/>
            <w:hideMark/>
          </w:tcPr>
          <w:p w14:paraId="0453BF26" w14:textId="77777777" w:rsidR="00092F8A" w:rsidRPr="00F567E1" w:rsidRDefault="00092F8A" w:rsidP="009A58EE">
            <w:pPr>
              <w:pStyle w:val="Normal-pool-Table"/>
              <w:rPr>
                <w:szCs w:val="18"/>
                <w:lang w:val="es-ES_tradnl"/>
              </w:rPr>
            </w:pPr>
            <w:r w:rsidRPr="00F567E1">
              <w:rPr>
                <w:color w:val="000000"/>
                <w:lang w:val="es-ES_tradnl"/>
              </w:rPr>
              <w:t>Rwanda</w:t>
            </w:r>
          </w:p>
        </w:tc>
        <w:tc>
          <w:tcPr>
            <w:tcW w:w="1400" w:type="dxa"/>
            <w:tcBorders>
              <w:top w:val="nil"/>
              <w:left w:val="nil"/>
              <w:bottom w:val="single" w:sz="4" w:space="0" w:color="auto"/>
              <w:right w:val="single" w:sz="4" w:space="0" w:color="auto"/>
            </w:tcBorders>
            <w:noWrap/>
            <w:hideMark/>
          </w:tcPr>
          <w:p w14:paraId="1BD8C06A" w14:textId="77777777" w:rsidR="00092F8A" w:rsidRPr="00F567E1" w:rsidRDefault="00092F8A" w:rsidP="009A58EE">
            <w:pPr>
              <w:pStyle w:val="Normal-pool-Table"/>
              <w:jc w:val="right"/>
              <w:rPr>
                <w:szCs w:val="18"/>
                <w:lang w:val="es-ES_tradnl"/>
              </w:rPr>
            </w:pPr>
            <w:r w:rsidRPr="00F567E1">
              <w:rPr>
                <w:color w:val="000000"/>
                <w:lang w:val="es-ES_tradnl"/>
              </w:rPr>
              <w:t>0,003</w:t>
            </w:r>
          </w:p>
        </w:tc>
        <w:tc>
          <w:tcPr>
            <w:tcW w:w="1073" w:type="dxa"/>
            <w:tcBorders>
              <w:top w:val="nil"/>
              <w:left w:val="nil"/>
              <w:bottom w:val="single" w:sz="4" w:space="0" w:color="auto"/>
              <w:right w:val="single" w:sz="4" w:space="0" w:color="auto"/>
            </w:tcBorders>
            <w:noWrap/>
            <w:hideMark/>
          </w:tcPr>
          <w:p w14:paraId="655A7168"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9BD86E2"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6EC7FB7"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49EC73BC"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327B921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89E470E" w14:textId="505B9D23" w:rsidR="00092F8A" w:rsidRPr="00F567E1" w:rsidRDefault="00092F8A" w:rsidP="009A58EE">
            <w:pPr>
              <w:pStyle w:val="Normal-pool-Table"/>
              <w:rPr>
                <w:szCs w:val="18"/>
                <w:lang w:val="es-ES_tradnl"/>
              </w:rPr>
            </w:pPr>
            <w:r w:rsidRPr="00F567E1">
              <w:rPr>
                <w:color w:val="000000"/>
                <w:lang w:val="es-ES_tradnl"/>
              </w:rPr>
              <w:t>3</w:t>
            </w:r>
            <w:r w:rsidR="003B3B6B" w:rsidRPr="00F567E1">
              <w:rPr>
                <w:color w:val="000000"/>
                <w:lang w:val="es-ES_tradnl"/>
              </w:rPr>
              <w:t>6</w:t>
            </w:r>
          </w:p>
        </w:tc>
        <w:tc>
          <w:tcPr>
            <w:tcW w:w="2573" w:type="dxa"/>
            <w:tcBorders>
              <w:top w:val="nil"/>
              <w:left w:val="nil"/>
              <w:bottom w:val="single" w:sz="4" w:space="0" w:color="auto"/>
              <w:right w:val="single" w:sz="4" w:space="0" w:color="auto"/>
            </w:tcBorders>
            <w:noWrap/>
            <w:hideMark/>
          </w:tcPr>
          <w:p w14:paraId="6B18E662" w14:textId="77777777" w:rsidR="00092F8A" w:rsidRPr="00F567E1" w:rsidRDefault="00092F8A" w:rsidP="009A58EE">
            <w:pPr>
              <w:pStyle w:val="Normal-pool-Table"/>
              <w:rPr>
                <w:szCs w:val="18"/>
                <w:lang w:val="es-ES_tradnl"/>
              </w:rPr>
            </w:pPr>
            <w:r w:rsidRPr="00F567E1">
              <w:rPr>
                <w:color w:val="000000"/>
                <w:lang w:val="es-ES_tradnl"/>
              </w:rPr>
              <w:t>Santo Tomé y Príncipe</w:t>
            </w:r>
          </w:p>
        </w:tc>
        <w:tc>
          <w:tcPr>
            <w:tcW w:w="1400" w:type="dxa"/>
            <w:tcBorders>
              <w:top w:val="nil"/>
              <w:left w:val="nil"/>
              <w:bottom w:val="single" w:sz="4" w:space="0" w:color="auto"/>
              <w:right w:val="single" w:sz="4" w:space="0" w:color="auto"/>
            </w:tcBorders>
            <w:noWrap/>
            <w:hideMark/>
          </w:tcPr>
          <w:p w14:paraId="354B3902"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21D6E1DD"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4BA3907C"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CEABD89"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4761E77"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264BACB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99FAA62" w14:textId="7C9DD2EB" w:rsidR="00092F8A" w:rsidRPr="00F567E1" w:rsidRDefault="00092F8A" w:rsidP="009A58EE">
            <w:pPr>
              <w:pStyle w:val="Normal-pool-Table"/>
              <w:rPr>
                <w:szCs w:val="18"/>
                <w:lang w:val="es-ES_tradnl"/>
              </w:rPr>
            </w:pPr>
            <w:r w:rsidRPr="00F567E1">
              <w:rPr>
                <w:color w:val="000000"/>
                <w:lang w:val="es-ES_tradnl"/>
              </w:rPr>
              <w:t>3</w:t>
            </w:r>
            <w:r w:rsidR="003B3B6B" w:rsidRPr="00F567E1">
              <w:rPr>
                <w:color w:val="000000"/>
                <w:lang w:val="es-ES_tradnl"/>
              </w:rPr>
              <w:t>7</w:t>
            </w:r>
          </w:p>
        </w:tc>
        <w:tc>
          <w:tcPr>
            <w:tcW w:w="2573" w:type="dxa"/>
            <w:tcBorders>
              <w:top w:val="nil"/>
              <w:left w:val="nil"/>
              <w:bottom w:val="single" w:sz="4" w:space="0" w:color="auto"/>
              <w:right w:val="single" w:sz="4" w:space="0" w:color="auto"/>
            </w:tcBorders>
            <w:noWrap/>
            <w:hideMark/>
          </w:tcPr>
          <w:p w14:paraId="0D585662" w14:textId="77777777" w:rsidR="00092F8A" w:rsidRPr="00F567E1" w:rsidRDefault="00092F8A" w:rsidP="009A58EE">
            <w:pPr>
              <w:pStyle w:val="Normal-pool-Table"/>
              <w:rPr>
                <w:szCs w:val="18"/>
                <w:lang w:val="es-ES_tradnl"/>
              </w:rPr>
            </w:pPr>
            <w:r w:rsidRPr="00F567E1">
              <w:rPr>
                <w:color w:val="000000"/>
                <w:lang w:val="es-ES_tradnl"/>
              </w:rPr>
              <w:t>Senegal</w:t>
            </w:r>
          </w:p>
        </w:tc>
        <w:tc>
          <w:tcPr>
            <w:tcW w:w="1400" w:type="dxa"/>
            <w:tcBorders>
              <w:top w:val="nil"/>
              <w:left w:val="nil"/>
              <w:bottom w:val="single" w:sz="4" w:space="0" w:color="auto"/>
              <w:right w:val="single" w:sz="4" w:space="0" w:color="auto"/>
            </w:tcBorders>
            <w:noWrap/>
            <w:hideMark/>
          </w:tcPr>
          <w:p w14:paraId="10F6ACD8" w14:textId="77777777" w:rsidR="00092F8A" w:rsidRPr="00F567E1" w:rsidRDefault="00092F8A" w:rsidP="009A58EE">
            <w:pPr>
              <w:pStyle w:val="Normal-pool-Table"/>
              <w:jc w:val="right"/>
              <w:rPr>
                <w:szCs w:val="18"/>
                <w:lang w:val="es-ES_tradnl"/>
              </w:rPr>
            </w:pPr>
            <w:r w:rsidRPr="00F567E1">
              <w:rPr>
                <w:color w:val="000000"/>
                <w:lang w:val="es-ES_tradnl"/>
              </w:rPr>
              <w:t>0,007</w:t>
            </w:r>
          </w:p>
        </w:tc>
        <w:tc>
          <w:tcPr>
            <w:tcW w:w="1073" w:type="dxa"/>
            <w:tcBorders>
              <w:top w:val="nil"/>
              <w:left w:val="nil"/>
              <w:bottom w:val="single" w:sz="4" w:space="0" w:color="auto"/>
              <w:right w:val="single" w:sz="4" w:space="0" w:color="auto"/>
            </w:tcBorders>
            <w:noWrap/>
            <w:hideMark/>
          </w:tcPr>
          <w:p w14:paraId="625199A2"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6F7FBA69"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121F30D4"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51A0F108"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7585B86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02D4557" w14:textId="2E2671C1" w:rsidR="00092F8A" w:rsidRPr="00F567E1" w:rsidRDefault="00092F8A" w:rsidP="009A58EE">
            <w:pPr>
              <w:pStyle w:val="Normal-pool-Table"/>
              <w:rPr>
                <w:szCs w:val="18"/>
                <w:lang w:val="es-ES_tradnl"/>
              </w:rPr>
            </w:pPr>
            <w:r w:rsidRPr="00F567E1">
              <w:rPr>
                <w:color w:val="000000"/>
                <w:lang w:val="es-ES_tradnl"/>
              </w:rPr>
              <w:t>3</w:t>
            </w:r>
            <w:r w:rsidR="003B3B6B" w:rsidRPr="00F567E1">
              <w:rPr>
                <w:color w:val="000000"/>
                <w:lang w:val="es-ES_tradnl"/>
              </w:rPr>
              <w:t>8</w:t>
            </w:r>
          </w:p>
        </w:tc>
        <w:tc>
          <w:tcPr>
            <w:tcW w:w="2573" w:type="dxa"/>
            <w:tcBorders>
              <w:top w:val="nil"/>
              <w:left w:val="nil"/>
              <w:bottom w:val="single" w:sz="4" w:space="0" w:color="auto"/>
              <w:right w:val="single" w:sz="4" w:space="0" w:color="auto"/>
            </w:tcBorders>
            <w:noWrap/>
            <w:hideMark/>
          </w:tcPr>
          <w:p w14:paraId="23C9ED2E" w14:textId="77777777" w:rsidR="00092F8A" w:rsidRPr="00F567E1" w:rsidRDefault="00092F8A" w:rsidP="009A58EE">
            <w:pPr>
              <w:pStyle w:val="Normal-pool-Table"/>
              <w:rPr>
                <w:szCs w:val="18"/>
                <w:lang w:val="es-ES_tradnl"/>
              </w:rPr>
            </w:pPr>
            <w:r w:rsidRPr="00F567E1">
              <w:rPr>
                <w:color w:val="000000"/>
                <w:lang w:val="es-ES_tradnl"/>
              </w:rPr>
              <w:t>Seychelles</w:t>
            </w:r>
          </w:p>
        </w:tc>
        <w:tc>
          <w:tcPr>
            <w:tcW w:w="1400" w:type="dxa"/>
            <w:tcBorders>
              <w:top w:val="nil"/>
              <w:left w:val="nil"/>
              <w:bottom w:val="single" w:sz="4" w:space="0" w:color="auto"/>
              <w:right w:val="single" w:sz="4" w:space="0" w:color="auto"/>
            </w:tcBorders>
            <w:noWrap/>
            <w:hideMark/>
          </w:tcPr>
          <w:p w14:paraId="149CB7A2" w14:textId="77777777" w:rsidR="00092F8A" w:rsidRPr="00F567E1" w:rsidRDefault="00092F8A" w:rsidP="009A58EE">
            <w:pPr>
              <w:pStyle w:val="Normal-pool-Table"/>
              <w:jc w:val="right"/>
              <w:rPr>
                <w:szCs w:val="18"/>
                <w:lang w:val="es-ES_tradnl"/>
              </w:rPr>
            </w:pPr>
            <w:r w:rsidRPr="00F567E1">
              <w:rPr>
                <w:color w:val="000000"/>
                <w:lang w:val="es-ES_tradnl"/>
              </w:rPr>
              <w:t>0,002</w:t>
            </w:r>
          </w:p>
        </w:tc>
        <w:tc>
          <w:tcPr>
            <w:tcW w:w="1073" w:type="dxa"/>
            <w:tcBorders>
              <w:top w:val="nil"/>
              <w:left w:val="nil"/>
              <w:bottom w:val="single" w:sz="4" w:space="0" w:color="auto"/>
              <w:right w:val="single" w:sz="4" w:space="0" w:color="auto"/>
            </w:tcBorders>
            <w:noWrap/>
            <w:hideMark/>
          </w:tcPr>
          <w:p w14:paraId="5B3D84FC"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6223AE28"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DDD22FB"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793A09E"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6997B9A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5FFE338" w14:textId="1671AC42" w:rsidR="00092F8A" w:rsidRPr="00F567E1" w:rsidRDefault="00092F8A" w:rsidP="009A58EE">
            <w:pPr>
              <w:pStyle w:val="Normal-pool-Table"/>
              <w:rPr>
                <w:szCs w:val="18"/>
                <w:lang w:val="es-ES_tradnl"/>
              </w:rPr>
            </w:pPr>
            <w:r w:rsidRPr="00F567E1">
              <w:rPr>
                <w:color w:val="000000"/>
                <w:lang w:val="es-ES_tradnl"/>
              </w:rPr>
              <w:lastRenderedPageBreak/>
              <w:t>3</w:t>
            </w:r>
            <w:r w:rsidR="003B3B6B" w:rsidRPr="00F567E1">
              <w:rPr>
                <w:color w:val="000000"/>
                <w:lang w:val="es-ES_tradnl"/>
              </w:rPr>
              <w:t>9</w:t>
            </w:r>
          </w:p>
        </w:tc>
        <w:tc>
          <w:tcPr>
            <w:tcW w:w="2573" w:type="dxa"/>
            <w:tcBorders>
              <w:top w:val="nil"/>
              <w:left w:val="nil"/>
              <w:bottom w:val="single" w:sz="4" w:space="0" w:color="auto"/>
              <w:right w:val="single" w:sz="4" w:space="0" w:color="auto"/>
            </w:tcBorders>
            <w:noWrap/>
            <w:hideMark/>
          </w:tcPr>
          <w:p w14:paraId="64BC9DCE" w14:textId="77777777" w:rsidR="00092F8A" w:rsidRPr="00F567E1" w:rsidRDefault="00092F8A" w:rsidP="009A58EE">
            <w:pPr>
              <w:pStyle w:val="Normal-pool-Table"/>
              <w:rPr>
                <w:szCs w:val="18"/>
                <w:lang w:val="es-ES_tradnl"/>
              </w:rPr>
            </w:pPr>
            <w:r w:rsidRPr="00F567E1">
              <w:rPr>
                <w:color w:val="000000"/>
                <w:lang w:val="es-ES_tradnl"/>
              </w:rPr>
              <w:t>Sierra Leona</w:t>
            </w:r>
          </w:p>
        </w:tc>
        <w:tc>
          <w:tcPr>
            <w:tcW w:w="1400" w:type="dxa"/>
            <w:tcBorders>
              <w:top w:val="nil"/>
              <w:left w:val="nil"/>
              <w:bottom w:val="single" w:sz="4" w:space="0" w:color="auto"/>
              <w:right w:val="single" w:sz="4" w:space="0" w:color="auto"/>
            </w:tcBorders>
            <w:noWrap/>
            <w:hideMark/>
          </w:tcPr>
          <w:p w14:paraId="32FEC619" w14:textId="77777777" w:rsidR="00092F8A" w:rsidRPr="00F567E1" w:rsidRDefault="00092F8A"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730273E3"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4024BE41"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CA3A7F1"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0D6EAAB6"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522FC28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CB9CB40" w14:textId="4825E301" w:rsidR="00092F8A" w:rsidRPr="00F567E1" w:rsidRDefault="003B3B6B" w:rsidP="009A58EE">
            <w:pPr>
              <w:pStyle w:val="Normal-pool-Table"/>
              <w:rPr>
                <w:szCs w:val="18"/>
                <w:lang w:val="es-ES_tradnl"/>
              </w:rPr>
            </w:pPr>
            <w:r w:rsidRPr="00F567E1">
              <w:rPr>
                <w:color w:val="000000"/>
                <w:lang w:val="es-ES_tradnl"/>
              </w:rPr>
              <w:t>40</w:t>
            </w:r>
          </w:p>
        </w:tc>
        <w:tc>
          <w:tcPr>
            <w:tcW w:w="2573" w:type="dxa"/>
            <w:tcBorders>
              <w:top w:val="nil"/>
              <w:left w:val="nil"/>
              <w:bottom w:val="single" w:sz="4" w:space="0" w:color="auto"/>
              <w:right w:val="single" w:sz="4" w:space="0" w:color="auto"/>
            </w:tcBorders>
            <w:noWrap/>
            <w:hideMark/>
          </w:tcPr>
          <w:p w14:paraId="7EB74E0F" w14:textId="77777777" w:rsidR="00092F8A" w:rsidRPr="00F567E1" w:rsidRDefault="00092F8A" w:rsidP="009A58EE">
            <w:pPr>
              <w:pStyle w:val="Normal-pool-Table"/>
              <w:rPr>
                <w:szCs w:val="18"/>
                <w:lang w:val="es-ES_tradnl"/>
              </w:rPr>
            </w:pPr>
            <w:r w:rsidRPr="00F567E1">
              <w:rPr>
                <w:color w:val="000000"/>
                <w:lang w:val="es-ES_tradnl"/>
              </w:rPr>
              <w:t>Sudáfrica</w:t>
            </w:r>
          </w:p>
        </w:tc>
        <w:tc>
          <w:tcPr>
            <w:tcW w:w="1400" w:type="dxa"/>
            <w:tcBorders>
              <w:top w:val="nil"/>
              <w:left w:val="nil"/>
              <w:bottom w:val="single" w:sz="4" w:space="0" w:color="auto"/>
              <w:right w:val="single" w:sz="4" w:space="0" w:color="auto"/>
            </w:tcBorders>
            <w:noWrap/>
            <w:hideMark/>
          </w:tcPr>
          <w:p w14:paraId="593A805F" w14:textId="77777777" w:rsidR="00092F8A" w:rsidRPr="00F567E1" w:rsidRDefault="00092F8A" w:rsidP="009A58EE">
            <w:pPr>
              <w:pStyle w:val="Normal-pool-Table"/>
              <w:jc w:val="right"/>
              <w:rPr>
                <w:szCs w:val="18"/>
                <w:lang w:val="es-ES_tradnl"/>
              </w:rPr>
            </w:pPr>
            <w:r w:rsidRPr="00F567E1">
              <w:rPr>
                <w:color w:val="000000"/>
                <w:lang w:val="es-ES_tradnl"/>
              </w:rPr>
              <w:t>0,251</w:t>
            </w:r>
          </w:p>
        </w:tc>
        <w:tc>
          <w:tcPr>
            <w:tcW w:w="1073" w:type="dxa"/>
            <w:tcBorders>
              <w:top w:val="nil"/>
              <w:left w:val="nil"/>
              <w:bottom w:val="single" w:sz="4" w:space="0" w:color="auto"/>
              <w:right w:val="single" w:sz="4" w:space="0" w:color="auto"/>
            </w:tcBorders>
            <w:noWrap/>
            <w:hideMark/>
          </w:tcPr>
          <w:p w14:paraId="345B9E25" w14:textId="77777777" w:rsidR="00092F8A" w:rsidRPr="00F567E1" w:rsidRDefault="00092F8A" w:rsidP="009A58EE">
            <w:pPr>
              <w:pStyle w:val="Normal-pool-Table"/>
              <w:jc w:val="right"/>
              <w:rPr>
                <w:szCs w:val="18"/>
                <w:lang w:val="es-ES_tradnl"/>
              </w:rPr>
            </w:pPr>
            <w:r w:rsidRPr="00F567E1">
              <w:rPr>
                <w:color w:val="000000"/>
                <w:lang w:val="es-ES_tradnl"/>
              </w:rPr>
              <w:t>0,2533</w:t>
            </w:r>
          </w:p>
        </w:tc>
        <w:tc>
          <w:tcPr>
            <w:tcW w:w="1293" w:type="dxa"/>
            <w:tcBorders>
              <w:top w:val="nil"/>
              <w:left w:val="nil"/>
              <w:bottom w:val="single" w:sz="4" w:space="0" w:color="auto"/>
              <w:right w:val="single" w:sz="4" w:space="0" w:color="auto"/>
            </w:tcBorders>
            <w:noWrap/>
            <w:hideMark/>
          </w:tcPr>
          <w:p w14:paraId="39CEBEEB" w14:textId="77777777" w:rsidR="00092F8A" w:rsidRPr="00F567E1" w:rsidRDefault="00092F8A" w:rsidP="009A58EE">
            <w:pPr>
              <w:pStyle w:val="Normal-pool-Table"/>
              <w:jc w:val="right"/>
              <w:rPr>
                <w:szCs w:val="18"/>
                <w:lang w:val="es-ES_tradnl"/>
              </w:rPr>
            </w:pPr>
            <w:r w:rsidRPr="00F567E1">
              <w:rPr>
                <w:color w:val="000000"/>
                <w:lang w:val="es-ES_tradnl"/>
              </w:rPr>
              <w:t>7 811</w:t>
            </w:r>
          </w:p>
        </w:tc>
        <w:tc>
          <w:tcPr>
            <w:tcW w:w="1293" w:type="dxa"/>
            <w:tcBorders>
              <w:top w:val="nil"/>
              <w:left w:val="nil"/>
              <w:bottom w:val="single" w:sz="4" w:space="0" w:color="auto"/>
              <w:right w:val="single" w:sz="4" w:space="0" w:color="auto"/>
            </w:tcBorders>
            <w:noWrap/>
            <w:hideMark/>
          </w:tcPr>
          <w:p w14:paraId="4B7F102B" w14:textId="77777777" w:rsidR="00092F8A" w:rsidRPr="00F567E1" w:rsidRDefault="00092F8A" w:rsidP="009A58EE">
            <w:pPr>
              <w:pStyle w:val="Normal-pool-Table"/>
              <w:jc w:val="right"/>
              <w:rPr>
                <w:szCs w:val="18"/>
                <w:lang w:val="es-ES_tradnl"/>
              </w:rPr>
            </w:pPr>
            <w:r w:rsidRPr="00F567E1">
              <w:rPr>
                <w:color w:val="000000"/>
                <w:lang w:val="es-ES_tradnl"/>
              </w:rPr>
              <w:t>10 309</w:t>
            </w:r>
          </w:p>
        </w:tc>
        <w:tc>
          <w:tcPr>
            <w:tcW w:w="1313" w:type="dxa"/>
            <w:tcBorders>
              <w:top w:val="nil"/>
              <w:left w:val="nil"/>
              <w:bottom w:val="single" w:sz="4" w:space="0" w:color="auto"/>
              <w:right w:val="single" w:sz="4" w:space="0" w:color="auto"/>
            </w:tcBorders>
            <w:noWrap/>
            <w:hideMark/>
          </w:tcPr>
          <w:p w14:paraId="649C1072" w14:textId="77777777" w:rsidR="00092F8A" w:rsidRPr="00F567E1" w:rsidRDefault="00092F8A" w:rsidP="009A58EE">
            <w:pPr>
              <w:pStyle w:val="Normal-pool-Table"/>
              <w:jc w:val="right"/>
              <w:rPr>
                <w:szCs w:val="18"/>
                <w:lang w:val="es-ES_tradnl"/>
              </w:rPr>
            </w:pPr>
            <w:r w:rsidRPr="00F567E1">
              <w:rPr>
                <w:color w:val="000000"/>
                <w:lang w:val="es-ES_tradnl"/>
              </w:rPr>
              <w:t>18 120</w:t>
            </w:r>
          </w:p>
        </w:tc>
      </w:tr>
      <w:tr w:rsidR="00092F8A" w:rsidRPr="00F567E1" w14:paraId="7753735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D476C99" w14:textId="58D8EF6A" w:rsidR="00092F8A" w:rsidRPr="00F567E1" w:rsidRDefault="00092F8A" w:rsidP="009A58EE">
            <w:pPr>
              <w:pStyle w:val="Normal-pool-Table"/>
              <w:rPr>
                <w:szCs w:val="18"/>
                <w:lang w:val="es-ES_tradnl"/>
              </w:rPr>
            </w:pPr>
            <w:r w:rsidRPr="00F567E1">
              <w:rPr>
                <w:color w:val="000000"/>
                <w:lang w:val="es-ES_tradnl"/>
              </w:rPr>
              <w:t>4</w:t>
            </w:r>
            <w:r w:rsidR="003B3B6B" w:rsidRPr="00F567E1">
              <w:rPr>
                <w:color w:val="000000"/>
                <w:lang w:val="es-ES_tradnl"/>
              </w:rPr>
              <w:t>1</w:t>
            </w:r>
          </w:p>
        </w:tc>
        <w:tc>
          <w:tcPr>
            <w:tcW w:w="2573" w:type="dxa"/>
            <w:tcBorders>
              <w:top w:val="nil"/>
              <w:left w:val="nil"/>
              <w:bottom w:val="single" w:sz="4" w:space="0" w:color="auto"/>
              <w:right w:val="single" w:sz="4" w:space="0" w:color="auto"/>
            </w:tcBorders>
            <w:noWrap/>
            <w:hideMark/>
          </w:tcPr>
          <w:p w14:paraId="081DE71A" w14:textId="77777777" w:rsidR="00092F8A" w:rsidRPr="00F567E1" w:rsidRDefault="00092F8A" w:rsidP="009A58EE">
            <w:pPr>
              <w:pStyle w:val="Normal-pool-Table"/>
              <w:rPr>
                <w:szCs w:val="18"/>
                <w:lang w:val="es-ES_tradnl"/>
              </w:rPr>
            </w:pPr>
            <w:r w:rsidRPr="00F567E1">
              <w:rPr>
                <w:color w:val="000000"/>
                <w:lang w:val="es-ES_tradnl"/>
              </w:rPr>
              <w:t>Togo</w:t>
            </w:r>
          </w:p>
        </w:tc>
        <w:tc>
          <w:tcPr>
            <w:tcW w:w="1400" w:type="dxa"/>
            <w:tcBorders>
              <w:top w:val="nil"/>
              <w:left w:val="nil"/>
              <w:bottom w:val="single" w:sz="4" w:space="0" w:color="auto"/>
              <w:right w:val="single" w:sz="4" w:space="0" w:color="auto"/>
            </w:tcBorders>
            <w:noWrap/>
            <w:hideMark/>
          </w:tcPr>
          <w:p w14:paraId="7E3788CA" w14:textId="77777777" w:rsidR="00092F8A" w:rsidRPr="00F567E1" w:rsidRDefault="00092F8A" w:rsidP="009A58EE">
            <w:pPr>
              <w:pStyle w:val="Normal-pool-Table"/>
              <w:jc w:val="right"/>
              <w:rPr>
                <w:szCs w:val="18"/>
                <w:lang w:val="es-ES_tradnl"/>
              </w:rPr>
            </w:pPr>
            <w:r w:rsidRPr="00F567E1">
              <w:rPr>
                <w:color w:val="000000"/>
                <w:lang w:val="es-ES_tradnl"/>
              </w:rPr>
              <w:t>0,002</w:t>
            </w:r>
          </w:p>
        </w:tc>
        <w:tc>
          <w:tcPr>
            <w:tcW w:w="1073" w:type="dxa"/>
            <w:tcBorders>
              <w:top w:val="nil"/>
              <w:left w:val="nil"/>
              <w:bottom w:val="single" w:sz="4" w:space="0" w:color="auto"/>
              <w:right w:val="single" w:sz="4" w:space="0" w:color="auto"/>
            </w:tcBorders>
            <w:noWrap/>
            <w:hideMark/>
          </w:tcPr>
          <w:p w14:paraId="33879E00"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74C54023"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4E3A6C42"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2580F65"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737D30C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77D1F7B" w14:textId="7580CC42" w:rsidR="00092F8A" w:rsidRPr="00F567E1" w:rsidRDefault="00092F8A" w:rsidP="009A58EE">
            <w:pPr>
              <w:pStyle w:val="Normal-pool-Table"/>
              <w:rPr>
                <w:szCs w:val="18"/>
                <w:lang w:val="es-ES_tradnl"/>
              </w:rPr>
            </w:pPr>
            <w:r w:rsidRPr="00F567E1">
              <w:rPr>
                <w:color w:val="000000"/>
                <w:lang w:val="es-ES_tradnl"/>
              </w:rPr>
              <w:t>4</w:t>
            </w:r>
            <w:r w:rsidR="003B3B6B" w:rsidRPr="00F567E1">
              <w:rPr>
                <w:color w:val="000000"/>
                <w:lang w:val="es-ES_tradnl"/>
              </w:rPr>
              <w:t>2</w:t>
            </w:r>
          </w:p>
        </w:tc>
        <w:tc>
          <w:tcPr>
            <w:tcW w:w="2573" w:type="dxa"/>
            <w:tcBorders>
              <w:top w:val="nil"/>
              <w:left w:val="nil"/>
              <w:bottom w:val="single" w:sz="4" w:space="0" w:color="auto"/>
              <w:right w:val="single" w:sz="4" w:space="0" w:color="auto"/>
            </w:tcBorders>
            <w:noWrap/>
            <w:hideMark/>
          </w:tcPr>
          <w:p w14:paraId="762D9F27" w14:textId="77777777" w:rsidR="00092F8A" w:rsidRPr="00F567E1" w:rsidRDefault="00092F8A" w:rsidP="009A58EE">
            <w:pPr>
              <w:pStyle w:val="Normal-pool-Table"/>
              <w:rPr>
                <w:szCs w:val="18"/>
                <w:lang w:val="es-ES_tradnl"/>
              </w:rPr>
            </w:pPr>
            <w:r w:rsidRPr="00F567E1">
              <w:rPr>
                <w:color w:val="000000"/>
                <w:lang w:val="es-ES_tradnl"/>
              </w:rPr>
              <w:t>Uganda</w:t>
            </w:r>
          </w:p>
        </w:tc>
        <w:tc>
          <w:tcPr>
            <w:tcW w:w="1400" w:type="dxa"/>
            <w:tcBorders>
              <w:top w:val="nil"/>
              <w:left w:val="nil"/>
              <w:bottom w:val="single" w:sz="4" w:space="0" w:color="auto"/>
              <w:right w:val="single" w:sz="4" w:space="0" w:color="auto"/>
            </w:tcBorders>
            <w:noWrap/>
            <w:hideMark/>
          </w:tcPr>
          <w:p w14:paraId="4F3F8378" w14:textId="77777777" w:rsidR="00092F8A" w:rsidRPr="00F567E1" w:rsidRDefault="00092F8A" w:rsidP="009A58EE">
            <w:pPr>
              <w:pStyle w:val="Normal-pool-Table"/>
              <w:jc w:val="right"/>
              <w:rPr>
                <w:szCs w:val="18"/>
                <w:lang w:val="es-ES_tradnl"/>
              </w:rPr>
            </w:pPr>
            <w:r w:rsidRPr="00F567E1">
              <w:rPr>
                <w:color w:val="000000"/>
                <w:lang w:val="es-ES_tradnl"/>
              </w:rPr>
              <w:t>0,01</w:t>
            </w:r>
          </w:p>
        </w:tc>
        <w:tc>
          <w:tcPr>
            <w:tcW w:w="1073" w:type="dxa"/>
            <w:tcBorders>
              <w:top w:val="nil"/>
              <w:left w:val="nil"/>
              <w:bottom w:val="single" w:sz="4" w:space="0" w:color="auto"/>
              <w:right w:val="single" w:sz="4" w:space="0" w:color="auto"/>
            </w:tcBorders>
            <w:noWrap/>
            <w:hideMark/>
          </w:tcPr>
          <w:p w14:paraId="52A36670" w14:textId="77777777" w:rsidR="00092F8A" w:rsidRPr="00F567E1" w:rsidRDefault="00092F8A" w:rsidP="009A58EE">
            <w:pPr>
              <w:pStyle w:val="Normal-pool-Table"/>
              <w:jc w:val="right"/>
              <w:rPr>
                <w:szCs w:val="18"/>
                <w:lang w:val="es-ES_tradnl"/>
              </w:rPr>
            </w:pPr>
            <w:r w:rsidRPr="00F567E1">
              <w:rPr>
                <w:color w:val="000000"/>
                <w:lang w:val="es-ES_tradnl"/>
              </w:rPr>
              <w:t>0,0101</w:t>
            </w:r>
          </w:p>
        </w:tc>
        <w:tc>
          <w:tcPr>
            <w:tcW w:w="1293" w:type="dxa"/>
            <w:tcBorders>
              <w:top w:val="nil"/>
              <w:left w:val="nil"/>
              <w:bottom w:val="single" w:sz="4" w:space="0" w:color="auto"/>
              <w:right w:val="single" w:sz="4" w:space="0" w:color="auto"/>
            </w:tcBorders>
            <w:noWrap/>
            <w:hideMark/>
          </w:tcPr>
          <w:p w14:paraId="619DBA57" w14:textId="77777777" w:rsidR="00092F8A" w:rsidRPr="00F567E1" w:rsidRDefault="00092F8A" w:rsidP="009A58EE">
            <w:pPr>
              <w:pStyle w:val="Normal-pool-Table"/>
              <w:jc w:val="right"/>
              <w:rPr>
                <w:szCs w:val="18"/>
                <w:lang w:val="es-ES_tradnl"/>
              </w:rPr>
            </w:pPr>
            <w:r w:rsidRPr="00F567E1">
              <w:rPr>
                <w:color w:val="000000"/>
                <w:lang w:val="es-ES_tradnl"/>
              </w:rPr>
              <w:t>311</w:t>
            </w:r>
          </w:p>
        </w:tc>
        <w:tc>
          <w:tcPr>
            <w:tcW w:w="1293" w:type="dxa"/>
            <w:tcBorders>
              <w:top w:val="nil"/>
              <w:left w:val="nil"/>
              <w:bottom w:val="single" w:sz="4" w:space="0" w:color="auto"/>
              <w:right w:val="single" w:sz="4" w:space="0" w:color="auto"/>
            </w:tcBorders>
            <w:noWrap/>
            <w:hideMark/>
          </w:tcPr>
          <w:p w14:paraId="7B028BC5" w14:textId="77777777" w:rsidR="00092F8A" w:rsidRPr="00F567E1" w:rsidRDefault="00092F8A" w:rsidP="009A58EE">
            <w:pPr>
              <w:pStyle w:val="Normal-pool-Table"/>
              <w:jc w:val="right"/>
              <w:rPr>
                <w:szCs w:val="18"/>
                <w:lang w:val="es-ES_tradnl"/>
              </w:rPr>
            </w:pPr>
            <w:r w:rsidRPr="00F567E1">
              <w:rPr>
                <w:color w:val="000000"/>
                <w:lang w:val="es-ES_tradnl"/>
              </w:rPr>
              <w:t>411</w:t>
            </w:r>
          </w:p>
        </w:tc>
        <w:tc>
          <w:tcPr>
            <w:tcW w:w="1313" w:type="dxa"/>
            <w:tcBorders>
              <w:top w:val="nil"/>
              <w:left w:val="nil"/>
              <w:bottom w:val="single" w:sz="4" w:space="0" w:color="auto"/>
              <w:right w:val="single" w:sz="4" w:space="0" w:color="auto"/>
            </w:tcBorders>
            <w:noWrap/>
            <w:hideMark/>
          </w:tcPr>
          <w:p w14:paraId="2BB9018C" w14:textId="77777777" w:rsidR="00092F8A" w:rsidRPr="00F567E1" w:rsidRDefault="00092F8A" w:rsidP="009A58EE">
            <w:pPr>
              <w:pStyle w:val="Normal-pool-Table"/>
              <w:jc w:val="right"/>
              <w:rPr>
                <w:szCs w:val="18"/>
                <w:lang w:val="es-ES_tradnl"/>
              </w:rPr>
            </w:pPr>
            <w:r w:rsidRPr="00F567E1">
              <w:rPr>
                <w:color w:val="000000"/>
                <w:lang w:val="es-ES_tradnl"/>
              </w:rPr>
              <w:t>722</w:t>
            </w:r>
          </w:p>
        </w:tc>
      </w:tr>
      <w:tr w:rsidR="00092F8A" w:rsidRPr="00F567E1" w14:paraId="77BFC8B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4C5F341" w14:textId="77777777" w:rsidR="00092F8A" w:rsidRPr="00F567E1" w:rsidRDefault="00092F8A" w:rsidP="009A58EE">
            <w:pPr>
              <w:pStyle w:val="Normal-pool-Table"/>
              <w:rPr>
                <w:szCs w:val="18"/>
                <w:lang w:val="es-ES_tradnl"/>
              </w:rPr>
            </w:pPr>
            <w:r w:rsidRPr="00F567E1">
              <w:rPr>
                <w:color w:val="000000"/>
                <w:lang w:val="es-ES_tradnl"/>
              </w:rPr>
              <w:t>43</w:t>
            </w:r>
          </w:p>
        </w:tc>
        <w:tc>
          <w:tcPr>
            <w:tcW w:w="2573" w:type="dxa"/>
            <w:tcBorders>
              <w:top w:val="nil"/>
              <w:left w:val="nil"/>
              <w:bottom w:val="single" w:sz="4" w:space="0" w:color="auto"/>
              <w:right w:val="single" w:sz="4" w:space="0" w:color="auto"/>
            </w:tcBorders>
            <w:noWrap/>
            <w:hideMark/>
          </w:tcPr>
          <w:p w14:paraId="5911C2E1" w14:textId="77777777" w:rsidR="00092F8A" w:rsidRPr="00F567E1" w:rsidRDefault="00092F8A" w:rsidP="009A58EE">
            <w:pPr>
              <w:pStyle w:val="Normal-pool-Table"/>
              <w:rPr>
                <w:szCs w:val="18"/>
                <w:lang w:val="es-ES_tradnl"/>
              </w:rPr>
            </w:pPr>
            <w:r w:rsidRPr="00F567E1">
              <w:rPr>
                <w:color w:val="000000"/>
                <w:lang w:val="es-ES_tradnl"/>
              </w:rPr>
              <w:t>Zambia</w:t>
            </w:r>
          </w:p>
        </w:tc>
        <w:tc>
          <w:tcPr>
            <w:tcW w:w="1400" w:type="dxa"/>
            <w:tcBorders>
              <w:top w:val="nil"/>
              <w:left w:val="nil"/>
              <w:bottom w:val="single" w:sz="4" w:space="0" w:color="auto"/>
              <w:right w:val="single" w:sz="4" w:space="0" w:color="auto"/>
            </w:tcBorders>
            <w:noWrap/>
            <w:hideMark/>
          </w:tcPr>
          <w:p w14:paraId="196E0968" w14:textId="77777777" w:rsidR="00092F8A" w:rsidRPr="00F567E1" w:rsidRDefault="00092F8A" w:rsidP="009A58EE">
            <w:pPr>
              <w:pStyle w:val="Normal-pool-Table"/>
              <w:jc w:val="right"/>
              <w:rPr>
                <w:szCs w:val="18"/>
                <w:lang w:val="es-ES_tradnl"/>
              </w:rPr>
            </w:pPr>
            <w:r w:rsidRPr="00F567E1">
              <w:rPr>
                <w:color w:val="000000"/>
                <w:lang w:val="es-ES_tradnl"/>
              </w:rPr>
              <w:t>0,006</w:t>
            </w:r>
          </w:p>
        </w:tc>
        <w:tc>
          <w:tcPr>
            <w:tcW w:w="1073" w:type="dxa"/>
            <w:tcBorders>
              <w:top w:val="nil"/>
              <w:left w:val="nil"/>
              <w:bottom w:val="single" w:sz="4" w:space="0" w:color="auto"/>
              <w:right w:val="single" w:sz="4" w:space="0" w:color="auto"/>
            </w:tcBorders>
            <w:noWrap/>
            <w:hideMark/>
          </w:tcPr>
          <w:p w14:paraId="2D6BA230"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1539E940"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69B5FF9C"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061BE8D4"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092F8A" w:rsidRPr="00F567E1" w14:paraId="348789E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384A539" w14:textId="77777777" w:rsidR="00092F8A" w:rsidRPr="00F567E1" w:rsidRDefault="00092F8A" w:rsidP="009A58EE">
            <w:pPr>
              <w:pStyle w:val="Normal-pool-Table"/>
              <w:rPr>
                <w:szCs w:val="18"/>
                <w:lang w:val="es-ES_tradnl"/>
              </w:rPr>
            </w:pPr>
            <w:r w:rsidRPr="00F567E1">
              <w:rPr>
                <w:color w:val="000000"/>
                <w:lang w:val="es-ES_tradnl"/>
              </w:rPr>
              <w:t>44</w:t>
            </w:r>
          </w:p>
        </w:tc>
        <w:tc>
          <w:tcPr>
            <w:tcW w:w="2573" w:type="dxa"/>
            <w:tcBorders>
              <w:top w:val="nil"/>
              <w:left w:val="nil"/>
              <w:bottom w:val="single" w:sz="4" w:space="0" w:color="auto"/>
              <w:right w:val="single" w:sz="4" w:space="0" w:color="auto"/>
            </w:tcBorders>
            <w:noWrap/>
            <w:hideMark/>
          </w:tcPr>
          <w:p w14:paraId="62C335C6" w14:textId="77777777" w:rsidR="00092F8A" w:rsidRPr="00F567E1" w:rsidRDefault="00092F8A" w:rsidP="009A58EE">
            <w:pPr>
              <w:pStyle w:val="Normal-pool-Table"/>
              <w:rPr>
                <w:szCs w:val="18"/>
                <w:lang w:val="es-ES_tradnl"/>
              </w:rPr>
            </w:pPr>
            <w:r w:rsidRPr="00F567E1">
              <w:rPr>
                <w:color w:val="000000"/>
                <w:lang w:val="es-ES_tradnl"/>
              </w:rPr>
              <w:t>Zimbabwe</w:t>
            </w:r>
          </w:p>
        </w:tc>
        <w:tc>
          <w:tcPr>
            <w:tcW w:w="1400" w:type="dxa"/>
            <w:tcBorders>
              <w:top w:val="nil"/>
              <w:left w:val="nil"/>
              <w:bottom w:val="single" w:sz="4" w:space="0" w:color="auto"/>
              <w:right w:val="single" w:sz="4" w:space="0" w:color="auto"/>
            </w:tcBorders>
            <w:noWrap/>
            <w:hideMark/>
          </w:tcPr>
          <w:p w14:paraId="75F2E45D" w14:textId="77777777" w:rsidR="00092F8A" w:rsidRPr="00F567E1" w:rsidRDefault="00092F8A" w:rsidP="009A58EE">
            <w:pPr>
              <w:pStyle w:val="Normal-pool-Table"/>
              <w:jc w:val="right"/>
              <w:rPr>
                <w:szCs w:val="18"/>
                <w:lang w:val="es-ES_tradnl"/>
              </w:rPr>
            </w:pPr>
            <w:r w:rsidRPr="00F567E1">
              <w:rPr>
                <w:color w:val="000000"/>
                <w:lang w:val="es-ES_tradnl"/>
              </w:rPr>
              <w:t>0,007</w:t>
            </w:r>
          </w:p>
        </w:tc>
        <w:tc>
          <w:tcPr>
            <w:tcW w:w="1073" w:type="dxa"/>
            <w:tcBorders>
              <w:top w:val="nil"/>
              <w:left w:val="nil"/>
              <w:bottom w:val="single" w:sz="4" w:space="0" w:color="auto"/>
              <w:right w:val="single" w:sz="4" w:space="0" w:color="auto"/>
            </w:tcBorders>
            <w:noWrap/>
            <w:hideMark/>
          </w:tcPr>
          <w:p w14:paraId="022FB229" w14:textId="77777777" w:rsidR="00092F8A" w:rsidRPr="00F567E1" w:rsidRDefault="00092F8A"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7AD2716F" w14:textId="77777777" w:rsidR="00092F8A" w:rsidRPr="00F567E1" w:rsidRDefault="00092F8A"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7656A569" w14:textId="77777777" w:rsidR="00092F8A" w:rsidRPr="00F567E1" w:rsidRDefault="00092F8A"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514A840" w14:textId="77777777" w:rsidR="00092F8A" w:rsidRPr="00F567E1" w:rsidRDefault="00092F8A" w:rsidP="009A58EE">
            <w:pPr>
              <w:pStyle w:val="Normal-pool-Table"/>
              <w:jc w:val="right"/>
              <w:rPr>
                <w:szCs w:val="18"/>
                <w:lang w:val="es-ES_tradnl"/>
              </w:rPr>
            </w:pPr>
            <w:r w:rsidRPr="00F567E1">
              <w:rPr>
                <w:color w:val="000000"/>
                <w:lang w:val="es-ES_tradnl"/>
              </w:rPr>
              <w:t>715</w:t>
            </w:r>
          </w:p>
        </w:tc>
      </w:tr>
      <w:tr w:rsidR="00F234CD" w:rsidRPr="00F567E1" w14:paraId="14971BBA"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4E57AD10" w14:textId="77777777" w:rsidR="00312042" w:rsidRPr="00F567E1" w:rsidRDefault="00312042" w:rsidP="009A58EE">
            <w:pPr>
              <w:pStyle w:val="Normal-pool-Table"/>
              <w:rPr>
                <w:b/>
                <w:bCs/>
                <w:szCs w:val="18"/>
                <w:lang w:val="es-ES_tradnl"/>
              </w:rPr>
            </w:pPr>
            <w:r w:rsidRPr="00F567E1">
              <w:rPr>
                <w:b/>
                <w:bCs/>
                <w:color w:val="000000"/>
                <w:lang w:val="es-ES_tradnl"/>
              </w:rPr>
              <w:t>Estados de Asia y el Pacífico (38)</w:t>
            </w:r>
          </w:p>
        </w:tc>
      </w:tr>
      <w:tr w:rsidR="00EE35DE" w:rsidRPr="00F567E1" w14:paraId="06ECEAE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32CB419" w14:textId="77777777" w:rsidR="00EE35DE" w:rsidRPr="00F567E1" w:rsidRDefault="00EE35DE" w:rsidP="009A58EE">
            <w:pPr>
              <w:pStyle w:val="Normal-pool-Table"/>
              <w:rPr>
                <w:szCs w:val="18"/>
                <w:lang w:val="es-ES_tradnl"/>
              </w:rPr>
            </w:pPr>
            <w:r w:rsidRPr="00F567E1">
              <w:rPr>
                <w:color w:val="000000"/>
                <w:lang w:val="es-ES_tradnl"/>
              </w:rPr>
              <w:t>45</w:t>
            </w:r>
          </w:p>
        </w:tc>
        <w:tc>
          <w:tcPr>
            <w:tcW w:w="2573" w:type="dxa"/>
            <w:tcBorders>
              <w:top w:val="nil"/>
              <w:left w:val="nil"/>
              <w:bottom w:val="single" w:sz="4" w:space="0" w:color="auto"/>
              <w:right w:val="single" w:sz="4" w:space="0" w:color="auto"/>
            </w:tcBorders>
            <w:noWrap/>
            <w:hideMark/>
          </w:tcPr>
          <w:p w14:paraId="0505F4FC" w14:textId="77777777" w:rsidR="00EE35DE" w:rsidRPr="00F567E1" w:rsidRDefault="00EE35DE" w:rsidP="009A58EE">
            <w:pPr>
              <w:pStyle w:val="Normal-pool-Table"/>
              <w:rPr>
                <w:szCs w:val="18"/>
                <w:lang w:val="es-ES_tradnl"/>
              </w:rPr>
            </w:pPr>
            <w:r w:rsidRPr="00F567E1">
              <w:rPr>
                <w:color w:val="000000"/>
                <w:lang w:val="es-ES_tradnl"/>
              </w:rPr>
              <w:t>Afganistán</w:t>
            </w:r>
          </w:p>
        </w:tc>
        <w:tc>
          <w:tcPr>
            <w:tcW w:w="1400" w:type="dxa"/>
            <w:tcBorders>
              <w:top w:val="nil"/>
              <w:left w:val="nil"/>
              <w:bottom w:val="single" w:sz="4" w:space="0" w:color="auto"/>
              <w:right w:val="single" w:sz="4" w:space="0" w:color="auto"/>
            </w:tcBorders>
            <w:noWrap/>
            <w:hideMark/>
          </w:tcPr>
          <w:p w14:paraId="5094091D" w14:textId="77777777" w:rsidR="00EE35DE" w:rsidRPr="00F567E1" w:rsidRDefault="00EE35DE" w:rsidP="009A58EE">
            <w:pPr>
              <w:pStyle w:val="Normal-pool-Table"/>
              <w:jc w:val="right"/>
              <w:rPr>
                <w:szCs w:val="18"/>
                <w:lang w:val="es-ES_tradnl"/>
              </w:rPr>
            </w:pPr>
            <w:r w:rsidRPr="00F567E1">
              <w:rPr>
                <w:color w:val="000000"/>
                <w:lang w:val="es-ES_tradnl"/>
              </w:rPr>
              <w:t>0,005</w:t>
            </w:r>
          </w:p>
        </w:tc>
        <w:tc>
          <w:tcPr>
            <w:tcW w:w="1073" w:type="dxa"/>
            <w:tcBorders>
              <w:top w:val="nil"/>
              <w:left w:val="nil"/>
              <w:bottom w:val="single" w:sz="4" w:space="0" w:color="auto"/>
              <w:right w:val="single" w:sz="4" w:space="0" w:color="auto"/>
            </w:tcBorders>
            <w:noWrap/>
            <w:hideMark/>
          </w:tcPr>
          <w:p w14:paraId="5A2E85C2"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45CE56B7"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17E19242"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43B4B768"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660761D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9FD26EA" w14:textId="0C86C13A" w:rsidR="00EE35DE" w:rsidRPr="00F567E1" w:rsidRDefault="00EE35DE" w:rsidP="009A58EE">
            <w:pPr>
              <w:pStyle w:val="Normal-pool-Table"/>
              <w:rPr>
                <w:szCs w:val="18"/>
                <w:lang w:val="es-ES_tradnl"/>
              </w:rPr>
            </w:pPr>
            <w:r w:rsidRPr="00F567E1">
              <w:rPr>
                <w:color w:val="000000"/>
                <w:lang w:val="es-ES_tradnl"/>
              </w:rPr>
              <w:t>46</w:t>
            </w:r>
          </w:p>
        </w:tc>
        <w:tc>
          <w:tcPr>
            <w:tcW w:w="2573" w:type="dxa"/>
            <w:tcBorders>
              <w:top w:val="nil"/>
              <w:left w:val="nil"/>
              <w:bottom w:val="single" w:sz="4" w:space="0" w:color="auto"/>
              <w:right w:val="single" w:sz="4" w:space="0" w:color="auto"/>
            </w:tcBorders>
            <w:noWrap/>
            <w:hideMark/>
          </w:tcPr>
          <w:p w14:paraId="0FCACE48" w14:textId="77777777" w:rsidR="00EE35DE" w:rsidRPr="00F567E1" w:rsidRDefault="00EE35DE" w:rsidP="009A58EE">
            <w:pPr>
              <w:pStyle w:val="Normal-pool-Table"/>
              <w:rPr>
                <w:szCs w:val="18"/>
                <w:lang w:val="es-ES_tradnl"/>
              </w:rPr>
            </w:pPr>
            <w:r w:rsidRPr="00F567E1">
              <w:rPr>
                <w:color w:val="000000"/>
                <w:lang w:val="es-ES_tradnl"/>
              </w:rPr>
              <w:t>Arabia Saudita</w:t>
            </w:r>
          </w:p>
        </w:tc>
        <w:tc>
          <w:tcPr>
            <w:tcW w:w="1400" w:type="dxa"/>
            <w:tcBorders>
              <w:top w:val="nil"/>
              <w:left w:val="nil"/>
              <w:bottom w:val="single" w:sz="4" w:space="0" w:color="auto"/>
              <w:right w:val="single" w:sz="4" w:space="0" w:color="auto"/>
            </w:tcBorders>
            <w:noWrap/>
            <w:hideMark/>
          </w:tcPr>
          <w:p w14:paraId="72584984" w14:textId="77777777" w:rsidR="00EE35DE" w:rsidRPr="00F567E1" w:rsidRDefault="00EE35DE" w:rsidP="009A58EE">
            <w:pPr>
              <w:pStyle w:val="Normal-pool-Table"/>
              <w:jc w:val="right"/>
              <w:rPr>
                <w:szCs w:val="18"/>
                <w:lang w:val="es-ES_tradnl"/>
              </w:rPr>
            </w:pPr>
            <w:r w:rsidRPr="00F567E1">
              <w:rPr>
                <w:color w:val="000000"/>
                <w:lang w:val="es-ES_tradnl"/>
              </w:rPr>
              <w:t>1,217</w:t>
            </w:r>
          </w:p>
        </w:tc>
        <w:tc>
          <w:tcPr>
            <w:tcW w:w="1073" w:type="dxa"/>
            <w:tcBorders>
              <w:top w:val="nil"/>
              <w:left w:val="nil"/>
              <w:bottom w:val="single" w:sz="4" w:space="0" w:color="auto"/>
              <w:right w:val="single" w:sz="4" w:space="0" w:color="auto"/>
            </w:tcBorders>
            <w:noWrap/>
            <w:hideMark/>
          </w:tcPr>
          <w:p w14:paraId="400930FC" w14:textId="77777777" w:rsidR="00EE35DE" w:rsidRPr="00F567E1" w:rsidRDefault="00EE35DE" w:rsidP="009A58EE">
            <w:pPr>
              <w:pStyle w:val="Normal-pool-Table"/>
              <w:jc w:val="right"/>
              <w:rPr>
                <w:szCs w:val="18"/>
                <w:lang w:val="es-ES_tradnl"/>
              </w:rPr>
            </w:pPr>
            <w:r w:rsidRPr="00F567E1">
              <w:rPr>
                <w:color w:val="000000"/>
                <w:lang w:val="es-ES_tradnl"/>
              </w:rPr>
              <w:t>1,2283</w:t>
            </w:r>
          </w:p>
        </w:tc>
        <w:tc>
          <w:tcPr>
            <w:tcW w:w="1293" w:type="dxa"/>
            <w:tcBorders>
              <w:top w:val="nil"/>
              <w:left w:val="nil"/>
              <w:bottom w:val="single" w:sz="4" w:space="0" w:color="auto"/>
              <w:right w:val="single" w:sz="4" w:space="0" w:color="auto"/>
            </w:tcBorders>
            <w:noWrap/>
            <w:hideMark/>
          </w:tcPr>
          <w:p w14:paraId="3BA8F9E8" w14:textId="77777777" w:rsidR="00EE35DE" w:rsidRPr="00F567E1" w:rsidRDefault="00EE35DE" w:rsidP="009A58EE">
            <w:pPr>
              <w:pStyle w:val="Normal-pool-Table"/>
              <w:jc w:val="right"/>
              <w:rPr>
                <w:szCs w:val="18"/>
                <w:lang w:val="es-ES_tradnl"/>
              </w:rPr>
            </w:pPr>
            <w:r w:rsidRPr="00F567E1">
              <w:rPr>
                <w:color w:val="000000"/>
                <w:lang w:val="es-ES_tradnl"/>
              </w:rPr>
              <w:t>37 874</w:t>
            </w:r>
          </w:p>
        </w:tc>
        <w:tc>
          <w:tcPr>
            <w:tcW w:w="1293" w:type="dxa"/>
            <w:tcBorders>
              <w:top w:val="nil"/>
              <w:left w:val="nil"/>
              <w:bottom w:val="single" w:sz="4" w:space="0" w:color="auto"/>
              <w:right w:val="single" w:sz="4" w:space="0" w:color="auto"/>
            </w:tcBorders>
            <w:noWrap/>
            <w:hideMark/>
          </w:tcPr>
          <w:p w14:paraId="5C880243" w14:textId="77777777" w:rsidR="00EE35DE" w:rsidRPr="00F567E1" w:rsidRDefault="00EE35DE" w:rsidP="009A58EE">
            <w:pPr>
              <w:pStyle w:val="Normal-pool-Table"/>
              <w:jc w:val="right"/>
              <w:rPr>
                <w:szCs w:val="18"/>
                <w:lang w:val="es-ES_tradnl"/>
              </w:rPr>
            </w:pPr>
            <w:r w:rsidRPr="00F567E1">
              <w:rPr>
                <w:color w:val="000000"/>
                <w:lang w:val="es-ES_tradnl"/>
              </w:rPr>
              <w:t>49 984</w:t>
            </w:r>
          </w:p>
        </w:tc>
        <w:tc>
          <w:tcPr>
            <w:tcW w:w="1313" w:type="dxa"/>
            <w:tcBorders>
              <w:top w:val="nil"/>
              <w:left w:val="nil"/>
              <w:bottom w:val="single" w:sz="4" w:space="0" w:color="auto"/>
              <w:right w:val="single" w:sz="4" w:space="0" w:color="auto"/>
            </w:tcBorders>
            <w:noWrap/>
            <w:hideMark/>
          </w:tcPr>
          <w:p w14:paraId="68CB9B08" w14:textId="77777777" w:rsidR="00EE35DE" w:rsidRPr="00F567E1" w:rsidRDefault="00EE35DE" w:rsidP="009A58EE">
            <w:pPr>
              <w:pStyle w:val="Normal-pool-Table"/>
              <w:jc w:val="right"/>
              <w:rPr>
                <w:szCs w:val="18"/>
                <w:lang w:val="es-ES_tradnl"/>
              </w:rPr>
            </w:pPr>
            <w:r w:rsidRPr="00F567E1">
              <w:rPr>
                <w:color w:val="000000"/>
                <w:lang w:val="es-ES_tradnl"/>
              </w:rPr>
              <w:t>87 858</w:t>
            </w:r>
          </w:p>
        </w:tc>
      </w:tr>
      <w:tr w:rsidR="00EE35DE" w:rsidRPr="00F567E1" w14:paraId="10840C6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4405595" w14:textId="4475BD67" w:rsidR="00EE35DE" w:rsidRPr="00F567E1" w:rsidRDefault="00EE35DE" w:rsidP="009A58EE">
            <w:pPr>
              <w:pStyle w:val="Normal-pool-Table"/>
              <w:rPr>
                <w:szCs w:val="18"/>
                <w:lang w:val="es-ES_tradnl"/>
              </w:rPr>
            </w:pPr>
            <w:r w:rsidRPr="00F567E1">
              <w:rPr>
                <w:color w:val="000000"/>
                <w:lang w:val="es-ES_tradnl"/>
              </w:rPr>
              <w:t>47</w:t>
            </w:r>
          </w:p>
        </w:tc>
        <w:tc>
          <w:tcPr>
            <w:tcW w:w="2573" w:type="dxa"/>
            <w:tcBorders>
              <w:top w:val="nil"/>
              <w:left w:val="nil"/>
              <w:bottom w:val="single" w:sz="4" w:space="0" w:color="auto"/>
              <w:right w:val="single" w:sz="4" w:space="0" w:color="auto"/>
            </w:tcBorders>
            <w:noWrap/>
            <w:hideMark/>
          </w:tcPr>
          <w:p w14:paraId="732019FB" w14:textId="77777777" w:rsidR="00EE35DE" w:rsidRPr="00F567E1" w:rsidRDefault="00EE35DE" w:rsidP="009A58EE">
            <w:pPr>
              <w:pStyle w:val="Normal-pool-Table"/>
              <w:rPr>
                <w:szCs w:val="18"/>
                <w:lang w:val="es-ES_tradnl"/>
              </w:rPr>
            </w:pPr>
            <w:proofErr w:type="spellStart"/>
            <w:r w:rsidRPr="00F567E1">
              <w:rPr>
                <w:color w:val="000000"/>
                <w:lang w:val="es-ES_tradnl"/>
              </w:rPr>
              <w:t>Bahrein</w:t>
            </w:r>
            <w:proofErr w:type="spellEnd"/>
          </w:p>
        </w:tc>
        <w:tc>
          <w:tcPr>
            <w:tcW w:w="1400" w:type="dxa"/>
            <w:tcBorders>
              <w:top w:val="nil"/>
              <w:left w:val="nil"/>
              <w:bottom w:val="single" w:sz="4" w:space="0" w:color="auto"/>
              <w:right w:val="single" w:sz="4" w:space="0" w:color="auto"/>
            </w:tcBorders>
            <w:noWrap/>
            <w:hideMark/>
          </w:tcPr>
          <w:p w14:paraId="31919EC2" w14:textId="77777777" w:rsidR="00EE35DE" w:rsidRPr="00F567E1" w:rsidRDefault="00EE35DE" w:rsidP="009A58EE">
            <w:pPr>
              <w:pStyle w:val="Normal-pool-Table"/>
              <w:jc w:val="right"/>
              <w:rPr>
                <w:szCs w:val="18"/>
                <w:lang w:val="es-ES_tradnl"/>
              </w:rPr>
            </w:pPr>
            <w:r w:rsidRPr="00F567E1">
              <w:rPr>
                <w:color w:val="000000"/>
                <w:lang w:val="es-ES_tradnl"/>
              </w:rPr>
              <w:t>0,05</w:t>
            </w:r>
          </w:p>
        </w:tc>
        <w:tc>
          <w:tcPr>
            <w:tcW w:w="1073" w:type="dxa"/>
            <w:tcBorders>
              <w:top w:val="nil"/>
              <w:left w:val="nil"/>
              <w:bottom w:val="single" w:sz="4" w:space="0" w:color="auto"/>
              <w:right w:val="single" w:sz="4" w:space="0" w:color="auto"/>
            </w:tcBorders>
            <w:noWrap/>
            <w:hideMark/>
          </w:tcPr>
          <w:p w14:paraId="3A843398" w14:textId="77777777" w:rsidR="00EE35DE" w:rsidRPr="00F567E1" w:rsidRDefault="00EE35DE" w:rsidP="009A58EE">
            <w:pPr>
              <w:pStyle w:val="Normal-pool-Table"/>
              <w:jc w:val="right"/>
              <w:rPr>
                <w:szCs w:val="18"/>
                <w:lang w:val="es-ES_tradnl"/>
              </w:rPr>
            </w:pPr>
            <w:r w:rsidRPr="00F567E1">
              <w:rPr>
                <w:color w:val="000000"/>
                <w:lang w:val="es-ES_tradnl"/>
              </w:rPr>
              <w:t>0,0505</w:t>
            </w:r>
          </w:p>
        </w:tc>
        <w:tc>
          <w:tcPr>
            <w:tcW w:w="1293" w:type="dxa"/>
            <w:tcBorders>
              <w:top w:val="nil"/>
              <w:left w:val="nil"/>
              <w:bottom w:val="single" w:sz="4" w:space="0" w:color="auto"/>
              <w:right w:val="single" w:sz="4" w:space="0" w:color="auto"/>
            </w:tcBorders>
            <w:noWrap/>
            <w:hideMark/>
          </w:tcPr>
          <w:p w14:paraId="7CBC341E" w14:textId="77777777" w:rsidR="00EE35DE" w:rsidRPr="00F567E1" w:rsidRDefault="00EE35DE" w:rsidP="009A58EE">
            <w:pPr>
              <w:pStyle w:val="Normal-pool-Table"/>
              <w:jc w:val="right"/>
              <w:rPr>
                <w:szCs w:val="18"/>
                <w:lang w:val="es-ES_tradnl"/>
              </w:rPr>
            </w:pPr>
            <w:r w:rsidRPr="00F567E1">
              <w:rPr>
                <w:color w:val="000000"/>
                <w:lang w:val="es-ES_tradnl"/>
              </w:rPr>
              <w:t>1 556</w:t>
            </w:r>
          </w:p>
        </w:tc>
        <w:tc>
          <w:tcPr>
            <w:tcW w:w="1293" w:type="dxa"/>
            <w:tcBorders>
              <w:top w:val="nil"/>
              <w:left w:val="nil"/>
              <w:bottom w:val="single" w:sz="4" w:space="0" w:color="auto"/>
              <w:right w:val="single" w:sz="4" w:space="0" w:color="auto"/>
            </w:tcBorders>
            <w:noWrap/>
            <w:hideMark/>
          </w:tcPr>
          <w:p w14:paraId="5B28644C" w14:textId="77777777" w:rsidR="00EE35DE" w:rsidRPr="00F567E1" w:rsidRDefault="00EE35DE" w:rsidP="009A58EE">
            <w:pPr>
              <w:pStyle w:val="Normal-pool-Table"/>
              <w:jc w:val="right"/>
              <w:rPr>
                <w:szCs w:val="18"/>
                <w:lang w:val="es-ES_tradnl"/>
              </w:rPr>
            </w:pPr>
            <w:r w:rsidRPr="00F567E1">
              <w:rPr>
                <w:color w:val="000000"/>
                <w:lang w:val="es-ES_tradnl"/>
              </w:rPr>
              <w:t>2 054</w:t>
            </w:r>
          </w:p>
        </w:tc>
        <w:tc>
          <w:tcPr>
            <w:tcW w:w="1313" w:type="dxa"/>
            <w:tcBorders>
              <w:top w:val="nil"/>
              <w:left w:val="nil"/>
              <w:bottom w:val="single" w:sz="4" w:space="0" w:color="auto"/>
              <w:right w:val="single" w:sz="4" w:space="0" w:color="auto"/>
            </w:tcBorders>
            <w:noWrap/>
            <w:hideMark/>
          </w:tcPr>
          <w:p w14:paraId="379CAC20" w14:textId="77777777" w:rsidR="00EE35DE" w:rsidRPr="00F567E1" w:rsidRDefault="00EE35DE" w:rsidP="009A58EE">
            <w:pPr>
              <w:pStyle w:val="Normal-pool-Table"/>
              <w:jc w:val="right"/>
              <w:rPr>
                <w:szCs w:val="18"/>
                <w:lang w:val="es-ES_tradnl"/>
              </w:rPr>
            </w:pPr>
            <w:r w:rsidRPr="00F567E1">
              <w:rPr>
                <w:color w:val="000000"/>
                <w:lang w:val="es-ES_tradnl"/>
              </w:rPr>
              <w:t>3 610</w:t>
            </w:r>
          </w:p>
        </w:tc>
      </w:tr>
      <w:tr w:rsidR="00EE35DE" w:rsidRPr="00F567E1" w14:paraId="215F9B7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4DCE83E" w14:textId="54A9BC9E" w:rsidR="00EE35DE" w:rsidRPr="00F567E1" w:rsidRDefault="00EE35DE" w:rsidP="009A58EE">
            <w:pPr>
              <w:pStyle w:val="Normal-pool-Table"/>
              <w:rPr>
                <w:szCs w:val="18"/>
                <w:lang w:val="es-ES_tradnl"/>
              </w:rPr>
            </w:pPr>
            <w:r w:rsidRPr="00F567E1">
              <w:rPr>
                <w:color w:val="000000"/>
                <w:lang w:val="es-ES_tradnl"/>
              </w:rPr>
              <w:t>48</w:t>
            </w:r>
          </w:p>
        </w:tc>
        <w:tc>
          <w:tcPr>
            <w:tcW w:w="2573" w:type="dxa"/>
            <w:tcBorders>
              <w:top w:val="nil"/>
              <w:left w:val="nil"/>
              <w:bottom w:val="single" w:sz="4" w:space="0" w:color="auto"/>
              <w:right w:val="single" w:sz="4" w:space="0" w:color="auto"/>
            </w:tcBorders>
            <w:noWrap/>
            <w:hideMark/>
          </w:tcPr>
          <w:p w14:paraId="19C67309" w14:textId="77777777" w:rsidR="00EE35DE" w:rsidRPr="00F567E1" w:rsidRDefault="00EE35DE" w:rsidP="009A58EE">
            <w:pPr>
              <w:pStyle w:val="Normal-pool-Table"/>
              <w:rPr>
                <w:szCs w:val="18"/>
                <w:lang w:val="es-ES_tradnl"/>
              </w:rPr>
            </w:pPr>
            <w:r w:rsidRPr="00F567E1">
              <w:rPr>
                <w:color w:val="000000"/>
                <w:lang w:val="es-ES_tradnl"/>
              </w:rPr>
              <w:t>Bangladesh</w:t>
            </w:r>
          </w:p>
        </w:tc>
        <w:tc>
          <w:tcPr>
            <w:tcW w:w="1400" w:type="dxa"/>
            <w:tcBorders>
              <w:top w:val="nil"/>
              <w:left w:val="nil"/>
              <w:bottom w:val="single" w:sz="4" w:space="0" w:color="auto"/>
              <w:right w:val="single" w:sz="4" w:space="0" w:color="auto"/>
            </w:tcBorders>
            <w:noWrap/>
            <w:hideMark/>
          </w:tcPr>
          <w:p w14:paraId="6D37D1F2" w14:textId="77777777" w:rsidR="00EE35DE" w:rsidRPr="00F567E1" w:rsidRDefault="00EE35DE" w:rsidP="009A58EE">
            <w:pPr>
              <w:pStyle w:val="Normal-pool-Table"/>
              <w:jc w:val="right"/>
              <w:rPr>
                <w:szCs w:val="18"/>
                <w:lang w:val="es-ES_tradnl"/>
              </w:rPr>
            </w:pPr>
            <w:r w:rsidRPr="00F567E1">
              <w:rPr>
                <w:color w:val="000000"/>
                <w:lang w:val="es-ES_tradnl"/>
              </w:rPr>
              <w:t>0,01</w:t>
            </w:r>
          </w:p>
        </w:tc>
        <w:tc>
          <w:tcPr>
            <w:tcW w:w="1073" w:type="dxa"/>
            <w:tcBorders>
              <w:top w:val="nil"/>
              <w:left w:val="nil"/>
              <w:bottom w:val="single" w:sz="4" w:space="0" w:color="auto"/>
              <w:right w:val="single" w:sz="4" w:space="0" w:color="auto"/>
            </w:tcBorders>
            <w:noWrap/>
            <w:hideMark/>
          </w:tcPr>
          <w:p w14:paraId="117E1B2A" w14:textId="77777777" w:rsidR="00EE35DE" w:rsidRPr="00F567E1" w:rsidRDefault="00EE35DE" w:rsidP="009A58EE">
            <w:pPr>
              <w:pStyle w:val="Normal-pool-Table"/>
              <w:jc w:val="right"/>
              <w:rPr>
                <w:szCs w:val="18"/>
                <w:lang w:val="es-ES_tradnl"/>
              </w:rPr>
            </w:pPr>
            <w:r w:rsidRPr="00F567E1">
              <w:rPr>
                <w:color w:val="000000"/>
                <w:lang w:val="es-ES_tradnl"/>
              </w:rPr>
              <w:t>0,0101</w:t>
            </w:r>
          </w:p>
        </w:tc>
        <w:tc>
          <w:tcPr>
            <w:tcW w:w="1293" w:type="dxa"/>
            <w:tcBorders>
              <w:top w:val="nil"/>
              <w:left w:val="nil"/>
              <w:bottom w:val="single" w:sz="4" w:space="0" w:color="auto"/>
              <w:right w:val="single" w:sz="4" w:space="0" w:color="auto"/>
            </w:tcBorders>
            <w:noWrap/>
            <w:hideMark/>
          </w:tcPr>
          <w:p w14:paraId="2DE4E39D" w14:textId="77777777" w:rsidR="00EE35DE" w:rsidRPr="00F567E1" w:rsidRDefault="00EE35DE" w:rsidP="009A58EE">
            <w:pPr>
              <w:pStyle w:val="Normal-pool-Table"/>
              <w:jc w:val="right"/>
              <w:rPr>
                <w:szCs w:val="18"/>
                <w:lang w:val="es-ES_tradnl"/>
              </w:rPr>
            </w:pPr>
            <w:r w:rsidRPr="00F567E1">
              <w:rPr>
                <w:color w:val="000000"/>
                <w:lang w:val="es-ES_tradnl"/>
              </w:rPr>
              <w:t>311</w:t>
            </w:r>
          </w:p>
        </w:tc>
        <w:tc>
          <w:tcPr>
            <w:tcW w:w="1293" w:type="dxa"/>
            <w:tcBorders>
              <w:top w:val="nil"/>
              <w:left w:val="nil"/>
              <w:bottom w:val="single" w:sz="4" w:space="0" w:color="auto"/>
              <w:right w:val="single" w:sz="4" w:space="0" w:color="auto"/>
            </w:tcBorders>
            <w:noWrap/>
            <w:hideMark/>
          </w:tcPr>
          <w:p w14:paraId="40FCD135" w14:textId="77777777" w:rsidR="00EE35DE" w:rsidRPr="00F567E1" w:rsidRDefault="00EE35DE" w:rsidP="009A58EE">
            <w:pPr>
              <w:pStyle w:val="Normal-pool-Table"/>
              <w:jc w:val="right"/>
              <w:rPr>
                <w:szCs w:val="18"/>
                <w:lang w:val="es-ES_tradnl"/>
              </w:rPr>
            </w:pPr>
            <w:r w:rsidRPr="00F567E1">
              <w:rPr>
                <w:color w:val="000000"/>
                <w:lang w:val="es-ES_tradnl"/>
              </w:rPr>
              <w:t>411</w:t>
            </w:r>
          </w:p>
        </w:tc>
        <w:tc>
          <w:tcPr>
            <w:tcW w:w="1313" w:type="dxa"/>
            <w:tcBorders>
              <w:top w:val="nil"/>
              <w:left w:val="nil"/>
              <w:bottom w:val="single" w:sz="4" w:space="0" w:color="auto"/>
              <w:right w:val="single" w:sz="4" w:space="0" w:color="auto"/>
            </w:tcBorders>
            <w:noWrap/>
            <w:hideMark/>
          </w:tcPr>
          <w:p w14:paraId="3DF2A98F" w14:textId="77777777" w:rsidR="00EE35DE" w:rsidRPr="00F567E1" w:rsidRDefault="00EE35DE" w:rsidP="009A58EE">
            <w:pPr>
              <w:pStyle w:val="Normal-pool-Table"/>
              <w:jc w:val="right"/>
              <w:rPr>
                <w:szCs w:val="18"/>
                <w:lang w:val="es-ES_tradnl"/>
              </w:rPr>
            </w:pPr>
            <w:r w:rsidRPr="00F567E1">
              <w:rPr>
                <w:color w:val="000000"/>
                <w:lang w:val="es-ES_tradnl"/>
              </w:rPr>
              <w:t>722</w:t>
            </w:r>
          </w:p>
        </w:tc>
      </w:tr>
      <w:tr w:rsidR="00EE35DE" w:rsidRPr="00F567E1" w14:paraId="423409F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BDC90ED" w14:textId="70C61935" w:rsidR="00EE35DE" w:rsidRPr="00F567E1" w:rsidRDefault="00EE35DE" w:rsidP="009A58EE">
            <w:pPr>
              <w:pStyle w:val="Normal-pool-Table"/>
              <w:rPr>
                <w:szCs w:val="18"/>
                <w:lang w:val="es-ES_tradnl"/>
              </w:rPr>
            </w:pPr>
            <w:r w:rsidRPr="00F567E1">
              <w:rPr>
                <w:color w:val="000000"/>
                <w:lang w:val="es-ES_tradnl"/>
              </w:rPr>
              <w:t>49</w:t>
            </w:r>
          </w:p>
        </w:tc>
        <w:tc>
          <w:tcPr>
            <w:tcW w:w="2573" w:type="dxa"/>
            <w:tcBorders>
              <w:top w:val="nil"/>
              <w:left w:val="nil"/>
              <w:bottom w:val="single" w:sz="4" w:space="0" w:color="auto"/>
              <w:right w:val="single" w:sz="4" w:space="0" w:color="auto"/>
            </w:tcBorders>
            <w:noWrap/>
            <w:hideMark/>
          </w:tcPr>
          <w:p w14:paraId="07B0CCBC" w14:textId="77777777" w:rsidR="00EE35DE" w:rsidRPr="00F567E1" w:rsidRDefault="00EE35DE" w:rsidP="009A58EE">
            <w:pPr>
              <w:pStyle w:val="Normal-pool-Table"/>
              <w:rPr>
                <w:szCs w:val="18"/>
                <w:lang w:val="es-ES_tradnl"/>
              </w:rPr>
            </w:pPr>
            <w:r w:rsidRPr="00F567E1">
              <w:rPr>
                <w:color w:val="000000"/>
                <w:lang w:val="es-ES_tradnl"/>
              </w:rPr>
              <w:t>Camboya</w:t>
            </w:r>
          </w:p>
        </w:tc>
        <w:tc>
          <w:tcPr>
            <w:tcW w:w="1400" w:type="dxa"/>
            <w:tcBorders>
              <w:top w:val="nil"/>
              <w:left w:val="nil"/>
              <w:bottom w:val="single" w:sz="4" w:space="0" w:color="auto"/>
              <w:right w:val="single" w:sz="4" w:space="0" w:color="auto"/>
            </w:tcBorders>
            <w:noWrap/>
            <w:hideMark/>
          </w:tcPr>
          <w:p w14:paraId="24AB0CDC" w14:textId="77777777" w:rsidR="00EE35DE" w:rsidRPr="00F567E1" w:rsidRDefault="00EE35DE" w:rsidP="009A58EE">
            <w:pPr>
              <w:pStyle w:val="Normal-pool-Table"/>
              <w:jc w:val="right"/>
              <w:rPr>
                <w:szCs w:val="18"/>
                <w:lang w:val="es-ES_tradnl"/>
              </w:rPr>
            </w:pPr>
            <w:r w:rsidRPr="00F567E1">
              <w:rPr>
                <w:color w:val="000000"/>
                <w:lang w:val="es-ES_tradnl"/>
              </w:rPr>
              <w:t>0,008</w:t>
            </w:r>
          </w:p>
        </w:tc>
        <w:tc>
          <w:tcPr>
            <w:tcW w:w="1073" w:type="dxa"/>
            <w:tcBorders>
              <w:top w:val="nil"/>
              <w:left w:val="nil"/>
              <w:bottom w:val="single" w:sz="4" w:space="0" w:color="auto"/>
              <w:right w:val="single" w:sz="4" w:space="0" w:color="auto"/>
            </w:tcBorders>
            <w:noWrap/>
            <w:hideMark/>
          </w:tcPr>
          <w:p w14:paraId="51190F1D"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4965B868"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E6044B2"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2E38557B"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334AA94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16FA1CC" w14:textId="6CBFEB9E" w:rsidR="00EE35DE" w:rsidRPr="00F567E1" w:rsidRDefault="00EE35DE" w:rsidP="009A58EE">
            <w:pPr>
              <w:pStyle w:val="Normal-pool-Table"/>
              <w:rPr>
                <w:szCs w:val="18"/>
                <w:lang w:val="es-ES_tradnl"/>
              </w:rPr>
            </w:pPr>
            <w:r w:rsidRPr="00F567E1">
              <w:rPr>
                <w:color w:val="000000"/>
                <w:lang w:val="es-ES_tradnl"/>
              </w:rPr>
              <w:t>50</w:t>
            </w:r>
          </w:p>
        </w:tc>
        <w:tc>
          <w:tcPr>
            <w:tcW w:w="2573" w:type="dxa"/>
            <w:tcBorders>
              <w:top w:val="nil"/>
              <w:left w:val="nil"/>
              <w:bottom w:val="single" w:sz="4" w:space="0" w:color="auto"/>
              <w:right w:val="single" w:sz="4" w:space="0" w:color="auto"/>
            </w:tcBorders>
            <w:noWrap/>
            <w:hideMark/>
          </w:tcPr>
          <w:p w14:paraId="129EF11E" w14:textId="77777777" w:rsidR="00EE35DE" w:rsidRPr="00F567E1" w:rsidRDefault="00EE35DE" w:rsidP="009A58EE">
            <w:pPr>
              <w:pStyle w:val="Normal-pool-Table"/>
              <w:rPr>
                <w:szCs w:val="18"/>
                <w:lang w:val="es-ES_tradnl"/>
              </w:rPr>
            </w:pPr>
            <w:r w:rsidRPr="00F567E1">
              <w:rPr>
                <w:color w:val="000000"/>
                <w:lang w:val="es-ES_tradnl"/>
              </w:rPr>
              <w:t>China</w:t>
            </w:r>
          </w:p>
        </w:tc>
        <w:tc>
          <w:tcPr>
            <w:tcW w:w="1400" w:type="dxa"/>
            <w:tcBorders>
              <w:top w:val="nil"/>
              <w:left w:val="nil"/>
              <w:bottom w:val="single" w:sz="4" w:space="0" w:color="auto"/>
              <w:right w:val="single" w:sz="4" w:space="0" w:color="auto"/>
            </w:tcBorders>
            <w:noWrap/>
            <w:hideMark/>
          </w:tcPr>
          <w:p w14:paraId="7694D5DA" w14:textId="77777777" w:rsidR="00EE35DE" w:rsidRPr="00F567E1" w:rsidRDefault="00EE35DE" w:rsidP="009A58EE">
            <w:pPr>
              <w:pStyle w:val="Normal-pool-Table"/>
              <w:jc w:val="right"/>
              <w:rPr>
                <w:szCs w:val="18"/>
                <w:lang w:val="es-ES_tradnl"/>
              </w:rPr>
            </w:pPr>
            <w:r w:rsidRPr="00F567E1">
              <w:rPr>
                <w:color w:val="000000"/>
                <w:lang w:val="es-ES_tradnl"/>
              </w:rPr>
              <w:t>20,004</w:t>
            </w:r>
          </w:p>
        </w:tc>
        <w:tc>
          <w:tcPr>
            <w:tcW w:w="1073" w:type="dxa"/>
            <w:tcBorders>
              <w:top w:val="nil"/>
              <w:left w:val="nil"/>
              <w:bottom w:val="single" w:sz="4" w:space="0" w:color="auto"/>
              <w:right w:val="single" w:sz="4" w:space="0" w:color="auto"/>
            </w:tcBorders>
            <w:noWrap/>
            <w:hideMark/>
          </w:tcPr>
          <w:p w14:paraId="46DCF0C0" w14:textId="77777777" w:rsidR="00EE35DE" w:rsidRPr="00F567E1" w:rsidRDefault="00EE35DE" w:rsidP="009A58EE">
            <w:pPr>
              <w:pStyle w:val="Normal-pool-Table"/>
              <w:jc w:val="right"/>
              <w:rPr>
                <w:szCs w:val="18"/>
                <w:lang w:val="es-ES_tradnl"/>
              </w:rPr>
            </w:pPr>
            <w:r w:rsidRPr="00F567E1">
              <w:rPr>
                <w:color w:val="000000"/>
                <w:lang w:val="es-ES_tradnl"/>
              </w:rPr>
              <w:t>20,1902</w:t>
            </w:r>
          </w:p>
        </w:tc>
        <w:tc>
          <w:tcPr>
            <w:tcW w:w="1293" w:type="dxa"/>
            <w:tcBorders>
              <w:top w:val="nil"/>
              <w:left w:val="nil"/>
              <w:bottom w:val="single" w:sz="4" w:space="0" w:color="auto"/>
              <w:right w:val="single" w:sz="4" w:space="0" w:color="auto"/>
            </w:tcBorders>
            <w:noWrap/>
            <w:hideMark/>
          </w:tcPr>
          <w:p w14:paraId="250CC699" w14:textId="77777777" w:rsidR="00EE35DE" w:rsidRPr="00F567E1" w:rsidRDefault="00EE35DE" w:rsidP="009A58EE">
            <w:pPr>
              <w:pStyle w:val="Normal-pool-Table"/>
              <w:jc w:val="right"/>
              <w:rPr>
                <w:szCs w:val="18"/>
                <w:lang w:val="es-ES_tradnl"/>
              </w:rPr>
            </w:pPr>
            <w:r w:rsidRPr="00F567E1">
              <w:rPr>
                <w:color w:val="000000"/>
                <w:lang w:val="es-ES_tradnl"/>
              </w:rPr>
              <w:t>622 535</w:t>
            </w:r>
          </w:p>
        </w:tc>
        <w:tc>
          <w:tcPr>
            <w:tcW w:w="1293" w:type="dxa"/>
            <w:tcBorders>
              <w:top w:val="nil"/>
              <w:left w:val="nil"/>
              <w:bottom w:val="single" w:sz="4" w:space="0" w:color="auto"/>
              <w:right w:val="single" w:sz="4" w:space="0" w:color="auto"/>
            </w:tcBorders>
            <w:noWrap/>
            <w:hideMark/>
          </w:tcPr>
          <w:p w14:paraId="762BB50B" w14:textId="77777777" w:rsidR="00EE35DE" w:rsidRPr="00F567E1" w:rsidRDefault="00EE35DE" w:rsidP="009A58EE">
            <w:pPr>
              <w:pStyle w:val="Normal-pool-Table"/>
              <w:jc w:val="right"/>
              <w:rPr>
                <w:szCs w:val="18"/>
                <w:lang w:val="es-ES_tradnl"/>
              </w:rPr>
            </w:pPr>
            <w:r w:rsidRPr="00F567E1">
              <w:rPr>
                <w:color w:val="000000"/>
                <w:lang w:val="es-ES_tradnl"/>
              </w:rPr>
              <w:t>821 595</w:t>
            </w:r>
          </w:p>
        </w:tc>
        <w:tc>
          <w:tcPr>
            <w:tcW w:w="1313" w:type="dxa"/>
            <w:tcBorders>
              <w:top w:val="nil"/>
              <w:left w:val="nil"/>
              <w:bottom w:val="single" w:sz="4" w:space="0" w:color="auto"/>
              <w:right w:val="single" w:sz="4" w:space="0" w:color="auto"/>
            </w:tcBorders>
            <w:noWrap/>
            <w:hideMark/>
          </w:tcPr>
          <w:p w14:paraId="05CD628F" w14:textId="77777777" w:rsidR="00EE35DE" w:rsidRPr="00F567E1" w:rsidRDefault="00EE35DE" w:rsidP="009A58EE">
            <w:pPr>
              <w:pStyle w:val="Normal-pool-Table"/>
              <w:jc w:val="right"/>
              <w:rPr>
                <w:szCs w:val="18"/>
                <w:lang w:val="es-ES_tradnl"/>
              </w:rPr>
            </w:pPr>
            <w:r w:rsidRPr="00F567E1">
              <w:rPr>
                <w:color w:val="000000"/>
                <w:lang w:val="es-ES_tradnl"/>
              </w:rPr>
              <w:t>1 444 131</w:t>
            </w:r>
          </w:p>
        </w:tc>
      </w:tr>
      <w:tr w:rsidR="00EE35DE" w:rsidRPr="00F567E1" w14:paraId="4C85E7F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24D7591" w14:textId="63D7A75C" w:rsidR="00EE35DE" w:rsidRPr="00F567E1" w:rsidRDefault="00EE35DE" w:rsidP="009A58EE">
            <w:pPr>
              <w:pStyle w:val="Normal-pool-Table"/>
              <w:rPr>
                <w:szCs w:val="18"/>
                <w:lang w:val="es-ES_tradnl"/>
              </w:rPr>
            </w:pPr>
            <w:r w:rsidRPr="00F567E1">
              <w:rPr>
                <w:color w:val="000000"/>
                <w:lang w:val="es-ES_tradnl"/>
              </w:rPr>
              <w:t>5</w:t>
            </w:r>
            <w:r w:rsidR="00FF34F4" w:rsidRPr="00F567E1">
              <w:rPr>
                <w:color w:val="000000"/>
                <w:lang w:val="es-ES_tradnl"/>
              </w:rPr>
              <w:t>1</w:t>
            </w:r>
          </w:p>
        </w:tc>
        <w:tc>
          <w:tcPr>
            <w:tcW w:w="2573" w:type="dxa"/>
            <w:tcBorders>
              <w:top w:val="nil"/>
              <w:left w:val="nil"/>
              <w:bottom w:val="single" w:sz="4" w:space="0" w:color="auto"/>
              <w:right w:val="single" w:sz="4" w:space="0" w:color="auto"/>
            </w:tcBorders>
            <w:noWrap/>
            <w:hideMark/>
          </w:tcPr>
          <w:p w14:paraId="00A414EB" w14:textId="77777777" w:rsidR="00EE35DE" w:rsidRPr="00F567E1" w:rsidRDefault="00EE35DE" w:rsidP="009A58EE">
            <w:pPr>
              <w:pStyle w:val="Normal-pool-Table"/>
              <w:rPr>
                <w:szCs w:val="18"/>
                <w:lang w:val="es-ES_tradnl"/>
              </w:rPr>
            </w:pPr>
            <w:r w:rsidRPr="00F567E1">
              <w:rPr>
                <w:color w:val="000000"/>
                <w:lang w:val="es-ES_tradnl"/>
              </w:rPr>
              <w:t>Chipre</w:t>
            </w:r>
          </w:p>
        </w:tc>
        <w:tc>
          <w:tcPr>
            <w:tcW w:w="1400" w:type="dxa"/>
            <w:tcBorders>
              <w:top w:val="nil"/>
              <w:left w:val="nil"/>
              <w:bottom w:val="single" w:sz="4" w:space="0" w:color="auto"/>
              <w:right w:val="single" w:sz="4" w:space="0" w:color="auto"/>
            </w:tcBorders>
            <w:noWrap/>
            <w:hideMark/>
          </w:tcPr>
          <w:p w14:paraId="31C33BA9" w14:textId="77777777" w:rsidR="00EE35DE" w:rsidRPr="00F567E1" w:rsidRDefault="00EE35DE" w:rsidP="009A58EE">
            <w:pPr>
              <w:pStyle w:val="Normal-pool-Table"/>
              <w:jc w:val="right"/>
              <w:rPr>
                <w:szCs w:val="18"/>
                <w:lang w:val="es-ES_tradnl"/>
              </w:rPr>
            </w:pPr>
            <w:r w:rsidRPr="00F567E1">
              <w:rPr>
                <w:color w:val="000000"/>
                <w:lang w:val="es-ES_tradnl"/>
              </w:rPr>
              <w:t>0,035</w:t>
            </w:r>
          </w:p>
        </w:tc>
        <w:tc>
          <w:tcPr>
            <w:tcW w:w="1073" w:type="dxa"/>
            <w:tcBorders>
              <w:top w:val="nil"/>
              <w:left w:val="nil"/>
              <w:bottom w:val="single" w:sz="4" w:space="0" w:color="auto"/>
              <w:right w:val="single" w:sz="4" w:space="0" w:color="auto"/>
            </w:tcBorders>
            <w:noWrap/>
            <w:hideMark/>
          </w:tcPr>
          <w:p w14:paraId="29D49664" w14:textId="77777777" w:rsidR="00EE35DE" w:rsidRPr="00F567E1" w:rsidRDefault="00EE35DE" w:rsidP="009A58EE">
            <w:pPr>
              <w:pStyle w:val="Normal-pool-Table"/>
              <w:jc w:val="right"/>
              <w:rPr>
                <w:szCs w:val="18"/>
                <w:lang w:val="es-ES_tradnl"/>
              </w:rPr>
            </w:pPr>
            <w:r w:rsidRPr="00F567E1">
              <w:rPr>
                <w:color w:val="000000"/>
                <w:lang w:val="es-ES_tradnl"/>
              </w:rPr>
              <w:t>0,0353</w:t>
            </w:r>
          </w:p>
        </w:tc>
        <w:tc>
          <w:tcPr>
            <w:tcW w:w="1293" w:type="dxa"/>
            <w:tcBorders>
              <w:top w:val="nil"/>
              <w:left w:val="nil"/>
              <w:bottom w:val="single" w:sz="4" w:space="0" w:color="auto"/>
              <w:right w:val="single" w:sz="4" w:space="0" w:color="auto"/>
            </w:tcBorders>
            <w:noWrap/>
            <w:hideMark/>
          </w:tcPr>
          <w:p w14:paraId="5B9A510E" w14:textId="77777777" w:rsidR="00EE35DE" w:rsidRPr="00F567E1" w:rsidRDefault="00EE35DE" w:rsidP="009A58EE">
            <w:pPr>
              <w:pStyle w:val="Normal-pool-Table"/>
              <w:jc w:val="right"/>
              <w:rPr>
                <w:szCs w:val="18"/>
                <w:lang w:val="es-ES_tradnl"/>
              </w:rPr>
            </w:pPr>
            <w:r w:rsidRPr="00F567E1">
              <w:rPr>
                <w:color w:val="000000"/>
                <w:lang w:val="es-ES_tradnl"/>
              </w:rPr>
              <w:t>1 089</w:t>
            </w:r>
          </w:p>
        </w:tc>
        <w:tc>
          <w:tcPr>
            <w:tcW w:w="1293" w:type="dxa"/>
            <w:tcBorders>
              <w:top w:val="nil"/>
              <w:left w:val="nil"/>
              <w:bottom w:val="single" w:sz="4" w:space="0" w:color="auto"/>
              <w:right w:val="single" w:sz="4" w:space="0" w:color="auto"/>
            </w:tcBorders>
            <w:noWrap/>
            <w:hideMark/>
          </w:tcPr>
          <w:p w14:paraId="4A247CA9" w14:textId="77777777" w:rsidR="00EE35DE" w:rsidRPr="00F567E1" w:rsidRDefault="00EE35DE" w:rsidP="009A58EE">
            <w:pPr>
              <w:pStyle w:val="Normal-pool-Table"/>
              <w:jc w:val="right"/>
              <w:rPr>
                <w:szCs w:val="18"/>
                <w:lang w:val="es-ES_tradnl"/>
              </w:rPr>
            </w:pPr>
            <w:r w:rsidRPr="00F567E1">
              <w:rPr>
                <w:color w:val="000000"/>
                <w:lang w:val="es-ES_tradnl"/>
              </w:rPr>
              <w:t>1 438</w:t>
            </w:r>
          </w:p>
        </w:tc>
        <w:tc>
          <w:tcPr>
            <w:tcW w:w="1313" w:type="dxa"/>
            <w:tcBorders>
              <w:top w:val="nil"/>
              <w:left w:val="nil"/>
              <w:bottom w:val="single" w:sz="4" w:space="0" w:color="auto"/>
              <w:right w:val="single" w:sz="4" w:space="0" w:color="auto"/>
            </w:tcBorders>
            <w:noWrap/>
            <w:hideMark/>
          </w:tcPr>
          <w:p w14:paraId="74CF3735" w14:textId="77777777" w:rsidR="00EE35DE" w:rsidRPr="00F567E1" w:rsidRDefault="00EE35DE" w:rsidP="009A58EE">
            <w:pPr>
              <w:pStyle w:val="Normal-pool-Table"/>
              <w:jc w:val="right"/>
              <w:rPr>
                <w:szCs w:val="18"/>
                <w:lang w:val="es-ES_tradnl"/>
              </w:rPr>
            </w:pPr>
            <w:r w:rsidRPr="00F567E1">
              <w:rPr>
                <w:color w:val="000000"/>
                <w:lang w:val="es-ES_tradnl"/>
              </w:rPr>
              <w:t>2 527</w:t>
            </w:r>
          </w:p>
        </w:tc>
      </w:tr>
      <w:tr w:rsidR="00EE35DE" w:rsidRPr="00F567E1" w14:paraId="02BE032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8209E03" w14:textId="10310AF7" w:rsidR="00EE35DE" w:rsidRPr="00F567E1" w:rsidRDefault="00EE35DE" w:rsidP="009A58EE">
            <w:pPr>
              <w:pStyle w:val="Normal-pool-Table"/>
              <w:rPr>
                <w:szCs w:val="18"/>
                <w:lang w:val="es-ES_tradnl"/>
              </w:rPr>
            </w:pPr>
            <w:r w:rsidRPr="00F567E1">
              <w:rPr>
                <w:color w:val="000000"/>
                <w:lang w:val="es-ES_tradnl"/>
              </w:rPr>
              <w:t>52</w:t>
            </w:r>
          </w:p>
        </w:tc>
        <w:tc>
          <w:tcPr>
            <w:tcW w:w="2573" w:type="dxa"/>
            <w:tcBorders>
              <w:top w:val="nil"/>
              <w:left w:val="nil"/>
              <w:bottom w:val="single" w:sz="4" w:space="0" w:color="auto"/>
              <w:right w:val="single" w:sz="4" w:space="0" w:color="auto"/>
            </w:tcBorders>
            <w:noWrap/>
            <w:hideMark/>
          </w:tcPr>
          <w:p w14:paraId="265AA42B" w14:textId="77777777" w:rsidR="00EE35DE" w:rsidRPr="00F567E1" w:rsidRDefault="00EE35DE" w:rsidP="009A58EE">
            <w:pPr>
              <w:pStyle w:val="Normal-pool-Table"/>
              <w:rPr>
                <w:szCs w:val="18"/>
                <w:lang w:val="es-ES_tradnl"/>
              </w:rPr>
            </w:pPr>
            <w:r w:rsidRPr="00F567E1">
              <w:rPr>
                <w:color w:val="000000"/>
                <w:lang w:val="es-ES_tradnl"/>
              </w:rPr>
              <w:t>Emiratos Árabes Unidos</w:t>
            </w:r>
          </w:p>
        </w:tc>
        <w:tc>
          <w:tcPr>
            <w:tcW w:w="1400" w:type="dxa"/>
            <w:tcBorders>
              <w:top w:val="nil"/>
              <w:left w:val="nil"/>
              <w:bottom w:val="single" w:sz="4" w:space="0" w:color="auto"/>
              <w:right w:val="single" w:sz="4" w:space="0" w:color="auto"/>
            </w:tcBorders>
            <w:noWrap/>
            <w:hideMark/>
          </w:tcPr>
          <w:p w14:paraId="7E58DF9B" w14:textId="77777777" w:rsidR="00EE35DE" w:rsidRPr="00F567E1" w:rsidRDefault="00EE35DE" w:rsidP="009A58EE">
            <w:pPr>
              <w:pStyle w:val="Normal-pool-Table"/>
              <w:jc w:val="right"/>
              <w:rPr>
                <w:szCs w:val="18"/>
                <w:lang w:val="es-ES_tradnl"/>
              </w:rPr>
            </w:pPr>
            <w:r w:rsidRPr="00F567E1">
              <w:rPr>
                <w:color w:val="000000"/>
                <w:lang w:val="es-ES_tradnl"/>
              </w:rPr>
              <w:t>0,574</w:t>
            </w:r>
          </w:p>
        </w:tc>
        <w:tc>
          <w:tcPr>
            <w:tcW w:w="1073" w:type="dxa"/>
            <w:tcBorders>
              <w:top w:val="nil"/>
              <w:left w:val="nil"/>
              <w:bottom w:val="single" w:sz="4" w:space="0" w:color="auto"/>
              <w:right w:val="single" w:sz="4" w:space="0" w:color="auto"/>
            </w:tcBorders>
            <w:noWrap/>
            <w:hideMark/>
          </w:tcPr>
          <w:p w14:paraId="32874348" w14:textId="77777777" w:rsidR="00EE35DE" w:rsidRPr="00F567E1" w:rsidRDefault="00EE35DE" w:rsidP="009A58EE">
            <w:pPr>
              <w:pStyle w:val="Normal-pool-Table"/>
              <w:jc w:val="right"/>
              <w:rPr>
                <w:szCs w:val="18"/>
                <w:lang w:val="es-ES_tradnl"/>
              </w:rPr>
            </w:pPr>
            <w:r w:rsidRPr="00F567E1">
              <w:rPr>
                <w:color w:val="000000"/>
                <w:lang w:val="es-ES_tradnl"/>
              </w:rPr>
              <w:t>0,5793</w:t>
            </w:r>
          </w:p>
        </w:tc>
        <w:tc>
          <w:tcPr>
            <w:tcW w:w="1293" w:type="dxa"/>
            <w:tcBorders>
              <w:top w:val="nil"/>
              <w:left w:val="nil"/>
              <w:bottom w:val="single" w:sz="4" w:space="0" w:color="auto"/>
              <w:right w:val="single" w:sz="4" w:space="0" w:color="auto"/>
            </w:tcBorders>
            <w:noWrap/>
            <w:hideMark/>
          </w:tcPr>
          <w:p w14:paraId="0A2CF24F" w14:textId="77777777" w:rsidR="00EE35DE" w:rsidRPr="00F567E1" w:rsidRDefault="00EE35DE" w:rsidP="009A58EE">
            <w:pPr>
              <w:pStyle w:val="Normal-pool-Table"/>
              <w:jc w:val="right"/>
              <w:rPr>
                <w:szCs w:val="18"/>
                <w:lang w:val="es-ES_tradnl"/>
              </w:rPr>
            </w:pPr>
            <w:r w:rsidRPr="00F567E1">
              <w:rPr>
                <w:color w:val="000000"/>
                <w:lang w:val="es-ES_tradnl"/>
              </w:rPr>
              <w:t>17 863</w:t>
            </w:r>
          </w:p>
        </w:tc>
        <w:tc>
          <w:tcPr>
            <w:tcW w:w="1293" w:type="dxa"/>
            <w:tcBorders>
              <w:top w:val="nil"/>
              <w:left w:val="nil"/>
              <w:bottom w:val="single" w:sz="4" w:space="0" w:color="auto"/>
              <w:right w:val="single" w:sz="4" w:space="0" w:color="auto"/>
            </w:tcBorders>
            <w:noWrap/>
            <w:hideMark/>
          </w:tcPr>
          <w:p w14:paraId="7958694F" w14:textId="77777777" w:rsidR="00EE35DE" w:rsidRPr="00F567E1" w:rsidRDefault="00EE35DE" w:rsidP="009A58EE">
            <w:pPr>
              <w:pStyle w:val="Normal-pool-Table"/>
              <w:jc w:val="right"/>
              <w:rPr>
                <w:szCs w:val="18"/>
                <w:lang w:val="es-ES_tradnl"/>
              </w:rPr>
            </w:pPr>
            <w:r w:rsidRPr="00F567E1">
              <w:rPr>
                <w:color w:val="000000"/>
                <w:lang w:val="es-ES_tradnl"/>
              </w:rPr>
              <w:t>23 575</w:t>
            </w:r>
          </w:p>
        </w:tc>
        <w:tc>
          <w:tcPr>
            <w:tcW w:w="1313" w:type="dxa"/>
            <w:tcBorders>
              <w:top w:val="nil"/>
              <w:left w:val="nil"/>
              <w:bottom w:val="single" w:sz="4" w:space="0" w:color="auto"/>
              <w:right w:val="single" w:sz="4" w:space="0" w:color="auto"/>
            </w:tcBorders>
            <w:noWrap/>
            <w:hideMark/>
          </w:tcPr>
          <w:p w14:paraId="4FCCE6C5" w14:textId="77777777" w:rsidR="00EE35DE" w:rsidRPr="00F567E1" w:rsidRDefault="00EE35DE" w:rsidP="009A58EE">
            <w:pPr>
              <w:pStyle w:val="Normal-pool-Table"/>
              <w:jc w:val="right"/>
              <w:rPr>
                <w:szCs w:val="18"/>
                <w:lang w:val="es-ES_tradnl"/>
              </w:rPr>
            </w:pPr>
            <w:r w:rsidRPr="00F567E1">
              <w:rPr>
                <w:color w:val="000000"/>
                <w:lang w:val="es-ES_tradnl"/>
              </w:rPr>
              <w:t>41 438</w:t>
            </w:r>
          </w:p>
        </w:tc>
      </w:tr>
      <w:tr w:rsidR="00EE35DE" w:rsidRPr="00F567E1" w14:paraId="6319CA5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E8B1AF3" w14:textId="3CCF87D5" w:rsidR="00EE35DE" w:rsidRPr="00F567E1" w:rsidRDefault="00EE35DE" w:rsidP="009A58EE">
            <w:pPr>
              <w:pStyle w:val="Normal-pool-Table"/>
              <w:rPr>
                <w:szCs w:val="18"/>
                <w:lang w:val="es-ES_tradnl"/>
              </w:rPr>
            </w:pPr>
            <w:r w:rsidRPr="00F567E1">
              <w:rPr>
                <w:color w:val="000000"/>
                <w:lang w:val="es-ES_tradnl"/>
              </w:rPr>
              <w:t>53</w:t>
            </w:r>
          </w:p>
        </w:tc>
        <w:tc>
          <w:tcPr>
            <w:tcW w:w="2573" w:type="dxa"/>
            <w:tcBorders>
              <w:top w:val="nil"/>
              <w:left w:val="nil"/>
              <w:bottom w:val="single" w:sz="4" w:space="0" w:color="auto"/>
              <w:right w:val="single" w:sz="4" w:space="0" w:color="auto"/>
            </w:tcBorders>
            <w:noWrap/>
            <w:hideMark/>
          </w:tcPr>
          <w:p w14:paraId="4995AFD3" w14:textId="77777777" w:rsidR="00EE35DE" w:rsidRPr="00F567E1" w:rsidRDefault="00EE35DE" w:rsidP="009A58EE">
            <w:pPr>
              <w:pStyle w:val="Normal-pool-Table"/>
              <w:rPr>
                <w:szCs w:val="18"/>
                <w:lang w:val="es-ES_tradnl"/>
              </w:rPr>
            </w:pPr>
            <w:r w:rsidRPr="00F567E1">
              <w:rPr>
                <w:color w:val="000000"/>
                <w:lang w:val="es-ES_tradnl"/>
              </w:rPr>
              <w:t>Estado de Palestina</w:t>
            </w:r>
          </w:p>
        </w:tc>
        <w:tc>
          <w:tcPr>
            <w:tcW w:w="1400" w:type="dxa"/>
            <w:tcBorders>
              <w:top w:val="nil"/>
              <w:left w:val="nil"/>
              <w:bottom w:val="single" w:sz="4" w:space="0" w:color="auto"/>
              <w:right w:val="single" w:sz="4" w:space="0" w:color="auto"/>
            </w:tcBorders>
            <w:noWrap/>
            <w:hideMark/>
          </w:tcPr>
          <w:p w14:paraId="0E871071" w14:textId="77777777" w:rsidR="00EE35DE" w:rsidRPr="00F567E1" w:rsidRDefault="00EE35DE" w:rsidP="009A58EE">
            <w:pPr>
              <w:pStyle w:val="Normal-pool-Table"/>
              <w:jc w:val="right"/>
              <w:rPr>
                <w:szCs w:val="18"/>
                <w:lang w:val="es-ES_tradnl"/>
              </w:rPr>
            </w:pPr>
            <w:r w:rsidRPr="00F567E1">
              <w:rPr>
                <w:color w:val="000000"/>
                <w:lang w:val="es-ES_tradnl"/>
              </w:rPr>
              <w:t>0,011</w:t>
            </w:r>
          </w:p>
        </w:tc>
        <w:tc>
          <w:tcPr>
            <w:tcW w:w="1073" w:type="dxa"/>
            <w:tcBorders>
              <w:top w:val="nil"/>
              <w:left w:val="nil"/>
              <w:bottom w:val="single" w:sz="4" w:space="0" w:color="auto"/>
              <w:right w:val="single" w:sz="4" w:space="0" w:color="auto"/>
            </w:tcBorders>
            <w:noWrap/>
            <w:hideMark/>
          </w:tcPr>
          <w:p w14:paraId="6E8E69E8" w14:textId="77777777" w:rsidR="00EE35DE" w:rsidRPr="00F567E1" w:rsidRDefault="00EE35DE" w:rsidP="009A58EE">
            <w:pPr>
              <w:pStyle w:val="Normal-pool-Table"/>
              <w:jc w:val="right"/>
              <w:rPr>
                <w:szCs w:val="18"/>
                <w:lang w:val="es-ES_tradnl"/>
              </w:rPr>
            </w:pPr>
            <w:r w:rsidRPr="00F567E1">
              <w:rPr>
                <w:color w:val="000000"/>
                <w:lang w:val="es-ES_tradnl"/>
              </w:rPr>
              <w:t>0,0111</w:t>
            </w:r>
          </w:p>
        </w:tc>
        <w:tc>
          <w:tcPr>
            <w:tcW w:w="1293" w:type="dxa"/>
            <w:tcBorders>
              <w:top w:val="nil"/>
              <w:left w:val="nil"/>
              <w:bottom w:val="single" w:sz="4" w:space="0" w:color="auto"/>
              <w:right w:val="single" w:sz="4" w:space="0" w:color="auto"/>
            </w:tcBorders>
            <w:noWrap/>
            <w:hideMark/>
          </w:tcPr>
          <w:p w14:paraId="6881E596" w14:textId="77777777" w:rsidR="00EE35DE" w:rsidRPr="00F567E1" w:rsidRDefault="00EE35DE" w:rsidP="009A58EE">
            <w:pPr>
              <w:pStyle w:val="Normal-pool-Table"/>
              <w:jc w:val="right"/>
              <w:rPr>
                <w:szCs w:val="18"/>
                <w:lang w:val="es-ES_tradnl"/>
              </w:rPr>
            </w:pPr>
            <w:r w:rsidRPr="00F567E1">
              <w:rPr>
                <w:color w:val="000000"/>
                <w:lang w:val="es-ES_tradnl"/>
              </w:rPr>
              <w:t>342</w:t>
            </w:r>
          </w:p>
        </w:tc>
        <w:tc>
          <w:tcPr>
            <w:tcW w:w="1293" w:type="dxa"/>
            <w:tcBorders>
              <w:top w:val="nil"/>
              <w:left w:val="nil"/>
              <w:bottom w:val="single" w:sz="4" w:space="0" w:color="auto"/>
              <w:right w:val="single" w:sz="4" w:space="0" w:color="auto"/>
            </w:tcBorders>
            <w:noWrap/>
            <w:hideMark/>
          </w:tcPr>
          <w:p w14:paraId="5A519284" w14:textId="77777777" w:rsidR="00EE35DE" w:rsidRPr="00F567E1" w:rsidRDefault="00EE35DE" w:rsidP="009A58EE">
            <w:pPr>
              <w:pStyle w:val="Normal-pool-Table"/>
              <w:jc w:val="right"/>
              <w:rPr>
                <w:szCs w:val="18"/>
                <w:lang w:val="es-ES_tradnl"/>
              </w:rPr>
            </w:pPr>
            <w:r w:rsidRPr="00F567E1">
              <w:rPr>
                <w:color w:val="000000"/>
                <w:lang w:val="es-ES_tradnl"/>
              </w:rPr>
              <w:t>452</w:t>
            </w:r>
          </w:p>
        </w:tc>
        <w:tc>
          <w:tcPr>
            <w:tcW w:w="1313" w:type="dxa"/>
            <w:tcBorders>
              <w:top w:val="nil"/>
              <w:left w:val="nil"/>
              <w:bottom w:val="single" w:sz="4" w:space="0" w:color="auto"/>
              <w:right w:val="single" w:sz="4" w:space="0" w:color="auto"/>
            </w:tcBorders>
            <w:noWrap/>
            <w:hideMark/>
          </w:tcPr>
          <w:p w14:paraId="066EC8CB" w14:textId="77777777" w:rsidR="00EE35DE" w:rsidRPr="00F567E1" w:rsidRDefault="00EE35DE" w:rsidP="009A58EE">
            <w:pPr>
              <w:pStyle w:val="Normal-pool-Table"/>
              <w:jc w:val="right"/>
              <w:rPr>
                <w:szCs w:val="18"/>
                <w:lang w:val="es-ES_tradnl"/>
              </w:rPr>
            </w:pPr>
            <w:r w:rsidRPr="00F567E1">
              <w:rPr>
                <w:color w:val="000000"/>
                <w:lang w:val="es-ES_tradnl"/>
              </w:rPr>
              <w:t>794</w:t>
            </w:r>
          </w:p>
        </w:tc>
      </w:tr>
      <w:tr w:rsidR="00EE35DE" w:rsidRPr="00F567E1" w14:paraId="72CE1DC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F7561F2" w14:textId="5DBB5D0B" w:rsidR="00EE35DE" w:rsidRPr="00F567E1" w:rsidRDefault="00EE35DE" w:rsidP="009A58EE">
            <w:pPr>
              <w:pStyle w:val="Normal-pool-Table"/>
              <w:rPr>
                <w:szCs w:val="18"/>
                <w:lang w:val="es-ES_tradnl"/>
              </w:rPr>
            </w:pPr>
            <w:r w:rsidRPr="00F567E1">
              <w:rPr>
                <w:color w:val="000000"/>
                <w:lang w:val="es-ES_tradnl"/>
              </w:rPr>
              <w:t>54</w:t>
            </w:r>
          </w:p>
        </w:tc>
        <w:tc>
          <w:tcPr>
            <w:tcW w:w="2573" w:type="dxa"/>
            <w:tcBorders>
              <w:top w:val="nil"/>
              <w:left w:val="nil"/>
              <w:bottom w:val="single" w:sz="4" w:space="0" w:color="auto"/>
              <w:right w:val="single" w:sz="4" w:space="0" w:color="auto"/>
            </w:tcBorders>
            <w:noWrap/>
            <w:hideMark/>
          </w:tcPr>
          <w:p w14:paraId="053B6D0A" w14:textId="77777777" w:rsidR="00EE35DE" w:rsidRPr="00F567E1" w:rsidRDefault="00EE35DE" w:rsidP="009A58EE">
            <w:pPr>
              <w:pStyle w:val="Normal-pool-Table"/>
              <w:rPr>
                <w:szCs w:val="18"/>
                <w:lang w:val="es-ES_tradnl"/>
              </w:rPr>
            </w:pPr>
            <w:r w:rsidRPr="00F567E1">
              <w:rPr>
                <w:color w:val="000000"/>
                <w:lang w:val="es-ES_tradnl"/>
              </w:rPr>
              <w:t>Filipinas</w:t>
            </w:r>
          </w:p>
        </w:tc>
        <w:tc>
          <w:tcPr>
            <w:tcW w:w="1400" w:type="dxa"/>
            <w:tcBorders>
              <w:top w:val="nil"/>
              <w:left w:val="nil"/>
              <w:bottom w:val="single" w:sz="4" w:space="0" w:color="auto"/>
              <w:right w:val="single" w:sz="4" w:space="0" w:color="auto"/>
            </w:tcBorders>
            <w:noWrap/>
            <w:hideMark/>
          </w:tcPr>
          <w:p w14:paraId="53D2D04E" w14:textId="77777777" w:rsidR="00EE35DE" w:rsidRPr="00F567E1" w:rsidRDefault="00EE35DE" w:rsidP="009A58EE">
            <w:pPr>
              <w:pStyle w:val="Normal-pool-Table"/>
              <w:jc w:val="right"/>
              <w:rPr>
                <w:szCs w:val="18"/>
                <w:lang w:val="es-ES_tradnl"/>
              </w:rPr>
            </w:pPr>
            <w:r w:rsidRPr="00F567E1">
              <w:rPr>
                <w:color w:val="000000"/>
                <w:lang w:val="es-ES_tradnl"/>
              </w:rPr>
              <w:t>0,198</w:t>
            </w:r>
          </w:p>
        </w:tc>
        <w:tc>
          <w:tcPr>
            <w:tcW w:w="1073" w:type="dxa"/>
            <w:tcBorders>
              <w:top w:val="nil"/>
              <w:left w:val="nil"/>
              <w:bottom w:val="single" w:sz="4" w:space="0" w:color="auto"/>
              <w:right w:val="single" w:sz="4" w:space="0" w:color="auto"/>
            </w:tcBorders>
            <w:noWrap/>
            <w:hideMark/>
          </w:tcPr>
          <w:p w14:paraId="598E189A" w14:textId="77777777" w:rsidR="00EE35DE" w:rsidRPr="00F567E1" w:rsidRDefault="00EE35DE" w:rsidP="009A58EE">
            <w:pPr>
              <w:pStyle w:val="Normal-pool-Table"/>
              <w:jc w:val="right"/>
              <w:rPr>
                <w:szCs w:val="18"/>
                <w:lang w:val="es-ES_tradnl"/>
              </w:rPr>
            </w:pPr>
            <w:r w:rsidRPr="00F567E1">
              <w:rPr>
                <w:color w:val="000000"/>
                <w:lang w:val="es-ES_tradnl"/>
              </w:rPr>
              <w:t>0,1998</w:t>
            </w:r>
          </w:p>
        </w:tc>
        <w:tc>
          <w:tcPr>
            <w:tcW w:w="1293" w:type="dxa"/>
            <w:tcBorders>
              <w:top w:val="nil"/>
              <w:left w:val="nil"/>
              <w:bottom w:val="single" w:sz="4" w:space="0" w:color="auto"/>
              <w:right w:val="single" w:sz="4" w:space="0" w:color="auto"/>
            </w:tcBorders>
            <w:noWrap/>
            <w:hideMark/>
          </w:tcPr>
          <w:p w14:paraId="3B52A4BC" w14:textId="77777777" w:rsidR="00EE35DE" w:rsidRPr="00F567E1" w:rsidRDefault="00EE35DE" w:rsidP="009A58EE">
            <w:pPr>
              <w:pStyle w:val="Normal-pool-Table"/>
              <w:jc w:val="right"/>
              <w:rPr>
                <w:szCs w:val="18"/>
                <w:lang w:val="es-ES_tradnl"/>
              </w:rPr>
            </w:pPr>
            <w:r w:rsidRPr="00F567E1">
              <w:rPr>
                <w:color w:val="000000"/>
                <w:lang w:val="es-ES_tradnl"/>
              </w:rPr>
              <w:t>6 162</w:t>
            </w:r>
          </w:p>
        </w:tc>
        <w:tc>
          <w:tcPr>
            <w:tcW w:w="1293" w:type="dxa"/>
            <w:tcBorders>
              <w:top w:val="nil"/>
              <w:left w:val="nil"/>
              <w:bottom w:val="single" w:sz="4" w:space="0" w:color="auto"/>
              <w:right w:val="single" w:sz="4" w:space="0" w:color="auto"/>
            </w:tcBorders>
            <w:noWrap/>
            <w:hideMark/>
          </w:tcPr>
          <w:p w14:paraId="6C86A380" w14:textId="77777777" w:rsidR="00EE35DE" w:rsidRPr="00F567E1" w:rsidRDefault="00EE35DE" w:rsidP="009A58EE">
            <w:pPr>
              <w:pStyle w:val="Normal-pool-Table"/>
              <w:jc w:val="right"/>
              <w:rPr>
                <w:szCs w:val="18"/>
                <w:lang w:val="es-ES_tradnl"/>
              </w:rPr>
            </w:pPr>
            <w:r w:rsidRPr="00F567E1">
              <w:rPr>
                <w:color w:val="000000"/>
                <w:lang w:val="es-ES_tradnl"/>
              </w:rPr>
              <w:t>8 132</w:t>
            </w:r>
          </w:p>
        </w:tc>
        <w:tc>
          <w:tcPr>
            <w:tcW w:w="1313" w:type="dxa"/>
            <w:tcBorders>
              <w:top w:val="nil"/>
              <w:left w:val="nil"/>
              <w:bottom w:val="single" w:sz="4" w:space="0" w:color="auto"/>
              <w:right w:val="single" w:sz="4" w:space="0" w:color="auto"/>
            </w:tcBorders>
            <w:noWrap/>
            <w:hideMark/>
          </w:tcPr>
          <w:p w14:paraId="043B523A" w14:textId="77777777" w:rsidR="00EE35DE" w:rsidRPr="00F567E1" w:rsidRDefault="00EE35DE" w:rsidP="009A58EE">
            <w:pPr>
              <w:pStyle w:val="Normal-pool-Table"/>
              <w:jc w:val="right"/>
              <w:rPr>
                <w:szCs w:val="18"/>
                <w:lang w:val="es-ES_tradnl"/>
              </w:rPr>
            </w:pPr>
            <w:r w:rsidRPr="00F567E1">
              <w:rPr>
                <w:color w:val="000000"/>
                <w:lang w:val="es-ES_tradnl"/>
              </w:rPr>
              <w:t>14 294</w:t>
            </w:r>
          </w:p>
        </w:tc>
      </w:tr>
      <w:tr w:rsidR="00EE35DE" w:rsidRPr="00F567E1" w14:paraId="608B77F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8589F80" w14:textId="64E20D7B" w:rsidR="00EE35DE" w:rsidRPr="00F567E1" w:rsidRDefault="00EE35DE" w:rsidP="009A58EE">
            <w:pPr>
              <w:pStyle w:val="Normal-pool-Table"/>
              <w:rPr>
                <w:szCs w:val="18"/>
                <w:lang w:val="es-ES_tradnl"/>
              </w:rPr>
            </w:pPr>
            <w:r w:rsidRPr="00F567E1">
              <w:rPr>
                <w:color w:val="000000"/>
                <w:lang w:val="es-ES_tradnl"/>
              </w:rPr>
              <w:t>55</w:t>
            </w:r>
          </w:p>
        </w:tc>
        <w:tc>
          <w:tcPr>
            <w:tcW w:w="2573" w:type="dxa"/>
            <w:tcBorders>
              <w:top w:val="nil"/>
              <w:left w:val="nil"/>
              <w:bottom w:val="single" w:sz="4" w:space="0" w:color="auto"/>
              <w:right w:val="single" w:sz="4" w:space="0" w:color="auto"/>
            </w:tcBorders>
            <w:noWrap/>
            <w:hideMark/>
          </w:tcPr>
          <w:p w14:paraId="2AEBCD70" w14:textId="77777777" w:rsidR="00EE35DE" w:rsidRPr="00F567E1" w:rsidRDefault="00EE35DE" w:rsidP="009A58EE">
            <w:pPr>
              <w:pStyle w:val="Normal-pool-Table"/>
              <w:rPr>
                <w:szCs w:val="18"/>
                <w:lang w:val="es-ES_tradnl"/>
              </w:rPr>
            </w:pPr>
            <w:r w:rsidRPr="00F567E1">
              <w:rPr>
                <w:color w:val="000000"/>
                <w:lang w:val="es-ES_tradnl"/>
              </w:rPr>
              <w:t>India</w:t>
            </w:r>
          </w:p>
        </w:tc>
        <w:tc>
          <w:tcPr>
            <w:tcW w:w="1400" w:type="dxa"/>
            <w:tcBorders>
              <w:top w:val="nil"/>
              <w:left w:val="nil"/>
              <w:bottom w:val="single" w:sz="4" w:space="0" w:color="auto"/>
              <w:right w:val="single" w:sz="4" w:space="0" w:color="auto"/>
            </w:tcBorders>
            <w:noWrap/>
            <w:hideMark/>
          </w:tcPr>
          <w:p w14:paraId="333516A8" w14:textId="77777777" w:rsidR="00EE35DE" w:rsidRPr="00F567E1" w:rsidRDefault="00EE35DE" w:rsidP="009A58EE">
            <w:pPr>
              <w:pStyle w:val="Normal-pool-Table"/>
              <w:jc w:val="right"/>
              <w:rPr>
                <w:szCs w:val="18"/>
                <w:lang w:val="es-ES_tradnl"/>
              </w:rPr>
            </w:pPr>
            <w:r w:rsidRPr="00F567E1">
              <w:rPr>
                <w:color w:val="000000"/>
                <w:lang w:val="es-ES_tradnl"/>
              </w:rPr>
              <w:t>1,106</w:t>
            </w:r>
          </w:p>
        </w:tc>
        <w:tc>
          <w:tcPr>
            <w:tcW w:w="1073" w:type="dxa"/>
            <w:tcBorders>
              <w:top w:val="nil"/>
              <w:left w:val="nil"/>
              <w:bottom w:val="single" w:sz="4" w:space="0" w:color="auto"/>
              <w:right w:val="single" w:sz="4" w:space="0" w:color="auto"/>
            </w:tcBorders>
            <w:noWrap/>
            <w:hideMark/>
          </w:tcPr>
          <w:p w14:paraId="16B30420" w14:textId="77777777" w:rsidR="00EE35DE" w:rsidRPr="00F567E1" w:rsidRDefault="00EE35DE" w:rsidP="009A58EE">
            <w:pPr>
              <w:pStyle w:val="Normal-pool-Table"/>
              <w:jc w:val="right"/>
              <w:rPr>
                <w:szCs w:val="18"/>
                <w:lang w:val="es-ES_tradnl"/>
              </w:rPr>
            </w:pPr>
            <w:r w:rsidRPr="00F567E1">
              <w:rPr>
                <w:color w:val="000000"/>
                <w:lang w:val="es-ES_tradnl"/>
              </w:rPr>
              <w:t>1,1163</w:t>
            </w:r>
          </w:p>
        </w:tc>
        <w:tc>
          <w:tcPr>
            <w:tcW w:w="1293" w:type="dxa"/>
            <w:tcBorders>
              <w:top w:val="nil"/>
              <w:left w:val="nil"/>
              <w:bottom w:val="single" w:sz="4" w:space="0" w:color="auto"/>
              <w:right w:val="single" w:sz="4" w:space="0" w:color="auto"/>
            </w:tcBorders>
            <w:noWrap/>
            <w:hideMark/>
          </w:tcPr>
          <w:p w14:paraId="6CB1F1F9" w14:textId="77777777" w:rsidR="00EE35DE" w:rsidRPr="00F567E1" w:rsidRDefault="00EE35DE" w:rsidP="009A58EE">
            <w:pPr>
              <w:pStyle w:val="Normal-pool-Table"/>
              <w:jc w:val="right"/>
              <w:rPr>
                <w:szCs w:val="18"/>
                <w:lang w:val="es-ES_tradnl"/>
              </w:rPr>
            </w:pPr>
            <w:r w:rsidRPr="00F567E1">
              <w:rPr>
                <w:color w:val="000000"/>
                <w:lang w:val="es-ES_tradnl"/>
              </w:rPr>
              <w:t>34 419</w:t>
            </w:r>
          </w:p>
        </w:tc>
        <w:tc>
          <w:tcPr>
            <w:tcW w:w="1293" w:type="dxa"/>
            <w:tcBorders>
              <w:top w:val="nil"/>
              <w:left w:val="nil"/>
              <w:bottom w:val="single" w:sz="4" w:space="0" w:color="auto"/>
              <w:right w:val="single" w:sz="4" w:space="0" w:color="auto"/>
            </w:tcBorders>
            <w:noWrap/>
            <w:hideMark/>
          </w:tcPr>
          <w:p w14:paraId="019CE010" w14:textId="77777777" w:rsidR="00EE35DE" w:rsidRPr="00F567E1" w:rsidRDefault="00EE35DE" w:rsidP="009A58EE">
            <w:pPr>
              <w:pStyle w:val="Normal-pool-Table"/>
              <w:jc w:val="right"/>
              <w:rPr>
                <w:szCs w:val="18"/>
                <w:lang w:val="es-ES_tradnl"/>
              </w:rPr>
            </w:pPr>
            <w:r w:rsidRPr="00F567E1">
              <w:rPr>
                <w:color w:val="000000"/>
                <w:lang w:val="es-ES_tradnl"/>
              </w:rPr>
              <w:t>45 425</w:t>
            </w:r>
          </w:p>
        </w:tc>
        <w:tc>
          <w:tcPr>
            <w:tcW w:w="1313" w:type="dxa"/>
            <w:tcBorders>
              <w:top w:val="nil"/>
              <w:left w:val="nil"/>
              <w:bottom w:val="single" w:sz="4" w:space="0" w:color="auto"/>
              <w:right w:val="single" w:sz="4" w:space="0" w:color="auto"/>
            </w:tcBorders>
            <w:noWrap/>
            <w:hideMark/>
          </w:tcPr>
          <w:p w14:paraId="7A4C6A00" w14:textId="77777777" w:rsidR="00EE35DE" w:rsidRPr="00F567E1" w:rsidRDefault="00EE35DE" w:rsidP="009A58EE">
            <w:pPr>
              <w:pStyle w:val="Normal-pool-Table"/>
              <w:jc w:val="right"/>
              <w:rPr>
                <w:szCs w:val="18"/>
                <w:lang w:val="es-ES_tradnl"/>
              </w:rPr>
            </w:pPr>
            <w:r w:rsidRPr="00F567E1">
              <w:rPr>
                <w:color w:val="000000"/>
                <w:lang w:val="es-ES_tradnl"/>
              </w:rPr>
              <w:t>79 844</w:t>
            </w:r>
          </w:p>
        </w:tc>
      </w:tr>
      <w:tr w:rsidR="00EE35DE" w:rsidRPr="00F567E1" w14:paraId="096E92F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18513D1" w14:textId="6A599446" w:rsidR="00EE35DE" w:rsidRPr="00F567E1" w:rsidRDefault="00EE35DE" w:rsidP="009A58EE">
            <w:pPr>
              <w:pStyle w:val="Normal-pool-Table"/>
              <w:rPr>
                <w:szCs w:val="18"/>
                <w:lang w:val="es-ES_tradnl"/>
              </w:rPr>
            </w:pPr>
            <w:r w:rsidRPr="00F567E1">
              <w:rPr>
                <w:color w:val="000000"/>
                <w:lang w:val="es-ES_tradnl"/>
              </w:rPr>
              <w:t>56</w:t>
            </w:r>
          </w:p>
        </w:tc>
        <w:tc>
          <w:tcPr>
            <w:tcW w:w="2573" w:type="dxa"/>
            <w:tcBorders>
              <w:top w:val="nil"/>
              <w:left w:val="nil"/>
              <w:bottom w:val="single" w:sz="4" w:space="0" w:color="auto"/>
              <w:right w:val="single" w:sz="4" w:space="0" w:color="auto"/>
            </w:tcBorders>
            <w:noWrap/>
            <w:hideMark/>
          </w:tcPr>
          <w:p w14:paraId="49562CC4" w14:textId="77777777" w:rsidR="00EE35DE" w:rsidRPr="00F567E1" w:rsidRDefault="00EE35DE" w:rsidP="009A58EE">
            <w:pPr>
              <w:pStyle w:val="Normal-pool-Table"/>
              <w:rPr>
                <w:szCs w:val="18"/>
                <w:lang w:val="es-ES_tradnl"/>
              </w:rPr>
            </w:pPr>
            <w:r w:rsidRPr="00F567E1">
              <w:rPr>
                <w:color w:val="000000"/>
                <w:lang w:val="es-ES_tradnl"/>
              </w:rPr>
              <w:t>Indonesia</w:t>
            </w:r>
          </w:p>
        </w:tc>
        <w:tc>
          <w:tcPr>
            <w:tcW w:w="1400" w:type="dxa"/>
            <w:tcBorders>
              <w:top w:val="nil"/>
              <w:left w:val="nil"/>
              <w:bottom w:val="single" w:sz="4" w:space="0" w:color="auto"/>
              <w:right w:val="single" w:sz="4" w:space="0" w:color="auto"/>
            </w:tcBorders>
            <w:noWrap/>
            <w:hideMark/>
          </w:tcPr>
          <w:p w14:paraId="0A002E01" w14:textId="77777777" w:rsidR="00EE35DE" w:rsidRPr="00F567E1" w:rsidRDefault="00EE35DE" w:rsidP="009A58EE">
            <w:pPr>
              <w:pStyle w:val="Normal-pool-Table"/>
              <w:jc w:val="right"/>
              <w:rPr>
                <w:szCs w:val="18"/>
                <w:lang w:val="es-ES_tradnl"/>
              </w:rPr>
            </w:pPr>
            <w:r w:rsidRPr="00F567E1">
              <w:rPr>
                <w:color w:val="000000"/>
                <w:lang w:val="es-ES_tradnl"/>
              </w:rPr>
              <w:t>0,579</w:t>
            </w:r>
          </w:p>
        </w:tc>
        <w:tc>
          <w:tcPr>
            <w:tcW w:w="1073" w:type="dxa"/>
            <w:tcBorders>
              <w:top w:val="nil"/>
              <w:left w:val="nil"/>
              <w:bottom w:val="single" w:sz="4" w:space="0" w:color="auto"/>
              <w:right w:val="single" w:sz="4" w:space="0" w:color="auto"/>
            </w:tcBorders>
            <w:noWrap/>
            <w:hideMark/>
          </w:tcPr>
          <w:p w14:paraId="43F184D3" w14:textId="77777777" w:rsidR="00EE35DE" w:rsidRPr="00F567E1" w:rsidRDefault="00EE35DE" w:rsidP="009A58EE">
            <w:pPr>
              <w:pStyle w:val="Normal-pool-Table"/>
              <w:jc w:val="right"/>
              <w:rPr>
                <w:szCs w:val="18"/>
                <w:lang w:val="es-ES_tradnl"/>
              </w:rPr>
            </w:pPr>
            <w:r w:rsidRPr="00F567E1">
              <w:rPr>
                <w:color w:val="000000"/>
                <w:lang w:val="es-ES_tradnl"/>
              </w:rPr>
              <w:t>0,5844</w:t>
            </w:r>
          </w:p>
        </w:tc>
        <w:tc>
          <w:tcPr>
            <w:tcW w:w="1293" w:type="dxa"/>
            <w:tcBorders>
              <w:top w:val="nil"/>
              <w:left w:val="nil"/>
              <w:bottom w:val="single" w:sz="4" w:space="0" w:color="auto"/>
              <w:right w:val="single" w:sz="4" w:space="0" w:color="auto"/>
            </w:tcBorders>
            <w:noWrap/>
            <w:hideMark/>
          </w:tcPr>
          <w:p w14:paraId="23816FCA" w14:textId="77777777" w:rsidR="00EE35DE" w:rsidRPr="00F567E1" w:rsidRDefault="00EE35DE" w:rsidP="009A58EE">
            <w:pPr>
              <w:pStyle w:val="Normal-pool-Table"/>
              <w:jc w:val="right"/>
              <w:rPr>
                <w:szCs w:val="18"/>
                <w:lang w:val="es-ES_tradnl"/>
              </w:rPr>
            </w:pPr>
            <w:r w:rsidRPr="00F567E1">
              <w:rPr>
                <w:color w:val="000000"/>
                <w:lang w:val="es-ES_tradnl"/>
              </w:rPr>
              <w:t>18 019</w:t>
            </w:r>
          </w:p>
        </w:tc>
        <w:tc>
          <w:tcPr>
            <w:tcW w:w="1293" w:type="dxa"/>
            <w:tcBorders>
              <w:top w:val="nil"/>
              <w:left w:val="nil"/>
              <w:bottom w:val="single" w:sz="4" w:space="0" w:color="auto"/>
              <w:right w:val="single" w:sz="4" w:space="0" w:color="auto"/>
            </w:tcBorders>
            <w:noWrap/>
            <w:hideMark/>
          </w:tcPr>
          <w:p w14:paraId="37AA69C1" w14:textId="77777777" w:rsidR="00EE35DE" w:rsidRPr="00F567E1" w:rsidRDefault="00EE35DE" w:rsidP="009A58EE">
            <w:pPr>
              <w:pStyle w:val="Normal-pool-Table"/>
              <w:jc w:val="right"/>
              <w:rPr>
                <w:szCs w:val="18"/>
                <w:lang w:val="es-ES_tradnl"/>
              </w:rPr>
            </w:pPr>
            <w:r w:rsidRPr="00F567E1">
              <w:rPr>
                <w:color w:val="000000"/>
                <w:lang w:val="es-ES_tradnl"/>
              </w:rPr>
              <w:t>23 780</w:t>
            </w:r>
          </w:p>
        </w:tc>
        <w:tc>
          <w:tcPr>
            <w:tcW w:w="1313" w:type="dxa"/>
            <w:tcBorders>
              <w:top w:val="nil"/>
              <w:left w:val="nil"/>
              <w:bottom w:val="single" w:sz="4" w:space="0" w:color="auto"/>
              <w:right w:val="single" w:sz="4" w:space="0" w:color="auto"/>
            </w:tcBorders>
            <w:noWrap/>
            <w:hideMark/>
          </w:tcPr>
          <w:p w14:paraId="1FA7F4FF" w14:textId="77777777" w:rsidR="00EE35DE" w:rsidRPr="00F567E1" w:rsidRDefault="00EE35DE" w:rsidP="009A58EE">
            <w:pPr>
              <w:pStyle w:val="Normal-pool-Table"/>
              <w:jc w:val="right"/>
              <w:rPr>
                <w:szCs w:val="18"/>
                <w:lang w:val="es-ES_tradnl"/>
              </w:rPr>
            </w:pPr>
            <w:r w:rsidRPr="00F567E1">
              <w:rPr>
                <w:color w:val="000000"/>
                <w:lang w:val="es-ES_tradnl"/>
              </w:rPr>
              <w:t>41 799</w:t>
            </w:r>
          </w:p>
        </w:tc>
      </w:tr>
      <w:tr w:rsidR="00EE35DE" w:rsidRPr="00F567E1" w14:paraId="5696329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20997CC" w14:textId="7D2DFD05" w:rsidR="00EE35DE" w:rsidRPr="00F567E1" w:rsidRDefault="00EE35DE" w:rsidP="009A58EE">
            <w:pPr>
              <w:pStyle w:val="Normal-pool-Table"/>
              <w:rPr>
                <w:szCs w:val="18"/>
                <w:lang w:val="es-ES_tradnl"/>
              </w:rPr>
            </w:pPr>
            <w:r w:rsidRPr="00F567E1">
              <w:rPr>
                <w:color w:val="000000"/>
                <w:lang w:val="es-ES_tradnl"/>
              </w:rPr>
              <w:t>57</w:t>
            </w:r>
          </w:p>
        </w:tc>
        <w:tc>
          <w:tcPr>
            <w:tcW w:w="2573" w:type="dxa"/>
            <w:tcBorders>
              <w:top w:val="nil"/>
              <w:left w:val="nil"/>
              <w:bottom w:val="single" w:sz="4" w:space="0" w:color="auto"/>
              <w:right w:val="single" w:sz="4" w:space="0" w:color="auto"/>
            </w:tcBorders>
            <w:noWrap/>
            <w:hideMark/>
          </w:tcPr>
          <w:p w14:paraId="75116D89" w14:textId="77777777" w:rsidR="00EE35DE" w:rsidRPr="00F567E1" w:rsidRDefault="00EE35DE" w:rsidP="009A58EE">
            <w:pPr>
              <w:pStyle w:val="Normal-pool-Table"/>
              <w:rPr>
                <w:szCs w:val="18"/>
                <w:lang w:val="es-ES_tradnl"/>
              </w:rPr>
            </w:pPr>
            <w:r w:rsidRPr="00F567E1">
              <w:rPr>
                <w:color w:val="000000"/>
                <w:lang w:val="es-ES_tradnl"/>
              </w:rPr>
              <w:t>Irán (República Islámica del)</w:t>
            </w:r>
          </w:p>
        </w:tc>
        <w:tc>
          <w:tcPr>
            <w:tcW w:w="1400" w:type="dxa"/>
            <w:tcBorders>
              <w:top w:val="nil"/>
              <w:left w:val="nil"/>
              <w:bottom w:val="single" w:sz="4" w:space="0" w:color="auto"/>
              <w:right w:val="single" w:sz="4" w:space="0" w:color="auto"/>
            </w:tcBorders>
            <w:noWrap/>
            <w:hideMark/>
          </w:tcPr>
          <w:p w14:paraId="38A4077F" w14:textId="77777777" w:rsidR="00EE35DE" w:rsidRPr="00F567E1" w:rsidRDefault="00EE35DE" w:rsidP="009A58EE">
            <w:pPr>
              <w:pStyle w:val="Normal-pool-Table"/>
              <w:jc w:val="right"/>
              <w:rPr>
                <w:szCs w:val="18"/>
                <w:lang w:val="es-ES_tradnl"/>
              </w:rPr>
            </w:pPr>
            <w:r w:rsidRPr="00F567E1">
              <w:rPr>
                <w:color w:val="000000"/>
                <w:lang w:val="es-ES_tradnl"/>
              </w:rPr>
              <w:t>0,386</w:t>
            </w:r>
          </w:p>
        </w:tc>
        <w:tc>
          <w:tcPr>
            <w:tcW w:w="1073" w:type="dxa"/>
            <w:tcBorders>
              <w:top w:val="nil"/>
              <w:left w:val="nil"/>
              <w:bottom w:val="single" w:sz="4" w:space="0" w:color="auto"/>
              <w:right w:val="single" w:sz="4" w:space="0" w:color="auto"/>
            </w:tcBorders>
            <w:noWrap/>
            <w:hideMark/>
          </w:tcPr>
          <w:p w14:paraId="07C06E2E" w14:textId="77777777" w:rsidR="00EE35DE" w:rsidRPr="00F567E1" w:rsidRDefault="00EE35DE" w:rsidP="009A58EE">
            <w:pPr>
              <w:pStyle w:val="Normal-pool-Table"/>
              <w:jc w:val="right"/>
              <w:rPr>
                <w:szCs w:val="18"/>
                <w:lang w:val="es-ES_tradnl"/>
              </w:rPr>
            </w:pPr>
            <w:r w:rsidRPr="00F567E1">
              <w:rPr>
                <w:color w:val="000000"/>
                <w:lang w:val="es-ES_tradnl"/>
              </w:rPr>
              <w:t>0,3896</w:t>
            </w:r>
          </w:p>
        </w:tc>
        <w:tc>
          <w:tcPr>
            <w:tcW w:w="1293" w:type="dxa"/>
            <w:tcBorders>
              <w:top w:val="nil"/>
              <w:left w:val="nil"/>
              <w:bottom w:val="single" w:sz="4" w:space="0" w:color="auto"/>
              <w:right w:val="single" w:sz="4" w:space="0" w:color="auto"/>
            </w:tcBorders>
            <w:noWrap/>
            <w:hideMark/>
          </w:tcPr>
          <w:p w14:paraId="7C4F826B" w14:textId="77777777" w:rsidR="00EE35DE" w:rsidRPr="00F567E1" w:rsidRDefault="00EE35DE" w:rsidP="009A58EE">
            <w:pPr>
              <w:pStyle w:val="Normal-pool-Table"/>
              <w:jc w:val="right"/>
              <w:rPr>
                <w:szCs w:val="18"/>
                <w:lang w:val="es-ES_tradnl"/>
              </w:rPr>
            </w:pPr>
            <w:r w:rsidRPr="00F567E1">
              <w:rPr>
                <w:color w:val="000000"/>
                <w:lang w:val="es-ES_tradnl"/>
              </w:rPr>
              <w:t>12 013</w:t>
            </w:r>
          </w:p>
        </w:tc>
        <w:tc>
          <w:tcPr>
            <w:tcW w:w="1293" w:type="dxa"/>
            <w:tcBorders>
              <w:top w:val="nil"/>
              <w:left w:val="nil"/>
              <w:bottom w:val="single" w:sz="4" w:space="0" w:color="auto"/>
              <w:right w:val="single" w:sz="4" w:space="0" w:color="auto"/>
            </w:tcBorders>
            <w:noWrap/>
            <w:hideMark/>
          </w:tcPr>
          <w:p w14:paraId="114B4D6B" w14:textId="77777777" w:rsidR="00EE35DE" w:rsidRPr="00F567E1" w:rsidRDefault="00EE35DE" w:rsidP="009A58EE">
            <w:pPr>
              <w:pStyle w:val="Normal-pool-Table"/>
              <w:jc w:val="right"/>
              <w:rPr>
                <w:szCs w:val="18"/>
                <w:lang w:val="es-ES_tradnl"/>
              </w:rPr>
            </w:pPr>
            <w:r w:rsidRPr="00F567E1">
              <w:rPr>
                <w:color w:val="000000"/>
                <w:lang w:val="es-ES_tradnl"/>
              </w:rPr>
              <w:t>15 854</w:t>
            </w:r>
          </w:p>
        </w:tc>
        <w:tc>
          <w:tcPr>
            <w:tcW w:w="1313" w:type="dxa"/>
            <w:tcBorders>
              <w:top w:val="nil"/>
              <w:left w:val="nil"/>
              <w:bottom w:val="single" w:sz="4" w:space="0" w:color="auto"/>
              <w:right w:val="single" w:sz="4" w:space="0" w:color="auto"/>
            </w:tcBorders>
            <w:noWrap/>
            <w:hideMark/>
          </w:tcPr>
          <w:p w14:paraId="10E5AFCE" w14:textId="77777777" w:rsidR="00EE35DE" w:rsidRPr="00F567E1" w:rsidRDefault="00EE35DE" w:rsidP="009A58EE">
            <w:pPr>
              <w:pStyle w:val="Normal-pool-Table"/>
              <w:jc w:val="right"/>
              <w:rPr>
                <w:szCs w:val="18"/>
                <w:lang w:val="es-ES_tradnl"/>
              </w:rPr>
            </w:pPr>
            <w:r w:rsidRPr="00F567E1">
              <w:rPr>
                <w:color w:val="000000"/>
                <w:lang w:val="es-ES_tradnl"/>
              </w:rPr>
              <w:t>27 866</w:t>
            </w:r>
          </w:p>
        </w:tc>
      </w:tr>
      <w:tr w:rsidR="00EE35DE" w:rsidRPr="00F567E1" w14:paraId="12FE9DF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B1F08D8" w14:textId="7AB2E813" w:rsidR="00EE35DE" w:rsidRPr="00F567E1" w:rsidRDefault="00EE35DE" w:rsidP="009A58EE">
            <w:pPr>
              <w:pStyle w:val="Normal-pool-Table"/>
              <w:rPr>
                <w:szCs w:val="18"/>
                <w:lang w:val="es-ES_tradnl"/>
              </w:rPr>
            </w:pPr>
            <w:r w:rsidRPr="00F567E1">
              <w:rPr>
                <w:color w:val="000000"/>
                <w:lang w:val="es-ES_tradnl"/>
              </w:rPr>
              <w:t>58</w:t>
            </w:r>
          </w:p>
        </w:tc>
        <w:tc>
          <w:tcPr>
            <w:tcW w:w="2573" w:type="dxa"/>
            <w:tcBorders>
              <w:top w:val="nil"/>
              <w:left w:val="nil"/>
              <w:bottom w:val="single" w:sz="4" w:space="0" w:color="auto"/>
              <w:right w:val="single" w:sz="4" w:space="0" w:color="auto"/>
            </w:tcBorders>
            <w:noWrap/>
            <w:hideMark/>
          </w:tcPr>
          <w:p w14:paraId="50A31F55" w14:textId="77777777" w:rsidR="00EE35DE" w:rsidRPr="00F567E1" w:rsidRDefault="00EE35DE" w:rsidP="009A58EE">
            <w:pPr>
              <w:pStyle w:val="Normal-pool-Table"/>
              <w:rPr>
                <w:szCs w:val="18"/>
                <w:lang w:val="es-ES_tradnl"/>
              </w:rPr>
            </w:pPr>
            <w:r w:rsidRPr="00F567E1">
              <w:rPr>
                <w:color w:val="000000"/>
                <w:lang w:val="es-ES_tradnl"/>
              </w:rPr>
              <w:t>Iraq</w:t>
            </w:r>
          </w:p>
        </w:tc>
        <w:tc>
          <w:tcPr>
            <w:tcW w:w="1400" w:type="dxa"/>
            <w:tcBorders>
              <w:top w:val="nil"/>
              <w:left w:val="nil"/>
              <w:bottom w:val="single" w:sz="4" w:space="0" w:color="auto"/>
              <w:right w:val="single" w:sz="4" w:space="0" w:color="auto"/>
            </w:tcBorders>
            <w:noWrap/>
            <w:hideMark/>
          </w:tcPr>
          <w:p w14:paraId="1CF5EA0E" w14:textId="77777777" w:rsidR="00EE35DE" w:rsidRPr="00F567E1" w:rsidRDefault="00EE35DE" w:rsidP="009A58EE">
            <w:pPr>
              <w:pStyle w:val="Normal-pool-Table"/>
              <w:jc w:val="right"/>
              <w:rPr>
                <w:szCs w:val="18"/>
                <w:lang w:val="es-ES_tradnl"/>
              </w:rPr>
            </w:pPr>
            <w:r w:rsidRPr="00F567E1">
              <w:rPr>
                <w:color w:val="000000"/>
                <w:lang w:val="es-ES_tradnl"/>
              </w:rPr>
              <w:t>0,131</w:t>
            </w:r>
          </w:p>
        </w:tc>
        <w:tc>
          <w:tcPr>
            <w:tcW w:w="1073" w:type="dxa"/>
            <w:tcBorders>
              <w:top w:val="nil"/>
              <w:left w:val="nil"/>
              <w:bottom w:val="single" w:sz="4" w:space="0" w:color="auto"/>
              <w:right w:val="single" w:sz="4" w:space="0" w:color="auto"/>
            </w:tcBorders>
            <w:noWrap/>
            <w:hideMark/>
          </w:tcPr>
          <w:p w14:paraId="2120DD53" w14:textId="77777777" w:rsidR="00EE35DE" w:rsidRPr="00F567E1" w:rsidRDefault="00EE35DE" w:rsidP="009A58EE">
            <w:pPr>
              <w:pStyle w:val="Normal-pool-Table"/>
              <w:jc w:val="right"/>
              <w:rPr>
                <w:szCs w:val="18"/>
                <w:lang w:val="es-ES_tradnl"/>
              </w:rPr>
            </w:pPr>
            <w:r w:rsidRPr="00F567E1">
              <w:rPr>
                <w:color w:val="000000"/>
                <w:lang w:val="es-ES_tradnl"/>
              </w:rPr>
              <w:t>0,1322</w:t>
            </w:r>
          </w:p>
        </w:tc>
        <w:tc>
          <w:tcPr>
            <w:tcW w:w="1293" w:type="dxa"/>
            <w:tcBorders>
              <w:top w:val="nil"/>
              <w:left w:val="nil"/>
              <w:bottom w:val="single" w:sz="4" w:space="0" w:color="auto"/>
              <w:right w:val="single" w:sz="4" w:space="0" w:color="auto"/>
            </w:tcBorders>
            <w:noWrap/>
            <w:hideMark/>
          </w:tcPr>
          <w:p w14:paraId="04D78283" w14:textId="77777777" w:rsidR="00EE35DE" w:rsidRPr="00F567E1" w:rsidRDefault="00EE35DE" w:rsidP="009A58EE">
            <w:pPr>
              <w:pStyle w:val="Normal-pool-Table"/>
              <w:jc w:val="right"/>
              <w:rPr>
                <w:szCs w:val="18"/>
                <w:lang w:val="es-ES_tradnl"/>
              </w:rPr>
            </w:pPr>
            <w:r w:rsidRPr="00F567E1">
              <w:rPr>
                <w:color w:val="000000"/>
                <w:lang w:val="es-ES_tradnl"/>
              </w:rPr>
              <w:t>4 077</w:t>
            </w:r>
          </w:p>
        </w:tc>
        <w:tc>
          <w:tcPr>
            <w:tcW w:w="1293" w:type="dxa"/>
            <w:tcBorders>
              <w:top w:val="nil"/>
              <w:left w:val="nil"/>
              <w:bottom w:val="single" w:sz="4" w:space="0" w:color="auto"/>
              <w:right w:val="single" w:sz="4" w:space="0" w:color="auto"/>
            </w:tcBorders>
            <w:noWrap/>
            <w:hideMark/>
          </w:tcPr>
          <w:p w14:paraId="5AB68865" w14:textId="77777777" w:rsidR="00EE35DE" w:rsidRPr="00F567E1" w:rsidRDefault="00EE35DE" w:rsidP="009A58EE">
            <w:pPr>
              <w:pStyle w:val="Normal-pool-Table"/>
              <w:jc w:val="right"/>
              <w:rPr>
                <w:szCs w:val="18"/>
                <w:lang w:val="es-ES_tradnl"/>
              </w:rPr>
            </w:pPr>
            <w:r w:rsidRPr="00F567E1">
              <w:rPr>
                <w:color w:val="000000"/>
                <w:lang w:val="es-ES_tradnl"/>
              </w:rPr>
              <w:t>5 380</w:t>
            </w:r>
          </w:p>
        </w:tc>
        <w:tc>
          <w:tcPr>
            <w:tcW w:w="1313" w:type="dxa"/>
            <w:tcBorders>
              <w:top w:val="nil"/>
              <w:left w:val="nil"/>
              <w:bottom w:val="single" w:sz="4" w:space="0" w:color="auto"/>
              <w:right w:val="single" w:sz="4" w:space="0" w:color="auto"/>
            </w:tcBorders>
            <w:noWrap/>
            <w:hideMark/>
          </w:tcPr>
          <w:p w14:paraId="279B7C5C" w14:textId="77777777" w:rsidR="00EE35DE" w:rsidRPr="00F567E1" w:rsidRDefault="00EE35DE" w:rsidP="009A58EE">
            <w:pPr>
              <w:pStyle w:val="Normal-pool-Table"/>
              <w:jc w:val="right"/>
              <w:rPr>
                <w:szCs w:val="18"/>
                <w:lang w:val="es-ES_tradnl"/>
              </w:rPr>
            </w:pPr>
            <w:r w:rsidRPr="00F567E1">
              <w:rPr>
                <w:color w:val="000000"/>
                <w:lang w:val="es-ES_tradnl"/>
              </w:rPr>
              <w:t>9 457</w:t>
            </w:r>
          </w:p>
        </w:tc>
      </w:tr>
      <w:tr w:rsidR="00EE35DE" w:rsidRPr="00F567E1" w14:paraId="41D5942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CFE6CE3" w14:textId="62790B4E" w:rsidR="00EE35DE" w:rsidRPr="00F567E1" w:rsidRDefault="00EE35DE" w:rsidP="009A58EE">
            <w:pPr>
              <w:pStyle w:val="Normal-pool-Table"/>
              <w:rPr>
                <w:szCs w:val="18"/>
                <w:lang w:val="es-ES_tradnl"/>
              </w:rPr>
            </w:pPr>
            <w:r w:rsidRPr="00F567E1">
              <w:rPr>
                <w:color w:val="000000"/>
                <w:lang w:val="es-ES_tradnl"/>
              </w:rPr>
              <w:t>59</w:t>
            </w:r>
          </w:p>
        </w:tc>
        <w:tc>
          <w:tcPr>
            <w:tcW w:w="2573" w:type="dxa"/>
            <w:tcBorders>
              <w:top w:val="nil"/>
              <w:left w:val="nil"/>
              <w:bottom w:val="single" w:sz="4" w:space="0" w:color="auto"/>
              <w:right w:val="single" w:sz="4" w:space="0" w:color="auto"/>
            </w:tcBorders>
            <w:noWrap/>
            <w:hideMark/>
          </w:tcPr>
          <w:p w14:paraId="57A412BC" w14:textId="77777777" w:rsidR="00EE35DE" w:rsidRPr="00F567E1" w:rsidRDefault="00EE35DE" w:rsidP="009A58EE">
            <w:pPr>
              <w:pStyle w:val="Normal-pool-Table"/>
              <w:rPr>
                <w:szCs w:val="18"/>
                <w:lang w:val="es-ES_tradnl"/>
              </w:rPr>
            </w:pPr>
            <w:r w:rsidRPr="00F567E1">
              <w:rPr>
                <w:color w:val="000000"/>
                <w:lang w:val="es-ES_tradnl"/>
              </w:rPr>
              <w:t>Islas Marshall</w:t>
            </w:r>
          </w:p>
        </w:tc>
        <w:tc>
          <w:tcPr>
            <w:tcW w:w="1400" w:type="dxa"/>
            <w:tcBorders>
              <w:top w:val="nil"/>
              <w:left w:val="nil"/>
              <w:bottom w:val="single" w:sz="4" w:space="0" w:color="auto"/>
              <w:right w:val="single" w:sz="4" w:space="0" w:color="auto"/>
            </w:tcBorders>
            <w:noWrap/>
            <w:hideMark/>
          </w:tcPr>
          <w:p w14:paraId="4C6FA112"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71830328"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4A1D0AA5"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72E322F"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2248118A"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08C3819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9A17EC6" w14:textId="6482AF9E" w:rsidR="00EE35DE" w:rsidRPr="00F567E1" w:rsidRDefault="00EE35DE" w:rsidP="009A58EE">
            <w:pPr>
              <w:pStyle w:val="Normal-pool-Table"/>
              <w:rPr>
                <w:szCs w:val="18"/>
                <w:lang w:val="es-ES_tradnl"/>
              </w:rPr>
            </w:pPr>
            <w:r w:rsidRPr="00F567E1">
              <w:rPr>
                <w:color w:val="000000"/>
                <w:lang w:val="es-ES_tradnl"/>
              </w:rPr>
              <w:t>60</w:t>
            </w:r>
          </w:p>
        </w:tc>
        <w:tc>
          <w:tcPr>
            <w:tcW w:w="2573" w:type="dxa"/>
            <w:tcBorders>
              <w:top w:val="nil"/>
              <w:left w:val="nil"/>
              <w:bottom w:val="single" w:sz="4" w:space="0" w:color="auto"/>
              <w:right w:val="single" w:sz="4" w:space="0" w:color="auto"/>
            </w:tcBorders>
            <w:noWrap/>
            <w:hideMark/>
          </w:tcPr>
          <w:p w14:paraId="03894D45" w14:textId="77777777" w:rsidR="00EE35DE" w:rsidRPr="00F567E1" w:rsidRDefault="00EE35DE" w:rsidP="009A58EE">
            <w:pPr>
              <w:pStyle w:val="Normal-pool-Table"/>
              <w:rPr>
                <w:szCs w:val="18"/>
                <w:lang w:val="es-ES_tradnl"/>
              </w:rPr>
            </w:pPr>
            <w:r w:rsidRPr="00F567E1">
              <w:rPr>
                <w:color w:val="000000"/>
                <w:lang w:val="es-ES_tradnl"/>
              </w:rPr>
              <w:t>Israel</w:t>
            </w:r>
          </w:p>
        </w:tc>
        <w:tc>
          <w:tcPr>
            <w:tcW w:w="1400" w:type="dxa"/>
            <w:tcBorders>
              <w:top w:val="nil"/>
              <w:left w:val="nil"/>
              <w:bottom w:val="single" w:sz="4" w:space="0" w:color="auto"/>
              <w:right w:val="single" w:sz="4" w:space="0" w:color="auto"/>
            </w:tcBorders>
            <w:noWrap/>
            <w:hideMark/>
          </w:tcPr>
          <w:p w14:paraId="456613A7" w14:textId="77777777" w:rsidR="00EE35DE" w:rsidRPr="00F567E1" w:rsidRDefault="00EE35DE" w:rsidP="009A58EE">
            <w:pPr>
              <w:pStyle w:val="Normal-pool-Table"/>
              <w:jc w:val="right"/>
              <w:rPr>
                <w:szCs w:val="18"/>
                <w:lang w:val="es-ES_tradnl"/>
              </w:rPr>
            </w:pPr>
            <w:r w:rsidRPr="00F567E1">
              <w:rPr>
                <w:color w:val="000000"/>
                <w:lang w:val="es-ES_tradnl"/>
              </w:rPr>
              <w:t>0,609</w:t>
            </w:r>
          </w:p>
        </w:tc>
        <w:tc>
          <w:tcPr>
            <w:tcW w:w="1073" w:type="dxa"/>
            <w:tcBorders>
              <w:top w:val="nil"/>
              <w:left w:val="nil"/>
              <w:bottom w:val="single" w:sz="4" w:space="0" w:color="auto"/>
              <w:right w:val="single" w:sz="4" w:space="0" w:color="auto"/>
            </w:tcBorders>
            <w:noWrap/>
            <w:hideMark/>
          </w:tcPr>
          <w:p w14:paraId="780CC15C" w14:textId="77777777" w:rsidR="00EE35DE" w:rsidRPr="00F567E1" w:rsidRDefault="00EE35DE" w:rsidP="009A58EE">
            <w:pPr>
              <w:pStyle w:val="Normal-pool-Table"/>
              <w:jc w:val="right"/>
              <w:rPr>
                <w:szCs w:val="18"/>
                <w:lang w:val="es-ES_tradnl"/>
              </w:rPr>
            </w:pPr>
            <w:r w:rsidRPr="00F567E1">
              <w:rPr>
                <w:color w:val="000000"/>
                <w:lang w:val="es-ES_tradnl"/>
              </w:rPr>
              <w:t>0,6147</w:t>
            </w:r>
          </w:p>
        </w:tc>
        <w:tc>
          <w:tcPr>
            <w:tcW w:w="1293" w:type="dxa"/>
            <w:tcBorders>
              <w:top w:val="nil"/>
              <w:left w:val="nil"/>
              <w:bottom w:val="single" w:sz="4" w:space="0" w:color="auto"/>
              <w:right w:val="single" w:sz="4" w:space="0" w:color="auto"/>
            </w:tcBorders>
            <w:noWrap/>
            <w:hideMark/>
          </w:tcPr>
          <w:p w14:paraId="1C62E281" w14:textId="77777777" w:rsidR="00EE35DE" w:rsidRPr="00F567E1" w:rsidRDefault="00EE35DE" w:rsidP="009A58EE">
            <w:pPr>
              <w:pStyle w:val="Normal-pool-Table"/>
              <w:jc w:val="right"/>
              <w:rPr>
                <w:szCs w:val="18"/>
                <w:lang w:val="es-ES_tradnl"/>
              </w:rPr>
            </w:pPr>
            <w:r w:rsidRPr="00F567E1">
              <w:rPr>
                <w:color w:val="000000"/>
                <w:lang w:val="es-ES_tradnl"/>
              </w:rPr>
              <w:t>18 952</w:t>
            </w:r>
          </w:p>
        </w:tc>
        <w:tc>
          <w:tcPr>
            <w:tcW w:w="1293" w:type="dxa"/>
            <w:tcBorders>
              <w:top w:val="nil"/>
              <w:left w:val="nil"/>
              <w:bottom w:val="single" w:sz="4" w:space="0" w:color="auto"/>
              <w:right w:val="single" w:sz="4" w:space="0" w:color="auto"/>
            </w:tcBorders>
            <w:noWrap/>
            <w:hideMark/>
          </w:tcPr>
          <w:p w14:paraId="189840EA" w14:textId="77777777" w:rsidR="00EE35DE" w:rsidRPr="00F567E1" w:rsidRDefault="00EE35DE" w:rsidP="009A58EE">
            <w:pPr>
              <w:pStyle w:val="Normal-pool-Table"/>
              <w:jc w:val="right"/>
              <w:rPr>
                <w:szCs w:val="18"/>
                <w:lang w:val="es-ES_tradnl"/>
              </w:rPr>
            </w:pPr>
            <w:r w:rsidRPr="00F567E1">
              <w:rPr>
                <w:color w:val="000000"/>
                <w:lang w:val="es-ES_tradnl"/>
              </w:rPr>
              <w:t>25 013</w:t>
            </w:r>
          </w:p>
        </w:tc>
        <w:tc>
          <w:tcPr>
            <w:tcW w:w="1313" w:type="dxa"/>
            <w:tcBorders>
              <w:top w:val="nil"/>
              <w:left w:val="nil"/>
              <w:bottom w:val="single" w:sz="4" w:space="0" w:color="auto"/>
              <w:right w:val="single" w:sz="4" w:space="0" w:color="auto"/>
            </w:tcBorders>
            <w:noWrap/>
            <w:hideMark/>
          </w:tcPr>
          <w:p w14:paraId="23FF0084" w14:textId="77777777" w:rsidR="00EE35DE" w:rsidRPr="00F567E1" w:rsidRDefault="00EE35DE" w:rsidP="009A58EE">
            <w:pPr>
              <w:pStyle w:val="Normal-pool-Table"/>
              <w:jc w:val="right"/>
              <w:rPr>
                <w:szCs w:val="18"/>
                <w:lang w:val="es-ES_tradnl"/>
              </w:rPr>
            </w:pPr>
            <w:r w:rsidRPr="00F567E1">
              <w:rPr>
                <w:color w:val="000000"/>
                <w:lang w:val="es-ES_tradnl"/>
              </w:rPr>
              <w:t>43 965</w:t>
            </w:r>
          </w:p>
        </w:tc>
      </w:tr>
      <w:tr w:rsidR="00EE35DE" w:rsidRPr="00F567E1" w14:paraId="6D91EC5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F4EB207" w14:textId="1F46EBBC" w:rsidR="00EE35DE" w:rsidRPr="00F567E1" w:rsidRDefault="00EE35DE" w:rsidP="009A58EE">
            <w:pPr>
              <w:pStyle w:val="Normal-pool-Table"/>
              <w:rPr>
                <w:szCs w:val="18"/>
                <w:lang w:val="es-ES_tradnl"/>
              </w:rPr>
            </w:pPr>
            <w:r w:rsidRPr="00F567E1">
              <w:rPr>
                <w:color w:val="000000"/>
                <w:lang w:val="es-ES_tradnl"/>
              </w:rPr>
              <w:t>61</w:t>
            </w:r>
          </w:p>
        </w:tc>
        <w:tc>
          <w:tcPr>
            <w:tcW w:w="2573" w:type="dxa"/>
            <w:tcBorders>
              <w:top w:val="nil"/>
              <w:left w:val="nil"/>
              <w:bottom w:val="single" w:sz="4" w:space="0" w:color="auto"/>
              <w:right w:val="single" w:sz="4" w:space="0" w:color="auto"/>
            </w:tcBorders>
            <w:noWrap/>
            <w:hideMark/>
          </w:tcPr>
          <w:p w14:paraId="19109747" w14:textId="77777777" w:rsidR="00EE35DE" w:rsidRPr="00F567E1" w:rsidRDefault="00EE35DE" w:rsidP="009A58EE">
            <w:pPr>
              <w:pStyle w:val="Normal-pool-Table"/>
              <w:rPr>
                <w:szCs w:val="18"/>
                <w:lang w:val="es-ES_tradnl"/>
              </w:rPr>
            </w:pPr>
            <w:r w:rsidRPr="00F567E1">
              <w:rPr>
                <w:color w:val="000000"/>
                <w:lang w:val="es-ES_tradnl"/>
              </w:rPr>
              <w:t>Japón</w:t>
            </w:r>
          </w:p>
        </w:tc>
        <w:tc>
          <w:tcPr>
            <w:tcW w:w="1400" w:type="dxa"/>
            <w:tcBorders>
              <w:top w:val="nil"/>
              <w:left w:val="nil"/>
              <w:bottom w:val="single" w:sz="4" w:space="0" w:color="auto"/>
              <w:right w:val="single" w:sz="4" w:space="0" w:color="auto"/>
            </w:tcBorders>
            <w:noWrap/>
            <w:hideMark/>
          </w:tcPr>
          <w:p w14:paraId="2C884560" w14:textId="77777777" w:rsidR="00EE35DE" w:rsidRPr="00F567E1" w:rsidRDefault="00EE35DE" w:rsidP="009A58EE">
            <w:pPr>
              <w:pStyle w:val="Normal-pool-Table"/>
              <w:jc w:val="right"/>
              <w:rPr>
                <w:szCs w:val="18"/>
                <w:lang w:val="es-ES_tradnl"/>
              </w:rPr>
            </w:pPr>
            <w:r w:rsidRPr="00F567E1">
              <w:rPr>
                <w:color w:val="000000"/>
                <w:lang w:val="es-ES_tradnl"/>
              </w:rPr>
              <w:t>6,93</w:t>
            </w:r>
          </w:p>
        </w:tc>
        <w:tc>
          <w:tcPr>
            <w:tcW w:w="1073" w:type="dxa"/>
            <w:tcBorders>
              <w:top w:val="nil"/>
              <w:left w:val="nil"/>
              <w:bottom w:val="single" w:sz="4" w:space="0" w:color="auto"/>
              <w:right w:val="single" w:sz="4" w:space="0" w:color="auto"/>
            </w:tcBorders>
            <w:noWrap/>
            <w:hideMark/>
          </w:tcPr>
          <w:p w14:paraId="02DA51C4" w14:textId="77777777" w:rsidR="00EE35DE" w:rsidRPr="00F567E1" w:rsidRDefault="00EE35DE" w:rsidP="009A58EE">
            <w:pPr>
              <w:pStyle w:val="Normal-pool-Table"/>
              <w:jc w:val="right"/>
              <w:rPr>
                <w:szCs w:val="18"/>
                <w:lang w:val="es-ES_tradnl"/>
              </w:rPr>
            </w:pPr>
            <w:r w:rsidRPr="00F567E1">
              <w:rPr>
                <w:color w:val="000000"/>
                <w:lang w:val="es-ES_tradnl"/>
              </w:rPr>
              <w:t>6,9945</w:t>
            </w:r>
          </w:p>
        </w:tc>
        <w:tc>
          <w:tcPr>
            <w:tcW w:w="1293" w:type="dxa"/>
            <w:tcBorders>
              <w:top w:val="nil"/>
              <w:left w:val="nil"/>
              <w:bottom w:val="single" w:sz="4" w:space="0" w:color="auto"/>
              <w:right w:val="single" w:sz="4" w:space="0" w:color="auto"/>
            </w:tcBorders>
            <w:noWrap/>
            <w:hideMark/>
          </w:tcPr>
          <w:p w14:paraId="0C7F702C" w14:textId="77777777" w:rsidR="00EE35DE" w:rsidRPr="00F567E1" w:rsidRDefault="00EE35DE" w:rsidP="009A58EE">
            <w:pPr>
              <w:pStyle w:val="Normal-pool-Table"/>
              <w:jc w:val="right"/>
              <w:rPr>
                <w:szCs w:val="18"/>
                <w:lang w:val="es-ES_tradnl"/>
              </w:rPr>
            </w:pPr>
            <w:r w:rsidRPr="00F567E1">
              <w:rPr>
                <w:color w:val="000000"/>
                <w:lang w:val="es-ES_tradnl"/>
              </w:rPr>
              <w:t>215 665</w:t>
            </w:r>
          </w:p>
        </w:tc>
        <w:tc>
          <w:tcPr>
            <w:tcW w:w="1293" w:type="dxa"/>
            <w:tcBorders>
              <w:top w:val="nil"/>
              <w:left w:val="nil"/>
              <w:bottom w:val="single" w:sz="4" w:space="0" w:color="auto"/>
              <w:right w:val="single" w:sz="4" w:space="0" w:color="auto"/>
            </w:tcBorders>
            <w:noWrap/>
            <w:hideMark/>
          </w:tcPr>
          <w:p w14:paraId="0FFF02A9" w14:textId="77777777" w:rsidR="00EE35DE" w:rsidRPr="00F567E1" w:rsidRDefault="00EE35DE" w:rsidP="009A58EE">
            <w:pPr>
              <w:pStyle w:val="Normal-pool-Table"/>
              <w:jc w:val="right"/>
              <w:rPr>
                <w:szCs w:val="18"/>
                <w:lang w:val="es-ES_tradnl"/>
              </w:rPr>
            </w:pPr>
            <w:r w:rsidRPr="00F567E1">
              <w:rPr>
                <w:color w:val="000000"/>
                <w:lang w:val="es-ES_tradnl"/>
              </w:rPr>
              <w:t>284 626</w:t>
            </w:r>
          </w:p>
        </w:tc>
        <w:tc>
          <w:tcPr>
            <w:tcW w:w="1313" w:type="dxa"/>
            <w:tcBorders>
              <w:top w:val="nil"/>
              <w:left w:val="nil"/>
              <w:bottom w:val="single" w:sz="4" w:space="0" w:color="auto"/>
              <w:right w:val="single" w:sz="4" w:space="0" w:color="auto"/>
            </w:tcBorders>
            <w:noWrap/>
            <w:hideMark/>
          </w:tcPr>
          <w:p w14:paraId="4515BA1E" w14:textId="77777777" w:rsidR="00EE35DE" w:rsidRPr="00F567E1" w:rsidRDefault="00EE35DE" w:rsidP="009A58EE">
            <w:pPr>
              <w:pStyle w:val="Normal-pool-Table"/>
              <w:jc w:val="right"/>
              <w:rPr>
                <w:szCs w:val="18"/>
                <w:lang w:val="es-ES_tradnl"/>
              </w:rPr>
            </w:pPr>
            <w:r w:rsidRPr="00F567E1">
              <w:rPr>
                <w:color w:val="000000"/>
                <w:lang w:val="es-ES_tradnl"/>
              </w:rPr>
              <w:t>500 291</w:t>
            </w:r>
          </w:p>
        </w:tc>
      </w:tr>
      <w:tr w:rsidR="00EE35DE" w:rsidRPr="00F567E1" w14:paraId="5B1280B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224F398" w14:textId="3EDA9102" w:rsidR="00EE35DE" w:rsidRPr="00F567E1" w:rsidRDefault="00EE35DE" w:rsidP="009A58EE">
            <w:pPr>
              <w:pStyle w:val="Normal-pool-Table"/>
              <w:rPr>
                <w:szCs w:val="18"/>
                <w:lang w:val="es-ES_tradnl"/>
              </w:rPr>
            </w:pPr>
            <w:r w:rsidRPr="00F567E1">
              <w:rPr>
                <w:color w:val="000000"/>
                <w:lang w:val="es-ES_tradnl"/>
              </w:rPr>
              <w:t>62</w:t>
            </w:r>
          </w:p>
        </w:tc>
        <w:tc>
          <w:tcPr>
            <w:tcW w:w="2573" w:type="dxa"/>
            <w:tcBorders>
              <w:top w:val="nil"/>
              <w:left w:val="nil"/>
              <w:bottom w:val="single" w:sz="4" w:space="0" w:color="auto"/>
              <w:right w:val="single" w:sz="4" w:space="0" w:color="auto"/>
            </w:tcBorders>
            <w:noWrap/>
            <w:hideMark/>
          </w:tcPr>
          <w:p w14:paraId="2EA1B901" w14:textId="77777777" w:rsidR="00EE35DE" w:rsidRPr="00F567E1" w:rsidRDefault="00EE35DE" w:rsidP="009A58EE">
            <w:pPr>
              <w:pStyle w:val="Normal-pool-Table"/>
              <w:rPr>
                <w:szCs w:val="18"/>
                <w:lang w:val="es-ES_tradnl"/>
              </w:rPr>
            </w:pPr>
            <w:r w:rsidRPr="00F567E1">
              <w:rPr>
                <w:color w:val="000000"/>
                <w:lang w:val="es-ES_tradnl"/>
              </w:rPr>
              <w:t>Jordania</w:t>
            </w:r>
          </w:p>
        </w:tc>
        <w:tc>
          <w:tcPr>
            <w:tcW w:w="1400" w:type="dxa"/>
            <w:tcBorders>
              <w:top w:val="nil"/>
              <w:left w:val="nil"/>
              <w:bottom w:val="single" w:sz="4" w:space="0" w:color="auto"/>
              <w:right w:val="single" w:sz="4" w:space="0" w:color="auto"/>
            </w:tcBorders>
            <w:noWrap/>
            <w:hideMark/>
          </w:tcPr>
          <w:p w14:paraId="0D432A57" w14:textId="77777777" w:rsidR="00EE35DE" w:rsidRPr="00F567E1" w:rsidRDefault="00EE35DE" w:rsidP="009A58EE">
            <w:pPr>
              <w:pStyle w:val="Normal-pool-Table"/>
              <w:jc w:val="right"/>
              <w:rPr>
                <w:szCs w:val="18"/>
                <w:lang w:val="es-ES_tradnl"/>
              </w:rPr>
            </w:pPr>
            <w:r w:rsidRPr="00F567E1">
              <w:rPr>
                <w:color w:val="000000"/>
                <w:lang w:val="es-ES_tradnl"/>
              </w:rPr>
              <w:t>0,021</w:t>
            </w:r>
          </w:p>
        </w:tc>
        <w:tc>
          <w:tcPr>
            <w:tcW w:w="1073" w:type="dxa"/>
            <w:tcBorders>
              <w:top w:val="nil"/>
              <w:left w:val="nil"/>
              <w:bottom w:val="single" w:sz="4" w:space="0" w:color="auto"/>
              <w:right w:val="single" w:sz="4" w:space="0" w:color="auto"/>
            </w:tcBorders>
            <w:noWrap/>
            <w:hideMark/>
          </w:tcPr>
          <w:p w14:paraId="64BC1050" w14:textId="77777777" w:rsidR="00EE35DE" w:rsidRPr="00F567E1" w:rsidRDefault="00EE35DE" w:rsidP="009A58EE">
            <w:pPr>
              <w:pStyle w:val="Normal-pool-Table"/>
              <w:jc w:val="right"/>
              <w:rPr>
                <w:szCs w:val="18"/>
                <w:lang w:val="es-ES_tradnl"/>
              </w:rPr>
            </w:pPr>
            <w:r w:rsidRPr="00F567E1">
              <w:rPr>
                <w:color w:val="000000"/>
                <w:lang w:val="es-ES_tradnl"/>
              </w:rPr>
              <w:t>0,0212</w:t>
            </w:r>
          </w:p>
        </w:tc>
        <w:tc>
          <w:tcPr>
            <w:tcW w:w="1293" w:type="dxa"/>
            <w:tcBorders>
              <w:top w:val="nil"/>
              <w:left w:val="nil"/>
              <w:bottom w:val="single" w:sz="4" w:space="0" w:color="auto"/>
              <w:right w:val="single" w:sz="4" w:space="0" w:color="auto"/>
            </w:tcBorders>
            <w:noWrap/>
            <w:hideMark/>
          </w:tcPr>
          <w:p w14:paraId="1DCABC8F" w14:textId="77777777" w:rsidR="00EE35DE" w:rsidRPr="00F567E1" w:rsidRDefault="00EE35DE" w:rsidP="009A58EE">
            <w:pPr>
              <w:pStyle w:val="Normal-pool-Table"/>
              <w:jc w:val="right"/>
              <w:rPr>
                <w:szCs w:val="18"/>
                <w:lang w:val="es-ES_tradnl"/>
              </w:rPr>
            </w:pPr>
            <w:r w:rsidRPr="00F567E1">
              <w:rPr>
                <w:color w:val="000000"/>
                <w:lang w:val="es-ES_tradnl"/>
              </w:rPr>
              <w:t>654</w:t>
            </w:r>
          </w:p>
        </w:tc>
        <w:tc>
          <w:tcPr>
            <w:tcW w:w="1293" w:type="dxa"/>
            <w:tcBorders>
              <w:top w:val="nil"/>
              <w:left w:val="nil"/>
              <w:bottom w:val="single" w:sz="4" w:space="0" w:color="auto"/>
              <w:right w:val="single" w:sz="4" w:space="0" w:color="auto"/>
            </w:tcBorders>
            <w:noWrap/>
            <w:hideMark/>
          </w:tcPr>
          <w:p w14:paraId="05B07838" w14:textId="77777777" w:rsidR="00EE35DE" w:rsidRPr="00F567E1" w:rsidRDefault="00EE35DE" w:rsidP="009A58EE">
            <w:pPr>
              <w:pStyle w:val="Normal-pool-Table"/>
              <w:jc w:val="right"/>
              <w:rPr>
                <w:szCs w:val="18"/>
                <w:lang w:val="es-ES_tradnl"/>
              </w:rPr>
            </w:pPr>
            <w:r w:rsidRPr="00F567E1">
              <w:rPr>
                <w:color w:val="000000"/>
                <w:lang w:val="es-ES_tradnl"/>
              </w:rPr>
              <w:t>863</w:t>
            </w:r>
          </w:p>
        </w:tc>
        <w:tc>
          <w:tcPr>
            <w:tcW w:w="1313" w:type="dxa"/>
            <w:tcBorders>
              <w:top w:val="nil"/>
              <w:left w:val="nil"/>
              <w:bottom w:val="single" w:sz="4" w:space="0" w:color="auto"/>
              <w:right w:val="single" w:sz="4" w:space="0" w:color="auto"/>
            </w:tcBorders>
            <w:noWrap/>
            <w:hideMark/>
          </w:tcPr>
          <w:p w14:paraId="5E00ADA5" w14:textId="77777777" w:rsidR="00EE35DE" w:rsidRPr="00F567E1" w:rsidRDefault="00EE35DE" w:rsidP="009A58EE">
            <w:pPr>
              <w:pStyle w:val="Normal-pool-Table"/>
              <w:jc w:val="right"/>
              <w:rPr>
                <w:szCs w:val="18"/>
                <w:lang w:val="es-ES_tradnl"/>
              </w:rPr>
            </w:pPr>
            <w:r w:rsidRPr="00F567E1">
              <w:rPr>
                <w:color w:val="000000"/>
                <w:lang w:val="es-ES_tradnl"/>
              </w:rPr>
              <w:t>1 516</w:t>
            </w:r>
          </w:p>
        </w:tc>
      </w:tr>
      <w:tr w:rsidR="00EE35DE" w:rsidRPr="00F567E1" w14:paraId="697797B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FE0A3ED" w14:textId="6540DAD9" w:rsidR="00EE35DE" w:rsidRPr="00F567E1" w:rsidRDefault="00EE35DE" w:rsidP="009A58EE">
            <w:pPr>
              <w:pStyle w:val="Normal-pool-Table"/>
              <w:rPr>
                <w:szCs w:val="18"/>
                <w:lang w:val="es-ES_tradnl"/>
              </w:rPr>
            </w:pPr>
            <w:r w:rsidRPr="00F567E1">
              <w:rPr>
                <w:color w:val="000000"/>
                <w:lang w:val="es-ES_tradnl"/>
              </w:rPr>
              <w:t>63</w:t>
            </w:r>
          </w:p>
        </w:tc>
        <w:tc>
          <w:tcPr>
            <w:tcW w:w="2573" w:type="dxa"/>
            <w:tcBorders>
              <w:top w:val="nil"/>
              <w:left w:val="nil"/>
              <w:bottom w:val="single" w:sz="4" w:space="0" w:color="auto"/>
              <w:right w:val="single" w:sz="4" w:space="0" w:color="auto"/>
            </w:tcBorders>
            <w:noWrap/>
            <w:hideMark/>
          </w:tcPr>
          <w:p w14:paraId="17FDA4D3" w14:textId="77777777" w:rsidR="00EE35DE" w:rsidRPr="00F567E1" w:rsidRDefault="00EE35DE" w:rsidP="009A58EE">
            <w:pPr>
              <w:pStyle w:val="Normal-pool-Table"/>
              <w:rPr>
                <w:szCs w:val="18"/>
                <w:lang w:val="es-ES_tradnl"/>
              </w:rPr>
            </w:pPr>
            <w:r w:rsidRPr="00F567E1">
              <w:rPr>
                <w:color w:val="000000"/>
                <w:lang w:val="es-ES_tradnl"/>
              </w:rPr>
              <w:t>Kiribati</w:t>
            </w:r>
          </w:p>
        </w:tc>
        <w:tc>
          <w:tcPr>
            <w:tcW w:w="1400" w:type="dxa"/>
            <w:tcBorders>
              <w:top w:val="nil"/>
              <w:left w:val="nil"/>
              <w:bottom w:val="single" w:sz="4" w:space="0" w:color="auto"/>
              <w:right w:val="single" w:sz="4" w:space="0" w:color="auto"/>
            </w:tcBorders>
            <w:noWrap/>
            <w:hideMark/>
          </w:tcPr>
          <w:p w14:paraId="78A8F184"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04463E02"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15C57951"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3CBE0CE"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4F7C2A82"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18E4326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C0517AF" w14:textId="70F50DDA" w:rsidR="00EE35DE" w:rsidRPr="00F567E1" w:rsidRDefault="00EE35DE" w:rsidP="009A58EE">
            <w:pPr>
              <w:pStyle w:val="Normal-pool-Table"/>
              <w:rPr>
                <w:szCs w:val="18"/>
                <w:lang w:val="es-ES_tradnl"/>
              </w:rPr>
            </w:pPr>
            <w:r w:rsidRPr="00F567E1">
              <w:rPr>
                <w:color w:val="000000"/>
                <w:lang w:val="es-ES_tradnl"/>
              </w:rPr>
              <w:t>64</w:t>
            </w:r>
          </w:p>
        </w:tc>
        <w:tc>
          <w:tcPr>
            <w:tcW w:w="2573" w:type="dxa"/>
            <w:tcBorders>
              <w:top w:val="nil"/>
              <w:left w:val="nil"/>
              <w:bottom w:val="single" w:sz="4" w:space="0" w:color="auto"/>
              <w:right w:val="single" w:sz="4" w:space="0" w:color="auto"/>
            </w:tcBorders>
            <w:noWrap/>
            <w:hideMark/>
          </w:tcPr>
          <w:p w14:paraId="5A6A6F3C" w14:textId="77777777" w:rsidR="00EE35DE" w:rsidRPr="00F567E1" w:rsidRDefault="00EE35DE" w:rsidP="009A58EE">
            <w:pPr>
              <w:pStyle w:val="Normal-pool-Table"/>
              <w:rPr>
                <w:szCs w:val="18"/>
                <w:lang w:val="es-ES_tradnl"/>
              </w:rPr>
            </w:pPr>
            <w:r w:rsidRPr="00F567E1">
              <w:rPr>
                <w:color w:val="000000"/>
                <w:lang w:val="es-ES_tradnl"/>
              </w:rPr>
              <w:t>Kuwait</w:t>
            </w:r>
          </w:p>
        </w:tc>
        <w:tc>
          <w:tcPr>
            <w:tcW w:w="1400" w:type="dxa"/>
            <w:tcBorders>
              <w:top w:val="nil"/>
              <w:left w:val="nil"/>
              <w:bottom w:val="single" w:sz="4" w:space="0" w:color="auto"/>
              <w:right w:val="single" w:sz="4" w:space="0" w:color="auto"/>
            </w:tcBorders>
            <w:noWrap/>
            <w:hideMark/>
          </w:tcPr>
          <w:p w14:paraId="403A48C2" w14:textId="77777777" w:rsidR="00EE35DE" w:rsidRPr="00F567E1" w:rsidRDefault="00EE35DE" w:rsidP="009A58EE">
            <w:pPr>
              <w:pStyle w:val="Normal-pool-Table"/>
              <w:jc w:val="right"/>
              <w:rPr>
                <w:szCs w:val="18"/>
                <w:lang w:val="es-ES_tradnl"/>
              </w:rPr>
            </w:pPr>
            <w:r w:rsidRPr="00F567E1">
              <w:rPr>
                <w:color w:val="000000"/>
                <w:lang w:val="es-ES_tradnl"/>
              </w:rPr>
              <w:t>0,222</w:t>
            </w:r>
          </w:p>
        </w:tc>
        <w:tc>
          <w:tcPr>
            <w:tcW w:w="1073" w:type="dxa"/>
            <w:tcBorders>
              <w:top w:val="nil"/>
              <w:left w:val="nil"/>
              <w:bottom w:val="single" w:sz="4" w:space="0" w:color="auto"/>
              <w:right w:val="single" w:sz="4" w:space="0" w:color="auto"/>
            </w:tcBorders>
            <w:noWrap/>
            <w:hideMark/>
          </w:tcPr>
          <w:p w14:paraId="17060CE7" w14:textId="77777777" w:rsidR="00EE35DE" w:rsidRPr="00F567E1" w:rsidRDefault="00EE35DE" w:rsidP="009A58EE">
            <w:pPr>
              <w:pStyle w:val="Normal-pool-Table"/>
              <w:jc w:val="right"/>
              <w:rPr>
                <w:szCs w:val="18"/>
                <w:lang w:val="es-ES_tradnl"/>
              </w:rPr>
            </w:pPr>
            <w:r w:rsidRPr="00F567E1">
              <w:rPr>
                <w:color w:val="000000"/>
                <w:lang w:val="es-ES_tradnl"/>
              </w:rPr>
              <w:t>0,2241</w:t>
            </w:r>
          </w:p>
        </w:tc>
        <w:tc>
          <w:tcPr>
            <w:tcW w:w="1293" w:type="dxa"/>
            <w:tcBorders>
              <w:top w:val="nil"/>
              <w:left w:val="nil"/>
              <w:bottom w:val="single" w:sz="4" w:space="0" w:color="auto"/>
              <w:right w:val="single" w:sz="4" w:space="0" w:color="auto"/>
            </w:tcBorders>
            <w:noWrap/>
            <w:hideMark/>
          </w:tcPr>
          <w:p w14:paraId="5E29A5E6" w14:textId="77777777" w:rsidR="00EE35DE" w:rsidRPr="00F567E1" w:rsidRDefault="00EE35DE" w:rsidP="009A58EE">
            <w:pPr>
              <w:pStyle w:val="Normal-pool-Table"/>
              <w:jc w:val="right"/>
              <w:rPr>
                <w:szCs w:val="18"/>
                <w:lang w:val="es-ES_tradnl"/>
              </w:rPr>
            </w:pPr>
            <w:r w:rsidRPr="00F567E1">
              <w:rPr>
                <w:color w:val="000000"/>
                <w:lang w:val="es-ES_tradnl"/>
              </w:rPr>
              <w:t>6 909</w:t>
            </w:r>
          </w:p>
        </w:tc>
        <w:tc>
          <w:tcPr>
            <w:tcW w:w="1293" w:type="dxa"/>
            <w:tcBorders>
              <w:top w:val="nil"/>
              <w:left w:val="nil"/>
              <w:bottom w:val="single" w:sz="4" w:space="0" w:color="auto"/>
              <w:right w:val="single" w:sz="4" w:space="0" w:color="auto"/>
            </w:tcBorders>
            <w:noWrap/>
            <w:hideMark/>
          </w:tcPr>
          <w:p w14:paraId="7ECE5A4B" w14:textId="77777777" w:rsidR="00EE35DE" w:rsidRPr="00F567E1" w:rsidRDefault="00EE35DE" w:rsidP="009A58EE">
            <w:pPr>
              <w:pStyle w:val="Normal-pool-Table"/>
              <w:jc w:val="right"/>
              <w:rPr>
                <w:szCs w:val="18"/>
                <w:lang w:val="es-ES_tradnl"/>
              </w:rPr>
            </w:pPr>
            <w:r w:rsidRPr="00F567E1">
              <w:rPr>
                <w:color w:val="000000"/>
                <w:lang w:val="es-ES_tradnl"/>
              </w:rPr>
              <w:t>9 118</w:t>
            </w:r>
          </w:p>
        </w:tc>
        <w:tc>
          <w:tcPr>
            <w:tcW w:w="1313" w:type="dxa"/>
            <w:tcBorders>
              <w:top w:val="nil"/>
              <w:left w:val="nil"/>
              <w:bottom w:val="single" w:sz="4" w:space="0" w:color="auto"/>
              <w:right w:val="single" w:sz="4" w:space="0" w:color="auto"/>
            </w:tcBorders>
            <w:noWrap/>
            <w:hideMark/>
          </w:tcPr>
          <w:p w14:paraId="4D6AE51C" w14:textId="77777777" w:rsidR="00EE35DE" w:rsidRPr="00F567E1" w:rsidRDefault="00EE35DE" w:rsidP="009A58EE">
            <w:pPr>
              <w:pStyle w:val="Normal-pool-Table"/>
              <w:jc w:val="right"/>
              <w:rPr>
                <w:szCs w:val="18"/>
                <w:lang w:val="es-ES_tradnl"/>
              </w:rPr>
            </w:pPr>
            <w:r w:rsidRPr="00F567E1">
              <w:rPr>
                <w:color w:val="000000"/>
                <w:lang w:val="es-ES_tradnl"/>
              </w:rPr>
              <w:t>16 027</w:t>
            </w:r>
          </w:p>
        </w:tc>
      </w:tr>
      <w:tr w:rsidR="00EE35DE" w:rsidRPr="00F567E1" w14:paraId="3893340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56D4021" w14:textId="0E328488" w:rsidR="00EE35DE" w:rsidRPr="00F567E1" w:rsidRDefault="00EE35DE" w:rsidP="009A58EE">
            <w:pPr>
              <w:pStyle w:val="Normal-pool-Table"/>
              <w:rPr>
                <w:szCs w:val="18"/>
                <w:lang w:val="es-ES_tradnl"/>
              </w:rPr>
            </w:pPr>
            <w:r w:rsidRPr="00F567E1">
              <w:rPr>
                <w:color w:val="000000"/>
                <w:lang w:val="es-ES_tradnl"/>
              </w:rPr>
              <w:t>65</w:t>
            </w:r>
          </w:p>
        </w:tc>
        <w:tc>
          <w:tcPr>
            <w:tcW w:w="2573" w:type="dxa"/>
            <w:tcBorders>
              <w:top w:val="nil"/>
              <w:left w:val="nil"/>
              <w:bottom w:val="single" w:sz="4" w:space="0" w:color="auto"/>
              <w:right w:val="single" w:sz="4" w:space="0" w:color="auto"/>
            </w:tcBorders>
            <w:noWrap/>
            <w:hideMark/>
          </w:tcPr>
          <w:p w14:paraId="4B41EEC1" w14:textId="77777777" w:rsidR="00EE35DE" w:rsidRPr="00F567E1" w:rsidRDefault="00EE35DE" w:rsidP="009A58EE">
            <w:pPr>
              <w:pStyle w:val="Normal-pool-Table"/>
              <w:rPr>
                <w:szCs w:val="18"/>
                <w:lang w:val="es-ES_tradnl"/>
              </w:rPr>
            </w:pPr>
            <w:r w:rsidRPr="00F567E1">
              <w:rPr>
                <w:color w:val="000000"/>
                <w:lang w:val="es-ES_tradnl"/>
              </w:rPr>
              <w:t>Líbano</w:t>
            </w:r>
          </w:p>
        </w:tc>
        <w:tc>
          <w:tcPr>
            <w:tcW w:w="1400" w:type="dxa"/>
            <w:tcBorders>
              <w:top w:val="nil"/>
              <w:left w:val="nil"/>
              <w:bottom w:val="single" w:sz="4" w:space="0" w:color="auto"/>
              <w:right w:val="single" w:sz="4" w:space="0" w:color="auto"/>
            </w:tcBorders>
            <w:noWrap/>
            <w:hideMark/>
          </w:tcPr>
          <w:p w14:paraId="3B7147DE" w14:textId="77777777" w:rsidR="00EE35DE" w:rsidRPr="00F567E1" w:rsidRDefault="00EE35DE" w:rsidP="009A58EE">
            <w:pPr>
              <w:pStyle w:val="Normal-pool-Table"/>
              <w:jc w:val="right"/>
              <w:rPr>
                <w:szCs w:val="18"/>
                <w:lang w:val="es-ES_tradnl"/>
              </w:rPr>
            </w:pPr>
            <w:r w:rsidRPr="00F567E1">
              <w:rPr>
                <w:color w:val="000000"/>
                <w:lang w:val="es-ES_tradnl"/>
              </w:rPr>
              <w:t>0,022</w:t>
            </w:r>
          </w:p>
        </w:tc>
        <w:tc>
          <w:tcPr>
            <w:tcW w:w="1073" w:type="dxa"/>
            <w:tcBorders>
              <w:top w:val="nil"/>
              <w:left w:val="nil"/>
              <w:bottom w:val="single" w:sz="4" w:space="0" w:color="auto"/>
              <w:right w:val="single" w:sz="4" w:space="0" w:color="auto"/>
            </w:tcBorders>
            <w:noWrap/>
            <w:hideMark/>
          </w:tcPr>
          <w:p w14:paraId="03DEDCC1" w14:textId="77777777" w:rsidR="00EE35DE" w:rsidRPr="00F567E1" w:rsidRDefault="00EE35DE" w:rsidP="009A58EE">
            <w:pPr>
              <w:pStyle w:val="Normal-pool-Table"/>
              <w:jc w:val="right"/>
              <w:rPr>
                <w:szCs w:val="18"/>
                <w:lang w:val="es-ES_tradnl"/>
              </w:rPr>
            </w:pPr>
            <w:r w:rsidRPr="00F567E1">
              <w:rPr>
                <w:color w:val="000000"/>
                <w:lang w:val="es-ES_tradnl"/>
              </w:rPr>
              <w:t>0,0222</w:t>
            </w:r>
          </w:p>
        </w:tc>
        <w:tc>
          <w:tcPr>
            <w:tcW w:w="1293" w:type="dxa"/>
            <w:tcBorders>
              <w:top w:val="nil"/>
              <w:left w:val="nil"/>
              <w:bottom w:val="single" w:sz="4" w:space="0" w:color="auto"/>
              <w:right w:val="single" w:sz="4" w:space="0" w:color="auto"/>
            </w:tcBorders>
            <w:noWrap/>
            <w:hideMark/>
          </w:tcPr>
          <w:p w14:paraId="17C78812" w14:textId="77777777" w:rsidR="00EE35DE" w:rsidRPr="00F567E1" w:rsidRDefault="00EE35DE" w:rsidP="009A58EE">
            <w:pPr>
              <w:pStyle w:val="Normal-pool-Table"/>
              <w:jc w:val="right"/>
              <w:rPr>
                <w:szCs w:val="18"/>
                <w:lang w:val="es-ES_tradnl"/>
              </w:rPr>
            </w:pPr>
            <w:r w:rsidRPr="00F567E1">
              <w:rPr>
                <w:color w:val="000000"/>
                <w:lang w:val="es-ES_tradnl"/>
              </w:rPr>
              <w:t>685</w:t>
            </w:r>
          </w:p>
        </w:tc>
        <w:tc>
          <w:tcPr>
            <w:tcW w:w="1293" w:type="dxa"/>
            <w:tcBorders>
              <w:top w:val="nil"/>
              <w:left w:val="nil"/>
              <w:bottom w:val="single" w:sz="4" w:space="0" w:color="auto"/>
              <w:right w:val="single" w:sz="4" w:space="0" w:color="auto"/>
            </w:tcBorders>
            <w:noWrap/>
            <w:hideMark/>
          </w:tcPr>
          <w:p w14:paraId="5CBBD79B" w14:textId="77777777" w:rsidR="00EE35DE" w:rsidRPr="00F567E1" w:rsidRDefault="00EE35DE" w:rsidP="009A58EE">
            <w:pPr>
              <w:pStyle w:val="Normal-pool-Table"/>
              <w:jc w:val="right"/>
              <w:rPr>
                <w:szCs w:val="18"/>
                <w:lang w:val="es-ES_tradnl"/>
              </w:rPr>
            </w:pPr>
            <w:r w:rsidRPr="00F567E1">
              <w:rPr>
                <w:color w:val="000000"/>
                <w:lang w:val="es-ES_tradnl"/>
              </w:rPr>
              <w:t>904</w:t>
            </w:r>
          </w:p>
        </w:tc>
        <w:tc>
          <w:tcPr>
            <w:tcW w:w="1313" w:type="dxa"/>
            <w:tcBorders>
              <w:top w:val="nil"/>
              <w:left w:val="nil"/>
              <w:bottom w:val="single" w:sz="4" w:space="0" w:color="auto"/>
              <w:right w:val="single" w:sz="4" w:space="0" w:color="auto"/>
            </w:tcBorders>
            <w:noWrap/>
            <w:hideMark/>
          </w:tcPr>
          <w:p w14:paraId="2D4B3093" w14:textId="77777777" w:rsidR="00EE35DE" w:rsidRPr="00F567E1" w:rsidRDefault="00EE35DE" w:rsidP="009A58EE">
            <w:pPr>
              <w:pStyle w:val="Normal-pool-Table"/>
              <w:jc w:val="right"/>
              <w:rPr>
                <w:szCs w:val="18"/>
                <w:lang w:val="es-ES_tradnl"/>
              </w:rPr>
            </w:pPr>
            <w:r w:rsidRPr="00F567E1">
              <w:rPr>
                <w:color w:val="000000"/>
                <w:lang w:val="es-ES_tradnl"/>
              </w:rPr>
              <w:t>1 588</w:t>
            </w:r>
          </w:p>
        </w:tc>
      </w:tr>
      <w:tr w:rsidR="00EE35DE" w:rsidRPr="00F567E1" w14:paraId="65275D8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23F7BA3" w14:textId="4D87A96B" w:rsidR="00EE35DE" w:rsidRPr="00F567E1" w:rsidRDefault="00EE35DE" w:rsidP="009A58EE">
            <w:pPr>
              <w:pStyle w:val="Normal-pool-Table"/>
              <w:rPr>
                <w:szCs w:val="18"/>
                <w:lang w:val="es-ES_tradnl"/>
              </w:rPr>
            </w:pPr>
            <w:r w:rsidRPr="00F567E1">
              <w:rPr>
                <w:color w:val="000000"/>
                <w:lang w:val="es-ES_tradnl"/>
              </w:rPr>
              <w:t>66</w:t>
            </w:r>
          </w:p>
        </w:tc>
        <w:tc>
          <w:tcPr>
            <w:tcW w:w="2573" w:type="dxa"/>
            <w:tcBorders>
              <w:top w:val="nil"/>
              <w:left w:val="nil"/>
              <w:bottom w:val="single" w:sz="4" w:space="0" w:color="auto"/>
              <w:right w:val="single" w:sz="4" w:space="0" w:color="auto"/>
            </w:tcBorders>
            <w:noWrap/>
            <w:hideMark/>
          </w:tcPr>
          <w:p w14:paraId="5876CB32" w14:textId="77777777" w:rsidR="00EE35DE" w:rsidRPr="00F567E1" w:rsidRDefault="00EE35DE" w:rsidP="009A58EE">
            <w:pPr>
              <w:pStyle w:val="Normal-pool-Table"/>
              <w:rPr>
                <w:szCs w:val="18"/>
                <w:lang w:val="es-ES_tradnl"/>
              </w:rPr>
            </w:pPr>
            <w:r w:rsidRPr="00F567E1">
              <w:rPr>
                <w:color w:val="000000"/>
                <w:lang w:val="es-ES_tradnl"/>
              </w:rPr>
              <w:t>Maldivas</w:t>
            </w:r>
          </w:p>
        </w:tc>
        <w:tc>
          <w:tcPr>
            <w:tcW w:w="1400" w:type="dxa"/>
            <w:tcBorders>
              <w:top w:val="nil"/>
              <w:left w:val="nil"/>
              <w:bottom w:val="single" w:sz="4" w:space="0" w:color="auto"/>
              <w:right w:val="single" w:sz="4" w:space="0" w:color="auto"/>
            </w:tcBorders>
            <w:noWrap/>
            <w:hideMark/>
          </w:tcPr>
          <w:p w14:paraId="605E12BC" w14:textId="77777777" w:rsidR="00EE35DE" w:rsidRPr="00F567E1" w:rsidRDefault="00EE35DE" w:rsidP="009A58EE">
            <w:pPr>
              <w:pStyle w:val="Normal-pool-Table"/>
              <w:jc w:val="right"/>
              <w:rPr>
                <w:szCs w:val="18"/>
                <w:lang w:val="es-ES_tradnl"/>
              </w:rPr>
            </w:pPr>
            <w:r w:rsidRPr="00F567E1">
              <w:rPr>
                <w:color w:val="000000"/>
                <w:lang w:val="es-ES_tradnl"/>
              </w:rPr>
              <w:t>0,004</w:t>
            </w:r>
          </w:p>
        </w:tc>
        <w:tc>
          <w:tcPr>
            <w:tcW w:w="1073" w:type="dxa"/>
            <w:tcBorders>
              <w:top w:val="nil"/>
              <w:left w:val="nil"/>
              <w:bottom w:val="single" w:sz="4" w:space="0" w:color="auto"/>
              <w:right w:val="single" w:sz="4" w:space="0" w:color="auto"/>
            </w:tcBorders>
            <w:noWrap/>
            <w:hideMark/>
          </w:tcPr>
          <w:p w14:paraId="1401916A"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1B343E31"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3E42977F"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1BBAB7BC"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4EA5217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23C8AD1" w14:textId="5CD9BE85" w:rsidR="00EE35DE" w:rsidRPr="00F567E1" w:rsidRDefault="00EE35DE" w:rsidP="009A58EE">
            <w:pPr>
              <w:pStyle w:val="Normal-pool-Table"/>
              <w:rPr>
                <w:szCs w:val="18"/>
                <w:lang w:val="es-ES_tradnl"/>
              </w:rPr>
            </w:pPr>
            <w:r w:rsidRPr="00F567E1">
              <w:rPr>
                <w:color w:val="000000"/>
                <w:lang w:val="es-ES_tradnl"/>
              </w:rPr>
              <w:t>67</w:t>
            </w:r>
          </w:p>
        </w:tc>
        <w:tc>
          <w:tcPr>
            <w:tcW w:w="2573" w:type="dxa"/>
            <w:tcBorders>
              <w:top w:val="nil"/>
              <w:left w:val="nil"/>
              <w:bottom w:val="single" w:sz="4" w:space="0" w:color="auto"/>
              <w:right w:val="single" w:sz="4" w:space="0" w:color="auto"/>
            </w:tcBorders>
            <w:noWrap/>
            <w:hideMark/>
          </w:tcPr>
          <w:p w14:paraId="57A64E4A" w14:textId="77777777" w:rsidR="00EE35DE" w:rsidRPr="00F567E1" w:rsidRDefault="00EE35DE" w:rsidP="009A58EE">
            <w:pPr>
              <w:pStyle w:val="Normal-pool-Table"/>
              <w:rPr>
                <w:szCs w:val="18"/>
                <w:lang w:val="es-ES_tradnl"/>
              </w:rPr>
            </w:pPr>
            <w:r w:rsidRPr="00F567E1">
              <w:rPr>
                <w:color w:val="000000"/>
                <w:lang w:val="es-ES_tradnl"/>
              </w:rPr>
              <w:t>Mongolia</w:t>
            </w:r>
          </w:p>
        </w:tc>
        <w:tc>
          <w:tcPr>
            <w:tcW w:w="1400" w:type="dxa"/>
            <w:tcBorders>
              <w:top w:val="nil"/>
              <w:left w:val="nil"/>
              <w:bottom w:val="single" w:sz="4" w:space="0" w:color="auto"/>
              <w:right w:val="single" w:sz="4" w:space="0" w:color="auto"/>
            </w:tcBorders>
            <w:noWrap/>
            <w:hideMark/>
          </w:tcPr>
          <w:p w14:paraId="221648F9" w14:textId="77777777" w:rsidR="00EE35DE" w:rsidRPr="00F567E1" w:rsidRDefault="00EE35DE" w:rsidP="009A58EE">
            <w:pPr>
              <w:pStyle w:val="Normal-pool-Table"/>
              <w:jc w:val="right"/>
              <w:rPr>
                <w:szCs w:val="18"/>
                <w:lang w:val="es-ES_tradnl"/>
              </w:rPr>
            </w:pPr>
            <w:r w:rsidRPr="00F567E1">
              <w:rPr>
                <w:color w:val="000000"/>
                <w:lang w:val="es-ES_tradnl"/>
              </w:rPr>
              <w:t>0,004</w:t>
            </w:r>
          </w:p>
        </w:tc>
        <w:tc>
          <w:tcPr>
            <w:tcW w:w="1073" w:type="dxa"/>
            <w:tcBorders>
              <w:top w:val="nil"/>
              <w:left w:val="nil"/>
              <w:bottom w:val="single" w:sz="4" w:space="0" w:color="auto"/>
              <w:right w:val="single" w:sz="4" w:space="0" w:color="auto"/>
            </w:tcBorders>
            <w:noWrap/>
            <w:hideMark/>
          </w:tcPr>
          <w:p w14:paraId="4BFA3500"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8D011D9"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41498B4C"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D71B7CE"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4228369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001C4F2" w14:textId="407428D9" w:rsidR="00EE35DE" w:rsidRPr="00F567E1" w:rsidRDefault="00EE35DE" w:rsidP="009A58EE">
            <w:pPr>
              <w:pStyle w:val="Normal-pool-Table"/>
              <w:rPr>
                <w:szCs w:val="18"/>
                <w:lang w:val="es-ES_tradnl"/>
              </w:rPr>
            </w:pPr>
            <w:r w:rsidRPr="00F567E1">
              <w:rPr>
                <w:color w:val="000000"/>
                <w:lang w:val="es-ES_tradnl"/>
              </w:rPr>
              <w:t>68</w:t>
            </w:r>
          </w:p>
        </w:tc>
        <w:tc>
          <w:tcPr>
            <w:tcW w:w="2573" w:type="dxa"/>
            <w:tcBorders>
              <w:top w:val="nil"/>
              <w:left w:val="nil"/>
              <w:bottom w:val="single" w:sz="4" w:space="0" w:color="auto"/>
              <w:right w:val="single" w:sz="4" w:space="0" w:color="auto"/>
            </w:tcBorders>
            <w:noWrap/>
            <w:hideMark/>
          </w:tcPr>
          <w:p w14:paraId="4EED5546" w14:textId="77777777" w:rsidR="00EE35DE" w:rsidRPr="00F567E1" w:rsidRDefault="00EE35DE" w:rsidP="009A58EE">
            <w:pPr>
              <w:pStyle w:val="Normal-pool-Table"/>
              <w:rPr>
                <w:szCs w:val="18"/>
                <w:lang w:val="es-ES_tradnl"/>
              </w:rPr>
            </w:pPr>
            <w:r w:rsidRPr="00F567E1">
              <w:rPr>
                <w:color w:val="000000"/>
                <w:lang w:val="es-ES_tradnl"/>
              </w:rPr>
              <w:t>Omán</w:t>
            </w:r>
          </w:p>
        </w:tc>
        <w:tc>
          <w:tcPr>
            <w:tcW w:w="1400" w:type="dxa"/>
            <w:tcBorders>
              <w:top w:val="nil"/>
              <w:left w:val="nil"/>
              <w:bottom w:val="single" w:sz="4" w:space="0" w:color="auto"/>
              <w:right w:val="single" w:sz="4" w:space="0" w:color="auto"/>
            </w:tcBorders>
            <w:noWrap/>
            <w:hideMark/>
          </w:tcPr>
          <w:p w14:paraId="01ED44B6" w14:textId="77777777" w:rsidR="00EE35DE" w:rsidRPr="00F567E1" w:rsidRDefault="00EE35DE" w:rsidP="009A58EE">
            <w:pPr>
              <w:pStyle w:val="Normal-pool-Table"/>
              <w:jc w:val="right"/>
              <w:rPr>
                <w:szCs w:val="18"/>
                <w:lang w:val="es-ES_tradnl"/>
              </w:rPr>
            </w:pPr>
            <w:r w:rsidRPr="00F567E1">
              <w:rPr>
                <w:color w:val="000000"/>
                <w:lang w:val="es-ES_tradnl"/>
              </w:rPr>
              <w:t>0,115</w:t>
            </w:r>
          </w:p>
        </w:tc>
        <w:tc>
          <w:tcPr>
            <w:tcW w:w="1073" w:type="dxa"/>
            <w:tcBorders>
              <w:top w:val="nil"/>
              <w:left w:val="nil"/>
              <w:bottom w:val="single" w:sz="4" w:space="0" w:color="auto"/>
              <w:right w:val="single" w:sz="4" w:space="0" w:color="auto"/>
            </w:tcBorders>
            <w:noWrap/>
            <w:hideMark/>
          </w:tcPr>
          <w:p w14:paraId="0671AB46" w14:textId="77777777" w:rsidR="00EE35DE" w:rsidRPr="00F567E1" w:rsidRDefault="00EE35DE" w:rsidP="009A58EE">
            <w:pPr>
              <w:pStyle w:val="Normal-pool-Table"/>
              <w:jc w:val="right"/>
              <w:rPr>
                <w:szCs w:val="18"/>
                <w:lang w:val="es-ES_tradnl"/>
              </w:rPr>
            </w:pPr>
            <w:r w:rsidRPr="00F567E1">
              <w:rPr>
                <w:color w:val="000000"/>
                <w:lang w:val="es-ES_tradnl"/>
              </w:rPr>
              <w:t>0,1161</w:t>
            </w:r>
          </w:p>
        </w:tc>
        <w:tc>
          <w:tcPr>
            <w:tcW w:w="1293" w:type="dxa"/>
            <w:tcBorders>
              <w:top w:val="nil"/>
              <w:left w:val="nil"/>
              <w:bottom w:val="single" w:sz="4" w:space="0" w:color="auto"/>
              <w:right w:val="single" w:sz="4" w:space="0" w:color="auto"/>
            </w:tcBorders>
            <w:noWrap/>
            <w:hideMark/>
          </w:tcPr>
          <w:p w14:paraId="51C455E7" w14:textId="77777777" w:rsidR="00EE35DE" w:rsidRPr="00F567E1" w:rsidRDefault="00EE35DE" w:rsidP="009A58EE">
            <w:pPr>
              <w:pStyle w:val="Normal-pool-Table"/>
              <w:jc w:val="right"/>
              <w:rPr>
                <w:szCs w:val="18"/>
                <w:lang w:val="es-ES_tradnl"/>
              </w:rPr>
            </w:pPr>
            <w:r w:rsidRPr="00F567E1">
              <w:rPr>
                <w:color w:val="000000"/>
                <w:lang w:val="es-ES_tradnl"/>
              </w:rPr>
              <w:t>3 579</w:t>
            </w:r>
          </w:p>
        </w:tc>
        <w:tc>
          <w:tcPr>
            <w:tcW w:w="1293" w:type="dxa"/>
            <w:tcBorders>
              <w:top w:val="nil"/>
              <w:left w:val="nil"/>
              <w:bottom w:val="single" w:sz="4" w:space="0" w:color="auto"/>
              <w:right w:val="single" w:sz="4" w:space="0" w:color="auto"/>
            </w:tcBorders>
            <w:noWrap/>
            <w:hideMark/>
          </w:tcPr>
          <w:p w14:paraId="74205599" w14:textId="77777777" w:rsidR="00EE35DE" w:rsidRPr="00F567E1" w:rsidRDefault="00EE35DE" w:rsidP="009A58EE">
            <w:pPr>
              <w:pStyle w:val="Normal-pool-Table"/>
              <w:jc w:val="right"/>
              <w:rPr>
                <w:szCs w:val="18"/>
                <w:lang w:val="es-ES_tradnl"/>
              </w:rPr>
            </w:pPr>
            <w:r w:rsidRPr="00F567E1">
              <w:rPr>
                <w:color w:val="000000"/>
                <w:lang w:val="es-ES_tradnl"/>
              </w:rPr>
              <w:t>4 723</w:t>
            </w:r>
          </w:p>
        </w:tc>
        <w:tc>
          <w:tcPr>
            <w:tcW w:w="1313" w:type="dxa"/>
            <w:tcBorders>
              <w:top w:val="nil"/>
              <w:left w:val="nil"/>
              <w:bottom w:val="single" w:sz="4" w:space="0" w:color="auto"/>
              <w:right w:val="single" w:sz="4" w:space="0" w:color="auto"/>
            </w:tcBorders>
            <w:noWrap/>
            <w:hideMark/>
          </w:tcPr>
          <w:p w14:paraId="1780C592" w14:textId="77777777" w:rsidR="00EE35DE" w:rsidRPr="00F567E1" w:rsidRDefault="00EE35DE" w:rsidP="009A58EE">
            <w:pPr>
              <w:pStyle w:val="Normal-pool-Table"/>
              <w:jc w:val="right"/>
              <w:rPr>
                <w:szCs w:val="18"/>
                <w:lang w:val="es-ES_tradnl"/>
              </w:rPr>
            </w:pPr>
            <w:r w:rsidRPr="00F567E1">
              <w:rPr>
                <w:color w:val="000000"/>
                <w:lang w:val="es-ES_tradnl"/>
              </w:rPr>
              <w:t>8 302</w:t>
            </w:r>
          </w:p>
        </w:tc>
      </w:tr>
      <w:tr w:rsidR="00EE35DE" w:rsidRPr="00F567E1" w14:paraId="2292665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BC36D24" w14:textId="253383CD" w:rsidR="00EE35DE" w:rsidRPr="00F567E1" w:rsidRDefault="00EE35DE" w:rsidP="009A58EE">
            <w:pPr>
              <w:pStyle w:val="Normal-pool-Table"/>
              <w:rPr>
                <w:szCs w:val="18"/>
                <w:lang w:val="es-ES_tradnl"/>
              </w:rPr>
            </w:pPr>
            <w:r w:rsidRPr="00F567E1">
              <w:rPr>
                <w:color w:val="000000"/>
                <w:lang w:val="es-ES_tradnl"/>
              </w:rPr>
              <w:t>69</w:t>
            </w:r>
          </w:p>
        </w:tc>
        <w:tc>
          <w:tcPr>
            <w:tcW w:w="2573" w:type="dxa"/>
            <w:tcBorders>
              <w:top w:val="nil"/>
              <w:left w:val="nil"/>
              <w:bottom w:val="single" w:sz="4" w:space="0" w:color="auto"/>
              <w:right w:val="single" w:sz="4" w:space="0" w:color="auto"/>
            </w:tcBorders>
            <w:noWrap/>
            <w:hideMark/>
          </w:tcPr>
          <w:p w14:paraId="333EC496" w14:textId="77777777" w:rsidR="00EE35DE" w:rsidRPr="00F567E1" w:rsidRDefault="00EE35DE" w:rsidP="009A58EE">
            <w:pPr>
              <w:pStyle w:val="Normal-pool-Table"/>
              <w:rPr>
                <w:szCs w:val="18"/>
                <w:lang w:val="es-ES_tradnl"/>
              </w:rPr>
            </w:pPr>
            <w:r w:rsidRPr="00F567E1">
              <w:rPr>
                <w:color w:val="000000"/>
                <w:lang w:val="es-ES_tradnl"/>
              </w:rPr>
              <w:t>Pakistán</w:t>
            </w:r>
          </w:p>
        </w:tc>
        <w:tc>
          <w:tcPr>
            <w:tcW w:w="1400" w:type="dxa"/>
            <w:tcBorders>
              <w:top w:val="nil"/>
              <w:left w:val="nil"/>
              <w:bottom w:val="single" w:sz="4" w:space="0" w:color="auto"/>
              <w:right w:val="single" w:sz="4" w:space="0" w:color="auto"/>
            </w:tcBorders>
            <w:noWrap/>
            <w:hideMark/>
          </w:tcPr>
          <w:p w14:paraId="0A08856A" w14:textId="77777777" w:rsidR="00EE35DE" w:rsidRPr="00F567E1" w:rsidRDefault="00EE35DE" w:rsidP="009A58EE">
            <w:pPr>
              <w:pStyle w:val="Normal-pool-Table"/>
              <w:jc w:val="right"/>
              <w:rPr>
                <w:szCs w:val="18"/>
                <w:lang w:val="es-ES_tradnl"/>
              </w:rPr>
            </w:pPr>
            <w:r w:rsidRPr="00F567E1">
              <w:rPr>
                <w:color w:val="000000"/>
                <w:lang w:val="es-ES_tradnl"/>
              </w:rPr>
              <w:t>0,123</w:t>
            </w:r>
          </w:p>
        </w:tc>
        <w:tc>
          <w:tcPr>
            <w:tcW w:w="1073" w:type="dxa"/>
            <w:tcBorders>
              <w:top w:val="nil"/>
              <w:left w:val="nil"/>
              <w:bottom w:val="single" w:sz="4" w:space="0" w:color="auto"/>
              <w:right w:val="single" w:sz="4" w:space="0" w:color="auto"/>
            </w:tcBorders>
            <w:noWrap/>
            <w:hideMark/>
          </w:tcPr>
          <w:p w14:paraId="03F2DB99" w14:textId="77777777" w:rsidR="00EE35DE" w:rsidRPr="00F567E1" w:rsidRDefault="00EE35DE" w:rsidP="009A58EE">
            <w:pPr>
              <w:pStyle w:val="Normal-pool-Table"/>
              <w:jc w:val="right"/>
              <w:rPr>
                <w:szCs w:val="18"/>
                <w:lang w:val="es-ES_tradnl"/>
              </w:rPr>
            </w:pPr>
            <w:r w:rsidRPr="00F567E1">
              <w:rPr>
                <w:color w:val="000000"/>
                <w:lang w:val="es-ES_tradnl"/>
              </w:rPr>
              <w:t>0,1241</w:t>
            </w:r>
          </w:p>
        </w:tc>
        <w:tc>
          <w:tcPr>
            <w:tcW w:w="1293" w:type="dxa"/>
            <w:tcBorders>
              <w:top w:val="nil"/>
              <w:left w:val="nil"/>
              <w:bottom w:val="single" w:sz="4" w:space="0" w:color="auto"/>
              <w:right w:val="single" w:sz="4" w:space="0" w:color="auto"/>
            </w:tcBorders>
            <w:noWrap/>
            <w:hideMark/>
          </w:tcPr>
          <w:p w14:paraId="16DF36E1" w14:textId="77777777" w:rsidR="00EE35DE" w:rsidRPr="00F567E1" w:rsidRDefault="00EE35DE" w:rsidP="009A58EE">
            <w:pPr>
              <w:pStyle w:val="Normal-pool-Table"/>
              <w:jc w:val="right"/>
              <w:rPr>
                <w:szCs w:val="18"/>
                <w:lang w:val="es-ES_tradnl"/>
              </w:rPr>
            </w:pPr>
            <w:r w:rsidRPr="00F567E1">
              <w:rPr>
                <w:color w:val="000000"/>
                <w:lang w:val="es-ES_tradnl"/>
              </w:rPr>
              <w:t>3 828</w:t>
            </w:r>
          </w:p>
        </w:tc>
        <w:tc>
          <w:tcPr>
            <w:tcW w:w="1293" w:type="dxa"/>
            <w:tcBorders>
              <w:top w:val="nil"/>
              <w:left w:val="nil"/>
              <w:bottom w:val="single" w:sz="4" w:space="0" w:color="auto"/>
              <w:right w:val="single" w:sz="4" w:space="0" w:color="auto"/>
            </w:tcBorders>
            <w:noWrap/>
            <w:hideMark/>
          </w:tcPr>
          <w:p w14:paraId="0C49155B" w14:textId="77777777" w:rsidR="00EE35DE" w:rsidRPr="00F567E1" w:rsidRDefault="00EE35DE" w:rsidP="009A58EE">
            <w:pPr>
              <w:pStyle w:val="Normal-pool-Table"/>
              <w:jc w:val="right"/>
              <w:rPr>
                <w:szCs w:val="18"/>
                <w:lang w:val="es-ES_tradnl"/>
              </w:rPr>
            </w:pPr>
            <w:r w:rsidRPr="00F567E1">
              <w:rPr>
                <w:color w:val="000000"/>
                <w:lang w:val="es-ES_tradnl"/>
              </w:rPr>
              <w:t>5 052</w:t>
            </w:r>
          </w:p>
        </w:tc>
        <w:tc>
          <w:tcPr>
            <w:tcW w:w="1313" w:type="dxa"/>
            <w:tcBorders>
              <w:top w:val="nil"/>
              <w:left w:val="nil"/>
              <w:bottom w:val="single" w:sz="4" w:space="0" w:color="auto"/>
              <w:right w:val="single" w:sz="4" w:space="0" w:color="auto"/>
            </w:tcBorders>
            <w:noWrap/>
            <w:hideMark/>
          </w:tcPr>
          <w:p w14:paraId="6AC4FFB3" w14:textId="77777777" w:rsidR="00EE35DE" w:rsidRPr="00F567E1" w:rsidRDefault="00EE35DE" w:rsidP="009A58EE">
            <w:pPr>
              <w:pStyle w:val="Normal-pool-Table"/>
              <w:jc w:val="right"/>
              <w:rPr>
                <w:szCs w:val="18"/>
                <w:lang w:val="es-ES_tradnl"/>
              </w:rPr>
            </w:pPr>
            <w:r w:rsidRPr="00F567E1">
              <w:rPr>
                <w:color w:val="000000"/>
                <w:lang w:val="es-ES_tradnl"/>
              </w:rPr>
              <w:t>8 880</w:t>
            </w:r>
          </w:p>
        </w:tc>
      </w:tr>
      <w:tr w:rsidR="00EE35DE" w:rsidRPr="00F567E1" w14:paraId="1D8D475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56D2298" w14:textId="74ED4301" w:rsidR="00EE35DE" w:rsidRPr="00F567E1" w:rsidRDefault="00EE35DE" w:rsidP="009A58EE">
            <w:pPr>
              <w:pStyle w:val="Normal-pool-Table"/>
              <w:rPr>
                <w:szCs w:val="18"/>
                <w:lang w:val="es-ES_tradnl"/>
              </w:rPr>
            </w:pPr>
            <w:r w:rsidRPr="00F567E1">
              <w:rPr>
                <w:color w:val="000000"/>
                <w:lang w:val="es-ES_tradnl"/>
              </w:rPr>
              <w:t>70</w:t>
            </w:r>
          </w:p>
        </w:tc>
        <w:tc>
          <w:tcPr>
            <w:tcW w:w="2573" w:type="dxa"/>
            <w:tcBorders>
              <w:top w:val="nil"/>
              <w:left w:val="nil"/>
              <w:bottom w:val="single" w:sz="4" w:space="0" w:color="auto"/>
              <w:right w:val="single" w:sz="4" w:space="0" w:color="auto"/>
            </w:tcBorders>
            <w:noWrap/>
            <w:hideMark/>
          </w:tcPr>
          <w:p w14:paraId="26D51F40" w14:textId="77777777" w:rsidR="00EE35DE" w:rsidRPr="00F567E1" w:rsidRDefault="00EE35DE" w:rsidP="009A58EE">
            <w:pPr>
              <w:pStyle w:val="Normal-pool-Table"/>
              <w:rPr>
                <w:szCs w:val="18"/>
                <w:lang w:val="es-ES_tradnl"/>
              </w:rPr>
            </w:pPr>
            <w:r w:rsidRPr="00F567E1">
              <w:rPr>
                <w:color w:val="000000"/>
                <w:lang w:val="es-ES_tradnl"/>
              </w:rPr>
              <w:t>Palau</w:t>
            </w:r>
          </w:p>
        </w:tc>
        <w:tc>
          <w:tcPr>
            <w:tcW w:w="1400" w:type="dxa"/>
            <w:tcBorders>
              <w:top w:val="nil"/>
              <w:left w:val="nil"/>
              <w:bottom w:val="single" w:sz="4" w:space="0" w:color="auto"/>
              <w:right w:val="single" w:sz="4" w:space="0" w:color="auto"/>
            </w:tcBorders>
            <w:noWrap/>
            <w:hideMark/>
          </w:tcPr>
          <w:p w14:paraId="591CA1A8"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3A7287D8"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6D22CD4"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80EA62B"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4509A1B4"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75F02F9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FF5A87F" w14:textId="2686F4C1" w:rsidR="00EE35DE" w:rsidRPr="00F567E1" w:rsidRDefault="00EE35DE" w:rsidP="009A58EE">
            <w:pPr>
              <w:pStyle w:val="Normal-pool-Table"/>
              <w:rPr>
                <w:szCs w:val="18"/>
                <w:lang w:val="es-ES_tradnl"/>
              </w:rPr>
            </w:pPr>
            <w:r w:rsidRPr="00F567E1">
              <w:rPr>
                <w:color w:val="000000"/>
                <w:lang w:val="es-ES_tradnl"/>
              </w:rPr>
              <w:t>71</w:t>
            </w:r>
          </w:p>
        </w:tc>
        <w:tc>
          <w:tcPr>
            <w:tcW w:w="2573" w:type="dxa"/>
            <w:tcBorders>
              <w:top w:val="nil"/>
              <w:left w:val="nil"/>
              <w:bottom w:val="single" w:sz="4" w:space="0" w:color="auto"/>
              <w:right w:val="single" w:sz="4" w:space="0" w:color="auto"/>
            </w:tcBorders>
            <w:noWrap/>
            <w:hideMark/>
          </w:tcPr>
          <w:p w14:paraId="1E4DE136" w14:textId="77777777" w:rsidR="00EE35DE" w:rsidRPr="00F567E1" w:rsidRDefault="00EE35DE" w:rsidP="009A58EE">
            <w:pPr>
              <w:pStyle w:val="Normal-pool-Table"/>
              <w:rPr>
                <w:szCs w:val="18"/>
                <w:lang w:val="es-ES_tradnl"/>
              </w:rPr>
            </w:pPr>
            <w:r w:rsidRPr="00F567E1">
              <w:rPr>
                <w:color w:val="000000"/>
                <w:lang w:val="es-ES_tradnl"/>
              </w:rPr>
              <w:t>Qatar</w:t>
            </w:r>
          </w:p>
        </w:tc>
        <w:tc>
          <w:tcPr>
            <w:tcW w:w="1400" w:type="dxa"/>
            <w:tcBorders>
              <w:top w:val="nil"/>
              <w:left w:val="nil"/>
              <w:bottom w:val="single" w:sz="4" w:space="0" w:color="auto"/>
              <w:right w:val="single" w:sz="4" w:space="0" w:color="auto"/>
            </w:tcBorders>
            <w:noWrap/>
            <w:hideMark/>
          </w:tcPr>
          <w:p w14:paraId="2CC59CA0" w14:textId="77777777" w:rsidR="00EE35DE" w:rsidRPr="00F567E1" w:rsidRDefault="00EE35DE" w:rsidP="009A58EE">
            <w:pPr>
              <w:pStyle w:val="Normal-pool-Table"/>
              <w:jc w:val="right"/>
              <w:rPr>
                <w:szCs w:val="18"/>
                <w:lang w:val="es-ES_tradnl"/>
              </w:rPr>
            </w:pPr>
            <w:r w:rsidRPr="00F567E1">
              <w:rPr>
                <w:color w:val="000000"/>
                <w:lang w:val="es-ES_tradnl"/>
              </w:rPr>
              <w:t>0,245</w:t>
            </w:r>
          </w:p>
        </w:tc>
        <w:tc>
          <w:tcPr>
            <w:tcW w:w="1073" w:type="dxa"/>
            <w:tcBorders>
              <w:top w:val="nil"/>
              <w:left w:val="nil"/>
              <w:bottom w:val="single" w:sz="4" w:space="0" w:color="auto"/>
              <w:right w:val="single" w:sz="4" w:space="0" w:color="auto"/>
            </w:tcBorders>
            <w:noWrap/>
            <w:hideMark/>
          </w:tcPr>
          <w:p w14:paraId="34166EF5" w14:textId="77777777" w:rsidR="00EE35DE" w:rsidRPr="00F567E1" w:rsidRDefault="00EE35DE" w:rsidP="009A58EE">
            <w:pPr>
              <w:pStyle w:val="Normal-pool-Table"/>
              <w:jc w:val="right"/>
              <w:rPr>
                <w:szCs w:val="18"/>
                <w:lang w:val="es-ES_tradnl"/>
              </w:rPr>
            </w:pPr>
            <w:r w:rsidRPr="00F567E1">
              <w:rPr>
                <w:color w:val="000000"/>
                <w:lang w:val="es-ES_tradnl"/>
              </w:rPr>
              <w:t>0,2473</w:t>
            </w:r>
          </w:p>
        </w:tc>
        <w:tc>
          <w:tcPr>
            <w:tcW w:w="1293" w:type="dxa"/>
            <w:tcBorders>
              <w:top w:val="nil"/>
              <w:left w:val="nil"/>
              <w:bottom w:val="single" w:sz="4" w:space="0" w:color="auto"/>
              <w:right w:val="single" w:sz="4" w:space="0" w:color="auto"/>
            </w:tcBorders>
            <w:noWrap/>
            <w:hideMark/>
          </w:tcPr>
          <w:p w14:paraId="5BAB75C2" w14:textId="77777777" w:rsidR="00EE35DE" w:rsidRPr="00F567E1" w:rsidRDefault="00EE35DE" w:rsidP="009A58EE">
            <w:pPr>
              <w:pStyle w:val="Normal-pool-Table"/>
              <w:jc w:val="right"/>
              <w:rPr>
                <w:szCs w:val="18"/>
                <w:lang w:val="es-ES_tradnl"/>
              </w:rPr>
            </w:pPr>
            <w:r w:rsidRPr="00F567E1">
              <w:rPr>
                <w:color w:val="000000"/>
                <w:lang w:val="es-ES_tradnl"/>
              </w:rPr>
              <w:t>7 625</w:t>
            </w:r>
          </w:p>
        </w:tc>
        <w:tc>
          <w:tcPr>
            <w:tcW w:w="1293" w:type="dxa"/>
            <w:tcBorders>
              <w:top w:val="nil"/>
              <w:left w:val="nil"/>
              <w:bottom w:val="single" w:sz="4" w:space="0" w:color="auto"/>
              <w:right w:val="single" w:sz="4" w:space="0" w:color="auto"/>
            </w:tcBorders>
            <w:noWrap/>
            <w:hideMark/>
          </w:tcPr>
          <w:p w14:paraId="5BD17BA0" w14:textId="77777777" w:rsidR="00EE35DE" w:rsidRPr="00F567E1" w:rsidRDefault="00EE35DE" w:rsidP="009A58EE">
            <w:pPr>
              <w:pStyle w:val="Normal-pool-Table"/>
              <w:jc w:val="right"/>
              <w:rPr>
                <w:szCs w:val="18"/>
                <w:lang w:val="es-ES_tradnl"/>
              </w:rPr>
            </w:pPr>
            <w:r w:rsidRPr="00F567E1">
              <w:rPr>
                <w:color w:val="000000"/>
                <w:lang w:val="es-ES_tradnl"/>
              </w:rPr>
              <w:t>10 063</w:t>
            </w:r>
          </w:p>
        </w:tc>
        <w:tc>
          <w:tcPr>
            <w:tcW w:w="1313" w:type="dxa"/>
            <w:tcBorders>
              <w:top w:val="nil"/>
              <w:left w:val="nil"/>
              <w:bottom w:val="single" w:sz="4" w:space="0" w:color="auto"/>
              <w:right w:val="single" w:sz="4" w:space="0" w:color="auto"/>
            </w:tcBorders>
            <w:noWrap/>
            <w:hideMark/>
          </w:tcPr>
          <w:p w14:paraId="0E809566" w14:textId="77777777" w:rsidR="00EE35DE" w:rsidRPr="00F567E1" w:rsidRDefault="00EE35DE" w:rsidP="009A58EE">
            <w:pPr>
              <w:pStyle w:val="Normal-pool-Table"/>
              <w:jc w:val="right"/>
              <w:rPr>
                <w:szCs w:val="18"/>
                <w:lang w:val="es-ES_tradnl"/>
              </w:rPr>
            </w:pPr>
            <w:r w:rsidRPr="00F567E1">
              <w:rPr>
                <w:color w:val="000000"/>
                <w:lang w:val="es-ES_tradnl"/>
              </w:rPr>
              <w:t>17 687</w:t>
            </w:r>
          </w:p>
        </w:tc>
      </w:tr>
      <w:tr w:rsidR="00EE35DE" w:rsidRPr="00F567E1" w14:paraId="59C92C6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A5E7CEA" w14:textId="16E1536A" w:rsidR="00EE35DE" w:rsidRPr="00F567E1" w:rsidRDefault="00EE35DE" w:rsidP="009A58EE">
            <w:pPr>
              <w:pStyle w:val="Normal-pool-Table"/>
              <w:rPr>
                <w:szCs w:val="18"/>
                <w:lang w:val="es-ES_tradnl"/>
              </w:rPr>
            </w:pPr>
            <w:r w:rsidRPr="00F567E1">
              <w:rPr>
                <w:color w:val="000000"/>
                <w:lang w:val="es-ES_tradnl"/>
              </w:rPr>
              <w:t>72</w:t>
            </w:r>
          </w:p>
        </w:tc>
        <w:tc>
          <w:tcPr>
            <w:tcW w:w="2573" w:type="dxa"/>
            <w:tcBorders>
              <w:top w:val="nil"/>
              <w:left w:val="nil"/>
              <w:bottom w:val="single" w:sz="4" w:space="0" w:color="auto"/>
              <w:right w:val="single" w:sz="4" w:space="0" w:color="auto"/>
            </w:tcBorders>
            <w:noWrap/>
            <w:hideMark/>
          </w:tcPr>
          <w:p w14:paraId="35EAD461" w14:textId="77777777" w:rsidR="00EE35DE" w:rsidRPr="00F567E1" w:rsidRDefault="00EE35DE" w:rsidP="009A58EE">
            <w:pPr>
              <w:pStyle w:val="Normal-pool-Table"/>
              <w:rPr>
                <w:szCs w:val="18"/>
                <w:lang w:val="es-ES_tradnl"/>
              </w:rPr>
            </w:pPr>
            <w:r w:rsidRPr="00F567E1">
              <w:rPr>
                <w:color w:val="000000"/>
                <w:lang w:val="es-ES_tradnl"/>
              </w:rPr>
              <w:t>República Árabe Siria</w:t>
            </w:r>
          </w:p>
        </w:tc>
        <w:tc>
          <w:tcPr>
            <w:tcW w:w="1400" w:type="dxa"/>
            <w:tcBorders>
              <w:top w:val="nil"/>
              <w:left w:val="nil"/>
              <w:bottom w:val="single" w:sz="4" w:space="0" w:color="auto"/>
              <w:right w:val="single" w:sz="4" w:space="0" w:color="auto"/>
            </w:tcBorders>
            <w:noWrap/>
            <w:hideMark/>
          </w:tcPr>
          <w:p w14:paraId="0CE26FFF" w14:textId="77777777" w:rsidR="00EE35DE" w:rsidRPr="00F567E1" w:rsidRDefault="00EE35DE" w:rsidP="009A58EE">
            <w:pPr>
              <w:pStyle w:val="Normal-pool-Table"/>
              <w:jc w:val="right"/>
              <w:rPr>
                <w:szCs w:val="18"/>
                <w:lang w:val="es-ES_tradnl"/>
              </w:rPr>
            </w:pPr>
            <w:r w:rsidRPr="00F567E1">
              <w:rPr>
                <w:color w:val="000000"/>
                <w:lang w:val="es-ES_tradnl"/>
              </w:rPr>
              <w:t>0,006</w:t>
            </w:r>
          </w:p>
        </w:tc>
        <w:tc>
          <w:tcPr>
            <w:tcW w:w="1073" w:type="dxa"/>
            <w:tcBorders>
              <w:top w:val="nil"/>
              <w:left w:val="nil"/>
              <w:bottom w:val="single" w:sz="4" w:space="0" w:color="auto"/>
              <w:right w:val="single" w:sz="4" w:space="0" w:color="auto"/>
            </w:tcBorders>
            <w:noWrap/>
            <w:hideMark/>
          </w:tcPr>
          <w:p w14:paraId="65EF4C8C"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28587891"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6516271E"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1DE79EF0"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22EBD08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5B8AB95" w14:textId="74731838" w:rsidR="00EE35DE" w:rsidRPr="00F567E1" w:rsidRDefault="00EE35DE" w:rsidP="009A58EE">
            <w:pPr>
              <w:pStyle w:val="Normal-pool-Table"/>
              <w:rPr>
                <w:szCs w:val="18"/>
                <w:lang w:val="es-ES_tradnl"/>
              </w:rPr>
            </w:pPr>
            <w:r w:rsidRPr="00F567E1">
              <w:rPr>
                <w:color w:val="000000"/>
                <w:lang w:val="es-ES_tradnl"/>
              </w:rPr>
              <w:t>73</w:t>
            </w:r>
          </w:p>
        </w:tc>
        <w:tc>
          <w:tcPr>
            <w:tcW w:w="2573" w:type="dxa"/>
            <w:tcBorders>
              <w:top w:val="nil"/>
              <w:left w:val="nil"/>
              <w:bottom w:val="single" w:sz="4" w:space="0" w:color="auto"/>
              <w:right w:val="single" w:sz="4" w:space="0" w:color="auto"/>
            </w:tcBorders>
            <w:noWrap/>
            <w:hideMark/>
          </w:tcPr>
          <w:p w14:paraId="689B2FE5" w14:textId="77777777" w:rsidR="00EE35DE" w:rsidRPr="00F567E1" w:rsidRDefault="00EE35DE" w:rsidP="009A58EE">
            <w:pPr>
              <w:pStyle w:val="Normal-pool-Table"/>
              <w:rPr>
                <w:szCs w:val="18"/>
                <w:lang w:val="es-ES_tradnl"/>
              </w:rPr>
            </w:pPr>
            <w:r w:rsidRPr="00F567E1">
              <w:rPr>
                <w:color w:val="000000"/>
                <w:lang w:val="es-ES_tradnl"/>
              </w:rPr>
              <w:t>República de Corea</w:t>
            </w:r>
          </w:p>
        </w:tc>
        <w:tc>
          <w:tcPr>
            <w:tcW w:w="1400" w:type="dxa"/>
            <w:tcBorders>
              <w:top w:val="nil"/>
              <w:left w:val="nil"/>
              <w:bottom w:val="single" w:sz="4" w:space="0" w:color="auto"/>
              <w:right w:val="single" w:sz="4" w:space="0" w:color="auto"/>
            </w:tcBorders>
            <w:noWrap/>
            <w:hideMark/>
          </w:tcPr>
          <w:p w14:paraId="248949F2" w14:textId="77777777" w:rsidR="00EE35DE" w:rsidRPr="00F567E1" w:rsidRDefault="00EE35DE" w:rsidP="009A58EE">
            <w:pPr>
              <w:pStyle w:val="Normal-pool-Table"/>
              <w:jc w:val="right"/>
              <w:rPr>
                <w:szCs w:val="18"/>
                <w:lang w:val="es-ES_tradnl"/>
              </w:rPr>
            </w:pPr>
            <w:r w:rsidRPr="00F567E1">
              <w:rPr>
                <w:color w:val="000000"/>
                <w:lang w:val="es-ES_tradnl"/>
              </w:rPr>
              <w:t>2,349</w:t>
            </w:r>
          </w:p>
        </w:tc>
        <w:tc>
          <w:tcPr>
            <w:tcW w:w="1073" w:type="dxa"/>
            <w:tcBorders>
              <w:top w:val="nil"/>
              <w:left w:val="nil"/>
              <w:bottom w:val="single" w:sz="4" w:space="0" w:color="auto"/>
              <w:right w:val="single" w:sz="4" w:space="0" w:color="auto"/>
            </w:tcBorders>
            <w:noWrap/>
            <w:hideMark/>
          </w:tcPr>
          <w:p w14:paraId="41E69604" w14:textId="77777777" w:rsidR="00EE35DE" w:rsidRPr="00F567E1" w:rsidRDefault="00EE35DE" w:rsidP="009A58EE">
            <w:pPr>
              <w:pStyle w:val="Normal-pool-Table"/>
              <w:jc w:val="right"/>
              <w:rPr>
                <w:szCs w:val="18"/>
                <w:lang w:val="es-ES_tradnl"/>
              </w:rPr>
            </w:pPr>
            <w:r w:rsidRPr="00F567E1">
              <w:rPr>
                <w:color w:val="000000"/>
                <w:lang w:val="es-ES_tradnl"/>
              </w:rPr>
              <w:t>2,3709</w:t>
            </w:r>
          </w:p>
        </w:tc>
        <w:tc>
          <w:tcPr>
            <w:tcW w:w="1293" w:type="dxa"/>
            <w:tcBorders>
              <w:top w:val="nil"/>
              <w:left w:val="nil"/>
              <w:bottom w:val="single" w:sz="4" w:space="0" w:color="auto"/>
              <w:right w:val="single" w:sz="4" w:space="0" w:color="auto"/>
            </w:tcBorders>
            <w:noWrap/>
            <w:hideMark/>
          </w:tcPr>
          <w:p w14:paraId="4615EDC5" w14:textId="77777777" w:rsidR="00EE35DE" w:rsidRPr="00F567E1" w:rsidRDefault="00EE35DE" w:rsidP="009A58EE">
            <w:pPr>
              <w:pStyle w:val="Normal-pool-Table"/>
              <w:jc w:val="right"/>
              <w:rPr>
                <w:szCs w:val="18"/>
                <w:lang w:val="es-ES_tradnl"/>
              </w:rPr>
            </w:pPr>
            <w:r w:rsidRPr="00F567E1">
              <w:rPr>
                <w:color w:val="000000"/>
                <w:lang w:val="es-ES_tradnl"/>
              </w:rPr>
              <w:t>73 102</w:t>
            </w:r>
          </w:p>
        </w:tc>
        <w:tc>
          <w:tcPr>
            <w:tcW w:w="1293" w:type="dxa"/>
            <w:tcBorders>
              <w:top w:val="nil"/>
              <w:left w:val="nil"/>
              <w:bottom w:val="single" w:sz="4" w:space="0" w:color="auto"/>
              <w:right w:val="single" w:sz="4" w:space="0" w:color="auto"/>
            </w:tcBorders>
            <w:noWrap/>
            <w:hideMark/>
          </w:tcPr>
          <w:p w14:paraId="524F81FF" w14:textId="77777777" w:rsidR="00EE35DE" w:rsidRPr="00F567E1" w:rsidRDefault="00EE35DE" w:rsidP="009A58EE">
            <w:pPr>
              <w:pStyle w:val="Normal-pool-Table"/>
              <w:jc w:val="right"/>
              <w:rPr>
                <w:szCs w:val="18"/>
                <w:lang w:val="es-ES_tradnl"/>
              </w:rPr>
            </w:pPr>
            <w:r w:rsidRPr="00F567E1">
              <w:rPr>
                <w:color w:val="000000"/>
                <w:lang w:val="es-ES_tradnl"/>
              </w:rPr>
              <w:t>96 477</w:t>
            </w:r>
          </w:p>
        </w:tc>
        <w:tc>
          <w:tcPr>
            <w:tcW w:w="1313" w:type="dxa"/>
            <w:tcBorders>
              <w:top w:val="nil"/>
              <w:left w:val="nil"/>
              <w:bottom w:val="single" w:sz="4" w:space="0" w:color="auto"/>
              <w:right w:val="single" w:sz="4" w:space="0" w:color="auto"/>
            </w:tcBorders>
            <w:noWrap/>
            <w:hideMark/>
          </w:tcPr>
          <w:p w14:paraId="4F3AEEE6" w14:textId="77777777" w:rsidR="00EE35DE" w:rsidRPr="00F567E1" w:rsidRDefault="00EE35DE" w:rsidP="009A58EE">
            <w:pPr>
              <w:pStyle w:val="Normal-pool-Table"/>
              <w:jc w:val="right"/>
              <w:rPr>
                <w:szCs w:val="18"/>
                <w:lang w:val="es-ES_tradnl"/>
              </w:rPr>
            </w:pPr>
            <w:r w:rsidRPr="00F567E1">
              <w:rPr>
                <w:color w:val="000000"/>
                <w:lang w:val="es-ES_tradnl"/>
              </w:rPr>
              <w:t>169 579</w:t>
            </w:r>
          </w:p>
        </w:tc>
      </w:tr>
      <w:tr w:rsidR="00EE35DE" w:rsidRPr="00F567E1" w14:paraId="7DF2E647" w14:textId="77777777" w:rsidTr="00F16F39">
        <w:trPr>
          <w:trHeight w:val="300"/>
          <w:jc w:val="right"/>
        </w:trPr>
        <w:tc>
          <w:tcPr>
            <w:tcW w:w="541" w:type="dxa"/>
            <w:tcBorders>
              <w:top w:val="nil"/>
              <w:left w:val="single" w:sz="4" w:space="0" w:color="auto"/>
              <w:bottom w:val="single" w:sz="4" w:space="0" w:color="auto"/>
              <w:right w:val="single" w:sz="4" w:space="0" w:color="auto"/>
            </w:tcBorders>
            <w:noWrap/>
            <w:hideMark/>
          </w:tcPr>
          <w:p w14:paraId="4BABEF96" w14:textId="53E1875F" w:rsidR="00EE35DE" w:rsidRPr="00F567E1" w:rsidRDefault="00EE35DE" w:rsidP="009A58EE">
            <w:pPr>
              <w:pStyle w:val="Normal-pool-Table"/>
              <w:rPr>
                <w:szCs w:val="18"/>
                <w:lang w:val="es-ES_tradnl"/>
              </w:rPr>
            </w:pPr>
            <w:r w:rsidRPr="00F567E1">
              <w:rPr>
                <w:color w:val="000000"/>
                <w:lang w:val="es-ES_tradnl"/>
              </w:rPr>
              <w:t>74</w:t>
            </w:r>
          </w:p>
        </w:tc>
        <w:tc>
          <w:tcPr>
            <w:tcW w:w="2573" w:type="dxa"/>
            <w:tcBorders>
              <w:top w:val="nil"/>
              <w:left w:val="nil"/>
              <w:bottom w:val="single" w:sz="4" w:space="0" w:color="auto"/>
              <w:right w:val="single" w:sz="4" w:space="0" w:color="auto"/>
            </w:tcBorders>
            <w:noWrap/>
            <w:hideMark/>
          </w:tcPr>
          <w:p w14:paraId="1E1322D7" w14:textId="77777777" w:rsidR="00EE35DE" w:rsidRPr="00F567E1" w:rsidRDefault="00EE35DE" w:rsidP="009A58EE">
            <w:pPr>
              <w:pStyle w:val="Normal-pool-Table"/>
              <w:rPr>
                <w:szCs w:val="18"/>
                <w:lang w:val="es-ES_tradnl"/>
              </w:rPr>
            </w:pPr>
            <w:r w:rsidRPr="00F567E1">
              <w:rPr>
                <w:color w:val="000000"/>
                <w:lang w:val="es-ES_tradnl"/>
              </w:rPr>
              <w:t>República Democrática Popular Lao</w:t>
            </w:r>
          </w:p>
        </w:tc>
        <w:tc>
          <w:tcPr>
            <w:tcW w:w="1400" w:type="dxa"/>
            <w:tcBorders>
              <w:top w:val="nil"/>
              <w:left w:val="nil"/>
              <w:bottom w:val="single" w:sz="4" w:space="0" w:color="auto"/>
              <w:right w:val="single" w:sz="4" w:space="0" w:color="auto"/>
            </w:tcBorders>
            <w:noWrap/>
            <w:vAlign w:val="bottom"/>
            <w:hideMark/>
          </w:tcPr>
          <w:p w14:paraId="5F2C414F" w14:textId="77777777" w:rsidR="00EE35DE" w:rsidRPr="00F567E1" w:rsidRDefault="00EE35DE" w:rsidP="009A58EE">
            <w:pPr>
              <w:pStyle w:val="Normal-pool-Table"/>
              <w:jc w:val="right"/>
              <w:rPr>
                <w:szCs w:val="18"/>
                <w:lang w:val="es-ES_tradnl"/>
              </w:rPr>
            </w:pPr>
            <w:r w:rsidRPr="00F567E1">
              <w:rPr>
                <w:color w:val="000000"/>
                <w:lang w:val="es-ES_tradnl"/>
              </w:rPr>
              <w:t>0,006</w:t>
            </w:r>
          </w:p>
        </w:tc>
        <w:tc>
          <w:tcPr>
            <w:tcW w:w="1073" w:type="dxa"/>
            <w:tcBorders>
              <w:top w:val="nil"/>
              <w:left w:val="nil"/>
              <w:bottom w:val="single" w:sz="4" w:space="0" w:color="auto"/>
              <w:right w:val="single" w:sz="4" w:space="0" w:color="auto"/>
            </w:tcBorders>
            <w:noWrap/>
            <w:vAlign w:val="bottom"/>
            <w:hideMark/>
          </w:tcPr>
          <w:p w14:paraId="3FD25E2C"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vAlign w:val="bottom"/>
            <w:hideMark/>
          </w:tcPr>
          <w:p w14:paraId="04739C19"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vAlign w:val="bottom"/>
            <w:hideMark/>
          </w:tcPr>
          <w:p w14:paraId="623823F3"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vAlign w:val="bottom"/>
            <w:hideMark/>
          </w:tcPr>
          <w:p w14:paraId="1EC81C50"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524EE92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A791AFD" w14:textId="0D8BFB89" w:rsidR="00EE35DE" w:rsidRPr="00F567E1" w:rsidRDefault="00EE35DE" w:rsidP="009A58EE">
            <w:pPr>
              <w:pStyle w:val="Normal-pool-Table"/>
              <w:rPr>
                <w:szCs w:val="18"/>
                <w:lang w:val="es-ES_tradnl"/>
              </w:rPr>
            </w:pPr>
            <w:r w:rsidRPr="00F567E1">
              <w:rPr>
                <w:color w:val="000000"/>
                <w:lang w:val="es-ES_tradnl"/>
              </w:rPr>
              <w:t>75</w:t>
            </w:r>
          </w:p>
        </w:tc>
        <w:tc>
          <w:tcPr>
            <w:tcW w:w="2573" w:type="dxa"/>
            <w:tcBorders>
              <w:top w:val="nil"/>
              <w:left w:val="nil"/>
              <w:bottom w:val="single" w:sz="4" w:space="0" w:color="auto"/>
              <w:right w:val="single" w:sz="4" w:space="0" w:color="auto"/>
            </w:tcBorders>
            <w:noWrap/>
            <w:hideMark/>
          </w:tcPr>
          <w:p w14:paraId="430D5D03" w14:textId="77777777" w:rsidR="00EE35DE" w:rsidRPr="00F567E1" w:rsidRDefault="00EE35DE" w:rsidP="009A58EE">
            <w:pPr>
              <w:pStyle w:val="Normal-pool-Table"/>
              <w:rPr>
                <w:szCs w:val="18"/>
                <w:lang w:val="es-ES_tradnl"/>
              </w:rPr>
            </w:pPr>
            <w:r w:rsidRPr="00F567E1">
              <w:rPr>
                <w:color w:val="000000"/>
                <w:lang w:val="es-ES_tradnl"/>
              </w:rPr>
              <w:t>Samoa</w:t>
            </w:r>
          </w:p>
        </w:tc>
        <w:tc>
          <w:tcPr>
            <w:tcW w:w="1400" w:type="dxa"/>
            <w:tcBorders>
              <w:top w:val="nil"/>
              <w:left w:val="nil"/>
              <w:bottom w:val="single" w:sz="4" w:space="0" w:color="auto"/>
              <w:right w:val="single" w:sz="4" w:space="0" w:color="auto"/>
            </w:tcBorders>
            <w:noWrap/>
            <w:hideMark/>
          </w:tcPr>
          <w:p w14:paraId="72B614A7"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4E433F55"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04E172AE"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57F925AC"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0C2714A0"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3113371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852A13B" w14:textId="1CCD4206" w:rsidR="00EE35DE" w:rsidRPr="00F567E1" w:rsidRDefault="00EE35DE" w:rsidP="009A58EE">
            <w:pPr>
              <w:pStyle w:val="Normal-pool-Table"/>
              <w:rPr>
                <w:szCs w:val="18"/>
                <w:lang w:val="es-ES_tradnl"/>
              </w:rPr>
            </w:pPr>
            <w:r w:rsidRPr="00F567E1">
              <w:rPr>
                <w:color w:val="000000"/>
                <w:lang w:val="es-ES_tradnl"/>
              </w:rPr>
              <w:t>76</w:t>
            </w:r>
          </w:p>
        </w:tc>
        <w:tc>
          <w:tcPr>
            <w:tcW w:w="2573" w:type="dxa"/>
            <w:tcBorders>
              <w:top w:val="nil"/>
              <w:left w:val="nil"/>
              <w:bottom w:val="single" w:sz="4" w:space="0" w:color="auto"/>
              <w:right w:val="single" w:sz="4" w:space="0" w:color="auto"/>
            </w:tcBorders>
            <w:noWrap/>
            <w:hideMark/>
          </w:tcPr>
          <w:p w14:paraId="55003324" w14:textId="77777777" w:rsidR="00EE35DE" w:rsidRPr="00F567E1" w:rsidRDefault="00EE35DE" w:rsidP="009A58EE">
            <w:pPr>
              <w:pStyle w:val="Normal-pool-Table"/>
              <w:rPr>
                <w:szCs w:val="18"/>
                <w:lang w:val="es-ES_tradnl"/>
              </w:rPr>
            </w:pPr>
            <w:r w:rsidRPr="00F567E1">
              <w:rPr>
                <w:color w:val="000000"/>
                <w:lang w:val="es-ES_tradnl"/>
              </w:rPr>
              <w:t>Singapur</w:t>
            </w:r>
          </w:p>
        </w:tc>
        <w:tc>
          <w:tcPr>
            <w:tcW w:w="1400" w:type="dxa"/>
            <w:tcBorders>
              <w:top w:val="nil"/>
              <w:left w:val="nil"/>
              <w:bottom w:val="single" w:sz="4" w:space="0" w:color="auto"/>
              <w:right w:val="single" w:sz="4" w:space="0" w:color="auto"/>
            </w:tcBorders>
            <w:noWrap/>
            <w:hideMark/>
          </w:tcPr>
          <w:p w14:paraId="03B6DCB3" w14:textId="77777777" w:rsidR="00EE35DE" w:rsidRPr="00F567E1" w:rsidRDefault="00EE35DE" w:rsidP="009A58EE">
            <w:pPr>
              <w:pStyle w:val="Normal-pool-Table"/>
              <w:jc w:val="right"/>
              <w:rPr>
                <w:szCs w:val="18"/>
                <w:lang w:val="es-ES_tradnl"/>
              </w:rPr>
            </w:pPr>
            <w:r w:rsidRPr="00F567E1">
              <w:rPr>
                <w:color w:val="000000"/>
                <w:lang w:val="es-ES_tradnl"/>
              </w:rPr>
              <w:t>0,479</w:t>
            </w:r>
          </w:p>
        </w:tc>
        <w:tc>
          <w:tcPr>
            <w:tcW w:w="1073" w:type="dxa"/>
            <w:tcBorders>
              <w:top w:val="nil"/>
              <w:left w:val="nil"/>
              <w:bottom w:val="single" w:sz="4" w:space="0" w:color="auto"/>
              <w:right w:val="single" w:sz="4" w:space="0" w:color="auto"/>
            </w:tcBorders>
            <w:noWrap/>
            <w:hideMark/>
          </w:tcPr>
          <w:p w14:paraId="193D72BB" w14:textId="77777777" w:rsidR="00EE35DE" w:rsidRPr="00F567E1" w:rsidRDefault="00EE35DE" w:rsidP="009A58EE">
            <w:pPr>
              <w:pStyle w:val="Normal-pool-Table"/>
              <w:jc w:val="right"/>
              <w:rPr>
                <w:szCs w:val="18"/>
                <w:lang w:val="es-ES_tradnl"/>
              </w:rPr>
            </w:pPr>
            <w:r w:rsidRPr="00F567E1">
              <w:rPr>
                <w:color w:val="000000"/>
                <w:lang w:val="es-ES_tradnl"/>
              </w:rPr>
              <w:t>0,4835</w:t>
            </w:r>
          </w:p>
        </w:tc>
        <w:tc>
          <w:tcPr>
            <w:tcW w:w="1293" w:type="dxa"/>
            <w:tcBorders>
              <w:top w:val="nil"/>
              <w:left w:val="nil"/>
              <w:bottom w:val="single" w:sz="4" w:space="0" w:color="auto"/>
              <w:right w:val="single" w:sz="4" w:space="0" w:color="auto"/>
            </w:tcBorders>
            <w:noWrap/>
            <w:hideMark/>
          </w:tcPr>
          <w:p w14:paraId="65673025" w14:textId="77777777" w:rsidR="00EE35DE" w:rsidRPr="00F567E1" w:rsidRDefault="00EE35DE" w:rsidP="009A58EE">
            <w:pPr>
              <w:pStyle w:val="Normal-pool-Table"/>
              <w:jc w:val="right"/>
              <w:rPr>
                <w:szCs w:val="18"/>
                <w:lang w:val="es-ES_tradnl"/>
              </w:rPr>
            </w:pPr>
            <w:r w:rsidRPr="00F567E1">
              <w:rPr>
                <w:color w:val="000000"/>
                <w:lang w:val="es-ES_tradnl"/>
              </w:rPr>
              <w:t>14 907</w:t>
            </w:r>
          </w:p>
        </w:tc>
        <w:tc>
          <w:tcPr>
            <w:tcW w:w="1293" w:type="dxa"/>
            <w:tcBorders>
              <w:top w:val="nil"/>
              <w:left w:val="nil"/>
              <w:bottom w:val="single" w:sz="4" w:space="0" w:color="auto"/>
              <w:right w:val="single" w:sz="4" w:space="0" w:color="auto"/>
            </w:tcBorders>
            <w:noWrap/>
            <w:hideMark/>
          </w:tcPr>
          <w:p w14:paraId="42AEEED5" w14:textId="77777777" w:rsidR="00EE35DE" w:rsidRPr="00F567E1" w:rsidRDefault="00EE35DE" w:rsidP="009A58EE">
            <w:pPr>
              <w:pStyle w:val="Normal-pool-Table"/>
              <w:jc w:val="right"/>
              <w:rPr>
                <w:szCs w:val="18"/>
                <w:lang w:val="es-ES_tradnl"/>
              </w:rPr>
            </w:pPr>
            <w:r w:rsidRPr="00F567E1">
              <w:rPr>
                <w:color w:val="000000"/>
                <w:lang w:val="es-ES_tradnl"/>
              </w:rPr>
              <w:t>19 673</w:t>
            </w:r>
          </w:p>
        </w:tc>
        <w:tc>
          <w:tcPr>
            <w:tcW w:w="1313" w:type="dxa"/>
            <w:tcBorders>
              <w:top w:val="nil"/>
              <w:left w:val="nil"/>
              <w:bottom w:val="single" w:sz="4" w:space="0" w:color="auto"/>
              <w:right w:val="single" w:sz="4" w:space="0" w:color="auto"/>
            </w:tcBorders>
            <w:noWrap/>
            <w:hideMark/>
          </w:tcPr>
          <w:p w14:paraId="4C0D30BA" w14:textId="77777777" w:rsidR="00EE35DE" w:rsidRPr="00F567E1" w:rsidRDefault="00EE35DE" w:rsidP="009A58EE">
            <w:pPr>
              <w:pStyle w:val="Normal-pool-Table"/>
              <w:jc w:val="right"/>
              <w:rPr>
                <w:szCs w:val="18"/>
                <w:lang w:val="es-ES_tradnl"/>
              </w:rPr>
            </w:pPr>
            <w:r w:rsidRPr="00F567E1">
              <w:rPr>
                <w:color w:val="000000"/>
                <w:lang w:val="es-ES_tradnl"/>
              </w:rPr>
              <w:t>34 580</w:t>
            </w:r>
          </w:p>
        </w:tc>
      </w:tr>
      <w:tr w:rsidR="00EE35DE" w:rsidRPr="00F567E1" w14:paraId="7CF1AC7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9367B26" w14:textId="7606BEB2" w:rsidR="00EE35DE" w:rsidRPr="00F567E1" w:rsidRDefault="00EE35DE" w:rsidP="009A58EE">
            <w:pPr>
              <w:pStyle w:val="Normal-pool-Table"/>
              <w:rPr>
                <w:szCs w:val="18"/>
                <w:lang w:val="es-ES_tradnl"/>
              </w:rPr>
            </w:pPr>
            <w:r w:rsidRPr="00F567E1">
              <w:rPr>
                <w:color w:val="000000"/>
                <w:lang w:val="es-ES_tradnl"/>
              </w:rPr>
              <w:t>77</w:t>
            </w:r>
          </w:p>
        </w:tc>
        <w:tc>
          <w:tcPr>
            <w:tcW w:w="2573" w:type="dxa"/>
            <w:tcBorders>
              <w:top w:val="nil"/>
              <w:left w:val="nil"/>
              <w:bottom w:val="single" w:sz="4" w:space="0" w:color="auto"/>
              <w:right w:val="single" w:sz="4" w:space="0" w:color="auto"/>
            </w:tcBorders>
            <w:noWrap/>
            <w:hideMark/>
          </w:tcPr>
          <w:p w14:paraId="4A1F474E" w14:textId="77777777" w:rsidR="00EE35DE" w:rsidRPr="00F567E1" w:rsidRDefault="00EE35DE" w:rsidP="009A58EE">
            <w:pPr>
              <w:pStyle w:val="Normal-pool-Table"/>
              <w:rPr>
                <w:szCs w:val="18"/>
                <w:lang w:val="es-ES_tradnl"/>
              </w:rPr>
            </w:pPr>
            <w:r w:rsidRPr="00F567E1">
              <w:rPr>
                <w:color w:val="000000"/>
                <w:lang w:val="es-ES_tradnl"/>
              </w:rPr>
              <w:t>Sri Lanka</w:t>
            </w:r>
          </w:p>
        </w:tc>
        <w:tc>
          <w:tcPr>
            <w:tcW w:w="1400" w:type="dxa"/>
            <w:tcBorders>
              <w:top w:val="nil"/>
              <w:left w:val="nil"/>
              <w:bottom w:val="single" w:sz="4" w:space="0" w:color="auto"/>
              <w:right w:val="single" w:sz="4" w:space="0" w:color="auto"/>
            </w:tcBorders>
            <w:noWrap/>
            <w:hideMark/>
          </w:tcPr>
          <w:p w14:paraId="2CFF67C2" w14:textId="77777777" w:rsidR="00EE35DE" w:rsidRPr="00F567E1" w:rsidRDefault="00EE35DE" w:rsidP="009A58EE">
            <w:pPr>
              <w:pStyle w:val="Normal-pool-Table"/>
              <w:jc w:val="right"/>
              <w:rPr>
                <w:szCs w:val="18"/>
                <w:lang w:val="es-ES_tradnl"/>
              </w:rPr>
            </w:pPr>
            <w:r w:rsidRPr="00F567E1">
              <w:rPr>
                <w:color w:val="000000"/>
                <w:lang w:val="es-ES_tradnl"/>
              </w:rPr>
              <w:t>0,038</w:t>
            </w:r>
          </w:p>
        </w:tc>
        <w:tc>
          <w:tcPr>
            <w:tcW w:w="1073" w:type="dxa"/>
            <w:tcBorders>
              <w:top w:val="nil"/>
              <w:left w:val="nil"/>
              <w:bottom w:val="single" w:sz="4" w:space="0" w:color="auto"/>
              <w:right w:val="single" w:sz="4" w:space="0" w:color="auto"/>
            </w:tcBorders>
            <w:noWrap/>
            <w:hideMark/>
          </w:tcPr>
          <w:p w14:paraId="5D3C50F2" w14:textId="77777777" w:rsidR="00EE35DE" w:rsidRPr="00F567E1" w:rsidRDefault="00EE35DE" w:rsidP="009A58EE">
            <w:pPr>
              <w:pStyle w:val="Normal-pool-Table"/>
              <w:jc w:val="right"/>
              <w:rPr>
                <w:szCs w:val="18"/>
                <w:lang w:val="es-ES_tradnl"/>
              </w:rPr>
            </w:pPr>
            <w:r w:rsidRPr="00F567E1">
              <w:rPr>
                <w:color w:val="000000"/>
                <w:lang w:val="es-ES_tradnl"/>
              </w:rPr>
              <w:t>0,0384</w:t>
            </w:r>
          </w:p>
        </w:tc>
        <w:tc>
          <w:tcPr>
            <w:tcW w:w="1293" w:type="dxa"/>
            <w:tcBorders>
              <w:top w:val="nil"/>
              <w:left w:val="nil"/>
              <w:bottom w:val="single" w:sz="4" w:space="0" w:color="auto"/>
              <w:right w:val="single" w:sz="4" w:space="0" w:color="auto"/>
            </w:tcBorders>
            <w:noWrap/>
            <w:hideMark/>
          </w:tcPr>
          <w:p w14:paraId="6DFA3B16" w14:textId="77777777" w:rsidR="00EE35DE" w:rsidRPr="00F567E1" w:rsidRDefault="00EE35DE" w:rsidP="009A58EE">
            <w:pPr>
              <w:pStyle w:val="Normal-pool-Table"/>
              <w:jc w:val="right"/>
              <w:rPr>
                <w:szCs w:val="18"/>
                <w:lang w:val="es-ES_tradnl"/>
              </w:rPr>
            </w:pPr>
            <w:r w:rsidRPr="00F567E1">
              <w:rPr>
                <w:color w:val="000000"/>
                <w:lang w:val="es-ES_tradnl"/>
              </w:rPr>
              <w:t>1 183</w:t>
            </w:r>
          </w:p>
        </w:tc>
        <w:tc>
          <w:tcPr>
            <w:tcW w:w="1293" w:type="dxa"/>
            <w:tcBorders>
              <w:top w:val="nil"/>
              <w:left w:val="nil"/>
              <w:bottom w:val="single" w:sz="4" w:space="0" w:color="auto"/>
              <w:right w:val="single" w:sz="4" w:space="0" w:color="auto"/>
            </w:tcBorders>
            <w:noWrap/>
            <w:hideMark/>
          </w:tcPr>
          <w:p w14:paraId="33B9BFC4" w14:textId="77777777" w:rsidR="00EE35DE" w:rsidRPr="00F567E1" w:rsidRDefault="00EE35DE" w:rsidP="009A58EE">
            <w:pPr>
              <w:pStyle w:val="Normal-pool-Table"/>
              <w:jc w:val="right"/>
              <w:rPr>
                <w:szCs w:val="18"/>
                <w:lang w:val="es-ES_tradnl"/>
              </w:rPr>
            </w:pPr>
            <w:r w:rsidRPr="00F567E1">
              <w:rPr>
                <w:color w:val="000000"/>
                <w:lang w:val="es-ES_tradnl"/>
              </w:rPr>
              <w:t>1 561</w:t>
            </w:r>
          </w:p>
        </w:tc>
        <w:tc>
          <w:tcPr>
            <w:tcW w:w="1313" w:type="dxa"/>
            <w:tcBorders>
              <w:top w:val="nil"/>
              <w:left w:val="nil"/>
              <w:bottom w:val="single" w:sz="4" w:space="0" w:color="auto"/>
              <w:right w:val="single" w:sz="4" w:space="0" w:color="auto"/>
            </w:tcBorders>
            <w:noWrap/>
            <w:hideMark/>
          </w:tcPr>
          <w:p w14:paraId="77FE96F2" w14:textId="77777777" w:rsidR="00EE35DE" w:rsidRPr="00F567E1" w:rsidRDefault="00EE35DE" w:rsidP="009A58EE">
            <w:pPr>
              <w:pStyle w:val="Normal-pool-Table"/>
              <w:jc w:val="right"/>
              <w:rPr>
                <w:szCs w:val="18"/>
                <w:lang w:val="es-ES_tradnl"/>
              </w:rPr>
            </w:pPr>
            <w:r w:rsidRPr="00F567E1">
              <w:rPr>
                <w:color w:val="000000"/>
                <w:lang w:val="es-ES_tradnl"/>
              </w:rPr>
              <w:t>2 743</w:t>
            </w:r>
          </w:p>
        </w:tc>
      </w:tr>
      <w:tr w:rsidR="00EE35DE" w:rsidRPr="00F567E1" w14:paraId="30145005"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E721018" w14:textId="44C1D42F" w:rsidR="00EE35DE" w:rsidRPr="00F567E1" w:rsidRDefault="00EE35DE" w:rsidP="009A58EE">
            <w:pPr>
              <w:pStyle w:val="Normal-pool-Table"/>
              <w:rPr>
                <w:szCs w:val="18"/>
                <w:lang w:val="es-ES_tradnl"/>
              </w:rPr>
            </w:pPr>
            <w:r w:rsidRPr="00F567E1">
              <w:rPr>
                <w:color w:val="000000"/>
                <w:lang w:val="es-ES_tradnl"/>
              </w:rPr>
              <w:t>78</w:t>
            </w:r>
          </w:p>
        </w:tc>
        <w:tc>
          <w:tcPr>
            <w:tcW w:w="2573" w:type="dxa"/>
            <w:tcBorders>
              <w:top w:val="nil"/>
              <w:left w:val="nil"/>
              <w:bottom w:val="single" w:sz="4" w:space="0" w:color="auto"/>
              <w:right w:val="single" w:sz="4" w:space="0" w:color="auto"/>
            </w:tcBorders>
            <w:noWrap/>
            <w:hideMark/>
          </w:tcPr>
          <w:p w14:paraId="58E051D8" w14:textId="77777777" w:rsidR="00EE35DE" w:rsidRPr="00F567E1" w:rsidRDefault="00EE35DE" w:rsidP="009A58EE">
            <w:pPr>
              <w:pStyle w:val="Normal-pool-Table"/>
              <w:rPr>
                <w:szCs w:val="18"/>
                <w:lang w:val="es-ES_tradnl"/>
              </w:rPr>
            </w:pPr>
            <w:r w:rsidRPr="00F567E1">
              <w:rPr>
                <w:color w:val="000000"/>
                <w:lang w:val="es-ES_tradnl"/>
              </w:rPr>
              <w:t>Tailandia</w:t>
            </w:r>
          </w:p>
        </w:tc>
        <w:tc>
          <w:tcPr>
            <w:tcW w:w="1400" w:type="dxa"/>
            <w:tcBorders>
              <w:top w:val="nil"/>
              <w:left w:val="nil"/>
              <w:bottom w:val="single" w:sz="4" w:space="0" w:color="auto"/>
              <w:right w:val="single" w:sz="4" w:space="0" w:color="auto"/>
            </w:tcBorders>
            <w:noWrap/>
            <w:hideMark/>
          </w:tcPr>
          <w:p w14:paraId="30B09F3D" w14:textId="77777777" w:rsidR="00EE35DE" w:rsidRPr="00F567E1" w:rsidRDefault="00EE35DE" w:rsidP="009A58EE">
            <w:pPr>
              <w:pStyle w:val="Normal-pool-Table"/>
              <w:jc w:val="right"/>
              <w:rPr>
                <w:szCs w:val="18"/>
                <w:lang w:val="es-ES_tradnl"/>
              </w:rPr>
            </w:pPr>
            <w:r w:rsidRPr="00F567E1">
              <w:rPr>
                <w:color w:val="000000"/>
                <w:lang w:val="es-ES_tradnl"/>
              </w:rPr>
              <w:t>0,341</w:t>
            </w:r>
          </w:p>
        </w:tc>
        <w:tc>
          <w:tcPr>
            <w:tcW w:w="1073" w:type="dxa"/>
            <w:tcBorders>
              <w:top w:val="nil"/>
              <w:left w:val="nil"/>
              <w:bottom w:val="single" w:sz="4" w:space="0" w:color="auto"/>
              <w:right w:val="single" w:sz="4" w:space="0" w:color="auto"/>
            </w:tcBorders>
            <w:noWrap/>
            <w:hideMark/>
          </w:tcPr>
          <w:p w14:paraId="02D9C3DA" w14:textId="77777777" w:rsidR="00EE35DE" w:rsidRPr="00F567E1" w:rsidRDefault="00EE35DE" w:rsidP="009A58EE">
            <w:pPr>
              <w:pStyle w:val="Normal-pool-Table"/>
              <w:jc w:val="right"/>
              <w:rPr>
                <w:szCs w:val="18"/>
                <w:lang w:val="es-ES_tradnl"/>
              </w:rPr>
            </w:pPr>
            <w:r w:rsidRPr="00F567E1">
              <w:rPr>
                <w:color w:val="000000"/>
                <w:lang w:val="es-ES_tradnl"/>
              </w:rPr>
              <w:t>0,3442</w:t>
            </w:r>
          </w:p>
        </w:tc>
        <w:tc>
          <w:tcPr>
            <w:tcW w:w="1293" w:type="dxa"/>
            <w:tcBorders>
              <w:top w:val="nil"/>
              <w:left w:val="nil"/>
              <w:bottom w:val="single" w:sz="4" w:space="0" w:color="auto"/>
              <w:right w:val="single" w:sz="4" w:space="0" w:color="auto"/>
            </w:tcBorders>
            <w:noWrap/>
            <w:hideMark/>
          </w:tcPr>
          <w:p w14:paraId="773B29C1" w14:textId="77777777" w:rsidR="00EE35DE" w:rsidRPr="00F567E1" w:rsidRDefault="00EE35DE" w:rsidP="009A58EE">
            <w:pPr>
              <w:pStyle w:val="Normal-pool-Table"/>
              <w:jc w:val="right"/>
              <w:rPr>
                <w:szCs w:val="18"/>
                <w:lang w:val="es-ES_tradnl"/>
              </w:rPr>
            </w:pPr>
            <w:r w:rsidRPr="00F567E1">
              <w:rPr>
                <w:color w:val="000000"/>
                <w:lang w:val="es-ES_tradnl"/>
              </w:rPr>
              <w:t>10 612</w:t>
            </w:r>
          </w:p>
        </w:tc>
        <w:tc>
          <w:tcPr>
            <w:tcW w:w="1293" w:type="dxa"/>
            <w:tcBorders>
              <w:top w:val="nil"/>
              <w:left w:val="nil"/>
              <w:bottom w:val="single" w:sz="4" w:space="0" w:color="auto"/>
              <w:right w:val="single" w:sz="4" w:space="0" w:color="auto"/>
            </w:tcBorders>
            <w:noWrap/>
            <w:hideMark/>
          </w:tcPr>
          <w:p w14:paraId="33BDCDB9" w14:textId="77777777" w:rsidR="00EE35DE" w:rsidRPr="00F567E1" w:rsidRDefault="00EE35DE" w:rsidP="009A58EE">
            <w:pPr>
              <w:pStyle w:val="Normal-pool-Table"/>
              <w:jc w:val="right"/>
              <w:rPr>
                <w:szCs w:val="18"/>
                <w:lang w:val="es-ES_tradnl"/>
              </w:rPr>
            </w:pPr>
            <w:r w:rsidRPr="00F567E1">
              <w:rPr>
                <w:color w:val="000000"/>
                <w:lang w:val="es-ES_tradnl"/>
              </w:rPr>
              <w:t>14 005</w:t>
            </w:r>
          </w:p>
        </w:tc>
        <w:tc>
          <w:tcPr>
            <w:tcW w:w="1313" w:type="dxa"/>
            <w:tcBorders>
              <w:top w:val="nil"/>
              <w:left w:val="nil"/>
              <w:bottom w:val="single" w:sz="4" w:space="0" w:color="auto"/>
              <w:right w:val="single" w:sz="4" w:space="0" w:color="auto"/>
            </w:tcBorders>
            <w:noWrap/>
            <w:hideMark/>
          </w:tcPr>
          <w:p w14:paraId="1389FF50" w14:textId="77777777" w:rsidR="00EE35DE" w:rsidRPr="00F567E1" w:rsidRDefault="00EE35DE" w:rsidP="009A58EE">
            <w:pPr>
              <w:pStyle w:val="Normal-pool-Table"/>
              <w:jc w:val="right"/>
              <w:rPr>
                <w:szCs w:val="18"/>
                <w:lang w:val="es-ES_tradnl"/>
              </w:rPr>
            </w:pPr>
            <w:r w:rsidRPr="00F567E1">
              <w:rPr>
                <w:color w:val="000000"/>
                <w:lang w:val="es-ES_tradnl"/>
              </w:rPr>
              <w:t>24 618</w:t>
            </w:r>
          </w:p>
        </w:tc>
      </w:tr>
      <w:tr w:rsidR="00EE35DE" w:rsidRPr="00F567E1" w14:paraId="0781F79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64E8CE3" w14:textId="26776795" w:rsidR="00EE35DE" w:rsidRPr="00F567E1" w:rsidRDefault="00EE35DE" w:rsidP="009A58EE">
            <w:pPr>
              <w:pStyle w:val="Normal-pool-Table"/>
              <w:rPr>
                <w:szCs w:val="18"/>
                <w:lang w:val="es-ES_tradnl"/>
              </w:rPr>
            </w:pPr>
            <w:r w:rsidRPr="00F567E1">
              <w:rPr>
                <w:color w:val="000000"/>
                <w:lang w:val="es-ES_tradnl"/>
              </w:rPr>
              <w:lastRenderedPageBreak/>
              <w:t>79</w:t>
            </w:r>
          </w:p>
        </w:tc>
        <w:tc>
          <w:tcPr>
            <w:tcW w:w="2573" w:type="dxa"/>
            <w:tcBorders>
              <w:top w:val="nil"/>
              <w:left w:val="nil"/>
              <w:bottom w:val="single" w:sz="4" w:space="0" w:color="auto"/>
              <w:right w:val="single" w:sz="4" w:space="0" w:color="auto"/>
            </w:tcBorders>
            <w:noWrap/>
            <w:hideMark/>
          </w:tcPr>
          <w:p w14:paraId="5E7F955D" w14:textId="77777777" w:rsidR="00EE35DE" w:rsidRPr="00F567E1" w:rsidRDefault="00EE35DE" w:rsidP="009A58EE">
            <w:pPr>
              <w:pStyle w:val="Normal-pool-Table"/>
              <w:rPr>
                <w:szCs w:val="18"/>
                <w:lang w:val="es-ES_tradnl"/>
              </w:rPr>
            </w:pPr>
            <w:r w:rsidRPr="00F567E1">
              <w:rPr>
                <w:color w:val="000000"/>
                <w:lang w:val="es-ES_tradnl"/>
              </w:rPr>
              <w:t>Tonga</w:t>
            </w:r>
          </w:p>
        </w:tc>
        <w:tc>
          <w:tcPr>
            <w:tcW w:w="1400" w:type="dxa"/>
            <w:tcBorders>
              <w:top w:val="nil"/>
              <w:left w:val="nil"/>
              <w:bottom w:val="single" w:sz="4" w:space="0" w:color="auto"/>
              <w:right w:val="single" w:sz="4" w:space="0" w:color="auto"/>
            </w:tcBorders>
            <w:noWrap/>
            <w:hideMark/>
          </w:tcPr>
          <w:p w14:paraId="5F91F3C4"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7D417E04"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48C5B29"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2792098A"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2884BE36"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4386E78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004D4EB" w14:textId="6AA3D4C1" w:rsidR="00EE35DE" w:rsidRPr="00F567E1" w:rsidRDefault="00EE35DE" w:rsidP="009A58EE">
            <w:pPr>
              <w:pStyle w:val="Normal-pool-Table"/>
              <w:rPr>
                <w:szCs w:val="18"/>
                <w:lang w:val="es-ES_tradnl"/>
              </w:rPr>
            </w:pPr>
            <w:r w:rsidRPr="00F567E1">
              <w:rPr>
                <w:color w:val="000000"/>
                <w:lang w:val="es-ES_tradnl"/>
              </w:rPr>
              <w:t>80</w:t>
            </w:r>
          </w:p>
        </w:tc>
        <w:tc>
          <w:tcPr>
            <w:tcW w:w="2573" w:type="dxa"/>
            <w:tcBorders>
              <w:top w:val="nil"/>
              <w:left w:val="nil"/>
              <w:bottom w:val="single" w:sz="4" w:space="0" w:color="auto"/>
              <w:right w:val="single" w:sz="4" w:space="0" w:color="auto"/>
            </w:tcBorders>
            <w:noWrap/>
            <w:hideMark/>
          </w:tcPr>
          <w:p w14:paraId="74690C84" w14:textId="77777777" w:rsidR="00EE35DE" w:rsidRPr="00F567E1" w:rsidRDefault="00EE35DE" w:rsidP="009A58EE">
            <w:pPr>
              <w:pStyle w:val="Normal-pool-Table"/>
              <w:rPr>
                <w:szCs w:val="18"/>
                <w:lang w:val="es-ES_tradnl"/>
              </w:rPr>
            </w:pPr>
            <w:r w:rsidRPr="00F567E1">
              <w:rPr>
                <w:color w:val="000000"/>
                <w:lang w:val="es-ES_tradnl"/>
              </w:rPr>
              <w:t>Tuvalu</w:t>
            </w:r>
          </w:p>
        </w:tc>
        <w:tc>
          <w:tcPr>
            <w:tcW w:w="1400" w:type="dxa"/>
            <w:tcBorders>
              <w:top w:val="nil"/>
              <w:left w:val="nil"/>
              <w:bottom w:val="single" w:sz="4" w:space="0" w:color="auto"/>
              <w:right w:val="single" w:sz="4" w:space="0" w:color="auto"/>
            </w:tcBorders>
            <w:noWrap/>
            <w:hideMark/>
          </w:tcPr>
          <w:p w14:paraId="7D12194A"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3A61171B"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39C03DF3"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1F1576A2"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1574F926"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27EA854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96D96F0" w14:textId="77777777" w:rsidR="00EE35DE" w:rsidRPr="00F567E1" w:rsidRDefault="00EE35DE" w:rsidP="009A58EE">
            <w:pPr>
              <w:pStyle w:val="Normal-pool-Table"/>
              <w:rPr>
                <w:szCs w:val="18"/>
                <w:lang w:val="es-ES_tradnl"/>
              </w:rPr>
            </w:pPr>
            <w:r w:rsidRPr="00F567E1">
              <w:rPr>
                <w:color w:val="000000"/>
                <w:lang w:val="es-ES_tradnl"/>
              </w:rPr>
              <w:t>81</w:t>
            </w:r>
          </w:p>
        </w:tc>
        <w:tc>
          <w:tcPr>
            <w:tcW w:w="2573" w:type="dxa"/>
            <w:tcBorders>
              <w:top w:val="nil"/>
              <w:left w:val="nil"/>
              <w:bottom w:val="single" w:sz="4" w:space="0" w:color="auto"/>
              <w:right w:val="single" w:sz="4" w:space="0" w:color="auto"/>
            </w:tcBorders>
            <w:noWrap/>
            <w:hideMark/>
          </w:tcPr>
          <w:p w14:paraId="6C444E0D" w14:textId="77777777" w:rsidR="00EE35DE" w:rsidRPr="00F567E1" w:rsidRDefault="00EE35DE" w:rsidP="009A58EE">
            <w:pPr>
              <w:pStyle w:val="Normal-pool-Table"/>
              <w:rPr>
                <w:szCs w:val="18"/>
                <w:lang w:val="es-ES_tradnl"/>
              </w:rPr>
            </w:pPr>
            <w:r w:rsidRPr="00F567E1">
              <w:rPr>
                <w:color w:val="000000"/>
                <w:lang w:val="es-ES_tradnl"/>
              </w:rPr>
              <w:t>Vanuatu</w:t>
            </w:r>
          </w:p>
        </w:tc>
        <w:tc>
          <w:tcPr>
            <w:tcW w:w="1400" w:type="dxa"/>
            <w:tcBorders>
              <w:top w:val="nil"/>
              <w:left w:val="nil"/>
              <w:bottom w:val="single" w:sz="4" w:space="0" w:color="auto"/>
              <w:right w:val="single" w:sz="4" w:space="0" w:color="auto"/>
            </w:tcBorders>
            <w:noWrap/>
            <w:hideMark/>
          </w:tcPr>
          <w:p w14:paraId="137332E6"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457463DE"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1D280BF9"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24601E82"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167F2CE8"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23EB910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B084CE2" w14:textId="77777777" w:rsidR="00EE35DE" w:rsidRPr="00F567E1" w:rsidRDefault="00EE35DE" w:rsidP="009A58EE">
            <w:pPr>
              <w:pStyle w:val="Normal-pool-Table"/>
              <w:rPr>
                <w:szCs w:val="18"/>
                <w:lang w:val="es-ES_tradnl"/>
              </w:rPr>
            </w:pPr>
            <w:r w:rsidRPr="00F567E1">
              <w:rPr>
                <w:color w:val="000000"/>
                <w:lang w:val="es-ES_tradnl"/>
              </w:rPr>
              <w:t>82</w:t>
            </w:r>
          </w:p>
        </w:tc>
        <w:tc>
          <w:tcPr>
            <w:tcW w:w="2573" w:type="dxa"/>
            <w:tcBorders>
              <w:top w:val="nil"/>
              <w:left w:val="nil"/>
              <w:bottom w:val="single" w:sz="4" w:space="0" w:color="auto"/>
              <w:right w:val="single" w:sz="4" w:space="0" w:color="auto"/>
            </w:tcBorders>
            <w:noWrap/>
            <w:hideMark/>
          </w:tcPr>
          <w:p w14:paraId="387A749C" w14:textId="77777777" w:rsidR="00EE35DE" w:rsidRPr="00F567E1" w:rsidRDefault="00EE35DE" w:rsidP="009A58EE">
            <w:pPr>
              <w:pStyle w:val="Normal-pool-Table"/>
              <w:rPr>
                <w:szCs w:val="18"/>
                <w:lang w:val="es-ES_tradnl"/>
              </w:rPr>
            </w:pPr>
            <w:r w:rsidRPr="00F567E1">
              <w:rPr>
                <w:color w:val="000000"/>
                <w:lang w:val="es-ES_tradnl"/>
              </w:rPr>
              <w:t>Viet Nam</w:t>
            </w:r>
          </w:p>
        </w:tc>
        <w:tc>
          <w:tcPr>
            <w:tcW w:w="1400" w:type="dxa"/>
            <w:tcBorders>
              <w:top w:val="nil"/>
              <w:left w:val="nil"/>
              <w:bottom w:val="single" w:sz="4" w:space="0" w:color="auto"/>
              <w:right w:val="single" w:sz="4" w:space="0" w:color="auto"/>
            </w:tcBorders>
            <w:noWrap/>
            <w:hideMark/>
          </w:tcPr>
          <w:p w14:paraId="4CD85DE9" w14:textId="77777777" w:rsidR="00EE35DE" w:rsidRPr="00F567E1" w:rsidRDefault="00EE35DE" w:rsidP="009A58EE">
            <w:pPr>
              <w:pStyle w:val="Normal-pool-Table"/>
              <w:jc w:val="right"/>
              <w:rPr>
                <w:szCs w:val="18"/>
                <w:lang w:val="es-ES_tradnl"/>
              </w:rPr>
            </w:pPr>
            <w:r w:rsidRPr="00F567E1">
              <w:rPr>
                <w:color w:val="000000"/>
                <w:lang w:val="es-ES_tradnl"/>
              </w:rPr>
              <w:t>0,159</w:t>
            </w:r>
          </w:p>
        </w:tc>
        <w:tc>
          <w:tcPr>
            <w:tcW w:w="1073" w:type="dxa"/>
            <w:tcBorders>
              <w:top w:val="nil"/>
              <w:left w:val="nil"/>
              <w:bottom w:val="single" w:sz="4" w:space="0" w:color="auto"/>
              <w:right w:val="single" w:sz="4" w:space="0" w:color="auto"/>
            </w:tcBorders>
            <w:noWrap/>
            <w:hideMark/>
          </w:tcPr>
          <w:p w14:paraId="23979A4C" w14:textId="77777777" w:rsidR="00EE35DE" w:rsidRPr="00F567E1" w:rsidRDefault="00EE35DE" w:rsidP="009A58EE">
            <w:pPr>
              <w:pStyle w:val="Normal-pool-Table"/>
              <w:jc w:val="right"/>
              <w:rPr>
                <w:szCs w:val="18"/>
                <w:lang w:val="es-ES_tradnl"/>
              </w:rPr>
            </w:pPr>
            <w:r w:rsidRPr="00F567E1">
              <w:rPr>
                <w:color w:val="000000"/>
                <w:lang w:val="es-ES_tradnl"/>
              </w:rPr>
              <w:t>0,1605</w:t>
            </w:r>
          </w:p>
        </w:tc>
        <w:tc>
          <w:tcPr>
            <w:tcW w:w="1293" w:type="dxa"/>
            <w:tcBorders>
              <w:top w:val="nil"/>
              <w:left w:val="nil"/>
              <w:bottom w:val="single" w:sz="4" w:space="0" w:color="auto"/>
              <w:right w:val="single" w:sz="4" w:space="0" w:color="auto"/>
            </w:tcBorders>
            <w:noWrap/>
            <w:hideMark/>
          </w:tcPr>
          <w:p w14:paraId="0A07299C" w14:textId="77777777" w:rsidR="00EE35DE" w:rsidRPr="00F567E1" w:rsidRDefault="00EE35DE" w:rsidP="009A58EE">
            <w:pPr>
              <w:pStyle w:val="Normal-pool-Table"/>
              <w:jc w:val="right"/>
              <w:rPr>
                <w:szCs w:val="18"/>
                <w:lang w:val="es-ES_tradnl"/>
              </w:rPr>
            </w:pPr>
            <w:r w:rsidRPr="00F567E1">
              <w:rPr>
                <w:color w:val="000000"/>
                <w:lang w:val="es-ES_tradnl"/>
              </w:rPr>
              <w:t>4 948</w:t>
            </w:r>
          </w:p>
        </w:tc>
        <w:tc>
          <w:tcPr>
            <w:tcW w:w="1293" w:type="dxa"/>
            <w:tcBorders>
              <w:top w:val="nil"/>
              <w:left w:val="nil"/>
              <w:bottom w:val="single" w:sz="4" w:space="0" w:color="auto"/>
              <w:right w:val="single" w:sz="4" w:space="0" w:color="auto"/>
            </w:tcBorders>
            <w:noWrap/>
            <w:hideMark/>
          </w:tcPr>
          <w:p w14:paraId="4FD3EA89" w14:textId="77777777" w:rsidR="00EE35DE" w:rsidRPr="00F567E1" w:rsidRDefault="00EE35DE" w:rsidP="009A58EE">
            <w:pPr>
              <w:pStyle w:val="Normal-pool-Table"/>
              <w:jc w:val="right"/>
              <w:rPr>
                <w:szCs w:val="18"/>
                <w:lang w:val="es-ES_tradnl"/>
              </w:rPr>
            </w:pPr>
            <w:r w:rsidRPr="00F567E1">
              <w:rPr>
                <w:color w:val="000000"/>
                <w:lang w:val="es-ES_tradnl"/>
              </w:rPr>
              <w:t>6 530</w:t>
            </w:r>
          </w:p>
        </w:tc>
        <w:tc>
          <w:tcPr>
            <w:tcW w:w="1313" w:type="dxa"/>
            <w:tcBorders>
              <w:top w:val="nil"/>
              <w:left w:val="nil"/>
              <w:bottom w:val="single" w:sz="4" w:space="0" w:color="auto"/>
              <w:right w:val="single" w:sz="4" w:space="0" w:color="auto"/>
            </w:tcBorders>
            <w:noWrap/>
            <w:hideMark/>
          </w:tcPr>
          <w:p w14:paraId="0FD971B3" w14:textId="77777777" w:rsidR="00EE35DE" w:rsidRPr="00F567E1" w:rsidRDefault="00EE35DE" w:rsidP="009A58EE">
            <w:pPr>
              <w:pStyle w:val="Normal-pool-Table"/>
              <w:jc w:val="right"/>
              <w:rPr>
                <w:szCs w:val="18"/>
                <w:lang w:val="es-ES_tradnl"/>
              </w:rPr>
            </w:pPr>
            <w:r w:rsidRPr="00F567E1">
              <w:rPr>
                <w:color w:val="000000"/>
                <w:lang w:val="es-ES_tradnl"/>
              </w:rPr>
              <w:t>11 479</w:t>
            </w:r>
          </w:p>
        </w:tc>
      </w:tr>
      <w:tr w:rsidR="00F234CD" w:rsidRPr="00F567E1" w14:paraId="54DA4E76"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362C197B" w14:textId="77777777" w:rsidR="00312042" w:rsidRPr="00F567E1" w:rsidRDefault="00312042" w:rsidP="009A58EE">
            <w:pPr>
              <w:pStyle w:val="Normal-pool-Table"/>
              <w:rPr>
                <w:b/>
                <w:bCs/>
                <w:szCs w:val="18"/>
                <w:lang w:val="es-ES_tradnl"/>
              </w:rPr>
            </w:pPr>
            <w:r w:rsidRPr="00F567E1">
              <w:rPr>
                <w:b/>
                <w:bCs/>
                <w:color w:val="000000"/>
                <w:lang w:val="es-ES_tradnl"/>
              </w:rPr>
              <w:t>Estados de Europa Oriental (19)</w:t>
            </w:r>
          </w:p>
        </w:tc>
      </w:tr>
      <w:tr w:rsidR="00EE35DE" w:rsidRPr="00F567E1" w14:paraId="7C0A886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9AF65B8" w14:textId="77777777" w:rsidR="00EE35DE" w:rsidRPr="00F567E1" w:rsidRDefault="00EE35DE" w:rsidP="009A58EE">
            <w:pPr>
              <w:pStyle w:val="Normal-pool-Table"/>
              <w:rPr>
                <w:szCs w:val="18"/>
                <w:lang w:val="es-ES_tradnl"/>
              </w:rPr>
            </w:pPr>
            <w:r w:rsidRPr="00F567E1">
              <w:rPr>
                <w:color w:val="000000"/>
                <w:lang w:val="es-ES_tradnl"/>
              </w:rPr>
              <w:t>83</w:t>
            </w:r>
          </w:p>
        </w:tc>
        <w:tc>
          <w:tcPr>
            <w:tcW w:w="2573" w:type="dxa"/>
            <w:tcBorders>
              <w:top w:val="nil"/>
              <w:left w:val="nil"/>
              <w:bottom w:val="single" w:sz="4" w:space="0" w:color="auto"/>
              <w:right w:val="single" w:sz="4" w:space="0" w:color="auto"/>
            </w:tcBorders>
            <w:noWrap/>
            <w:hideMark/>
          </w:tcPr>
          <w:p w14:paraId="68DE130A" w14:textId="77777777" w:rsidR="00EE35DE" w:rsidRPr="00F567E1" w:rsidRDefault="00EE35DE" w:rsidP="009A58EE">
            <w:pPr>
              <w:pStyle w:val="Normal-pool-Table"/>
              <w:rPr>
                <w:szCs w:val="18"/>
                <w:lang w:val="es-ES_tradnl"/>
              </w:rPr>
            </w:pPr>
            <w:r w:rsidRPr="00F567E1">
              <w:rPr>
                <w:color w:val="000000"/>
                <w:lang w:val="es-ES_tradnl"/>
              </w:rPr>
              <w:t>Albania</w:t>
            </w:r>
          </w:p>
        </w:tc>
        <w:tc>
          <w:tcPr>
            <w:tcW w:w="1400" w:type="dxa"/>
            <w:tcBorders>
              <w:top w:val="nil"/>
              <w:left w:val="nil"/>
              <w:bottom w:val="single" w:sz="4" w:space="0" w:color="auto"/>
              <w:right w:val="single" w:sz="4" w:space="0" w:color="auto"/>
            </w:tcBorders>
            <w:noWrap/>
            <w:hideMark/>
          </w:tcPr>
          <w:p w14:paraId="2A8D669D" w14:textId="77777777" w:rsidR="00EE35DE" w:rsidRPr="00F567E1" w:rsidRDefault="00EE35DE" w:rsidP="009A58EE">
            <w:pPr>
              <w:pStyle w:val="Normal-pool-Table"/>
              <w:jc w:val="right"/>
              <w:rPr>
                <w:szCs w:val="18"/>
                <w:lang w:val="es-ES_tradnl"/>
              </w:rPr>
            </w:pPr>
            <w:r w:rsidRPr="00F567E1">
              <w:rPr>
                <w:color w:val="000000"/>
                <w:lang w:val="es-ES_tradnl"/>
              </w:rPr>
              <w:t>0,01</w:t>
            </w:r>
          </w:p>
        </w:tc>
        <w:tc>
          <w:tcPr>
            <w:tcW w:w="1073" w:type="dxa"/>
            <w:tcBorders>
              <w:top w:val="nil"/>
              <w:left w:val="nil"/>
              <w:bottom w:val="single" w:sz="4" w:space="0" w:color="auto"/>
              <w:right w:val="single" w:sz="4" w:space="0" w:color="auto"/>
            </w:tcBorders>
            <w:noWrap/>
            <w:hideMark/>
          </w:tcPr>
          <w:p w14:paraId="0DA651CE" w14:textId="77777777" w:rsidR="00EE35DE" w:rsidRPr="00F567E1" w:rsidRDefault="00EE35DE" w:rsidP="009A58EE">
            <w:pPr>
              <w:pStyle w:val="Normal-pool-Table"/>
              <w:jc w:val="right"/>
              <w:rPr>
                <w:szCs w:val="18"/>
                <w:lang w:val="es-ES_tradnl"/>
              </w:rPr>
            </w:pPr>
            <w:r w:rsidRPr="00F567E1">
              <w:rPr>
                <w:color w:val="000000"/>
                <w:lang w:val="es-ES_tradnl"/>
              </w:rPr>
              <w:t>0,0101</w:t>
            </w:r>
          </w:p>
        </w:tc>
        <w:tc>
          <w:tcPr>
            <w:tcW w:w="1293" w:type="dxa"/>
            <w:tcBorders>
              <w:top w:val="nil"/>
              <w:left w:val="nil"/>
              <w:bottom w:val="single" w:sz="4" w:space="0" w:color="auto"/>
              <w:right w:val="single" w:sz="4" w:space="0" w:color="auto"/>
            </w:tcBorders>
            <w:noWrap/>
            <w:hideMark/>
          </w:tcPr>
          <w:p w14:paraId="409D0B3A" w14:textId="77777777" w:rsidR="00EE35DE" w:rsidRPr="00F567E1" w:rsidRDefault="00EE35DE" w:rsidP="009A58EE">
            <w:pPr>
              <w:pStyle w:val="Normal-pool-Table"/>
              <w:jc w:val="right"/>
              <w:rPr>
                <w:szCs w:val="18"/>
                <w:lang w:val="es-ES_tradnl"/>
              </w:rPr>
            </w:pPr>
            <w:r w:rsidRPr="00F567E1">
              <w:rPr>
                <w:color w:val="000000"/>
                <w:lang w:val="es-ES_tradnl"/>
              </w:rPr>
              <w:t>311</w:t>
            </w:r>
          </w:p>
        </w:tc>
        <w:tc>
          <w:tcPr>
            <w:tcW w:w="1293" w:type="dxa"/>
            <w:tcBorders>
              <w:top w:val="nil"/>
              <w:left w:val="nil"/>
              <w:bottom w:val="single" w:sz="4" w:space="0" w:color="auto"/>
              <w:right w:val="single" w:sz="4" w:space="0" w:color="auto"/>
            </w:tcBorders>
            <w:noWrap/>
            <w:hideMark/>
          </w:tcPr>
          <w:p w14:paraId="63C47D2B" w14:textId="77777777" w:rsidR="00EE35DE" w:rsidRPr="00F567E1" w:rsidRDefault="00EE35DE" w:rsidP="009A58EE">
            <w:pPr>
              <w:pStyle w:val="Normal-pool-Table"/>
              <w:jc w:val="right"/>
              <w:rPr>
                <w:szCs w:val="18"/>
                <w:lang w:val="es-ES_tradnl"/>
              </w:rPr>
            </w:pPr>
            <w:r w:rsidRPr="00F567E1">
              <w:rPr>
                <w:color w:val="000000"/>
                <w:lang w:val="es-ES_tradnl"/>
              </w:rPr>
              <w:t>411</w:t>
            </w:r>
          </w:p>
        </w:tc>
        <w:tc>
          <w:tcPr>
            <w:tcW w:w="1313" w:type="dxa"/>
            <w:tcBorders>
              <w:top w:val="nil"/>
              <w:left w:val="nil"/>
              <w:bottom w:val="single" w:sz="4" w:space="0" w:color="auto"/>
              <w:right w:val="single" w:sz="4" w:space="0" w:color="auto"/>
            </w:tcBorders>
            <w:noWrap/>
            <w:hideMark/>
          </w:tcPr>
          <w:p w14:paraId="0402D74E" w14:textId="77777777" w:rsidR="00EE35DE" w:rsidRPr="00F567E1" w:rsidRDefault="00EE35DE" w:rsidP="009A58EE">
            <w:pPr>
              <w:pStyle w:val="Normal-pool-Table"/>
              <w:jc w:val="right"/>
              <w:rPr>
                <w:szCs w:val="18"/>
                <w:lang w:val="es-ES_tradnl"/>
              </w:rPr>
            </w:pPr>
            <w:r w:rsidRPr="00F567E1">
              <w:rPr>
                <w:color w:val="000000"/>
                <w:lang w:val="es-ES_tradnl"/>
              </w:rPr>
              <w:t>722</w:t>
            </w:r>
          </w:p>
        </w:tc>
      </w:tr>
      <w:tr w:rsidR="00EE35DE" w:rsidRPr="00F567E1" w14:paraId="36906BA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B1FB2AE" w14:textId="77777777" w:rsidR="00EE35DE" w:rsidRPr="00F567E1" w:rsidRDefault="00EE35DE" w:rsidP="009A58EE">
            <w:pPr>
              <w:pStyle w:val="Normal-pool-Table"/>
              <w:rPr>
                <w:szCs w:val="18"/>
                <w:lang w:val="es-ES_tradnl"/>
              </w:rPr>
            </w:pPr>
            <w:r w:rsidRPr="00F567E1">
              <w:rPr>
                <w:color w:val="000000"/>
                <w:lang w:val="es-ES_tradnl"/>
              </w:rPr>
              <w:t>84</w:t>
            </w:r>
          </w:p>
        </w:tc>
        <w:tc>
          <w:tcPr>
            <w:tcW w:w="2573" w:type="dxa"/>
            <w:tcBorders>
              <w:top w:val="nil"/>
              <w:left w:val="nil"/>
              <w:bottom w:val="single" w:sz="4" w:space="0" w:color="auto"/>
              <w:right w:val="single" w:sz="4" w:space="0" w:color="auto"/>
            </w:tcBorders>
            <w:noWrap/>
            <w:hideMark/>
          </w:tcPr>
          <w:p w14:paraId="4A16A057" w14:textId="77777777" w:rsidR="00EE35DE" w:rsidRPr="00F567E1" w:rsidRDefault="00EE35DE" w:rsidP="009A58EE">
            <w:pPr>
              <w:pStyle w:val="Normal-pool-Table"/>
              <w:rPr>
                <w:szCs w:val="18"/>
                <w:lang w:val="es-ES_tradnl"/>
              </w:rPr>
            </w:pPr>
            <w:r w:rsidRPr="00F567E1">
              <w:rPr>
                <w:color w:val="000000"/>
                <w:lang w:val="es-ES_tradnl"/>
              </w:rPr>
              <w:t>Armenia</w:t>
            </w:r>
          </w:p>
        </w:tc>
        <w:tc>
          <w:tcPr>
            <w:tcW w:w="1400" w:type="dxa"/>
            <w:tcBorders>
              <w:top w:val="nil"/>
              <w:left w:val="nil"/>
              <w:bottom w:val="single" w:sz="4" w:space="0" w:color="auto"/>
              <w:right w:val="single" w:sz="4" w:space="0" w:color="auto"/>
            </w:tcBorders>
            <w:noWrap/>
            <w:hideMark/>
          </w:tcPr>
          <w:p w14:paraId="61120F5B" w14:textId="77777777" w:rsidR="00EE35DE" w:rsidRPr="00F567E1" w:rsidRDefault="00EE35DE" w:rsidP="009A58EE">
            <w:pPr>
              <w:pStyle w:val="Normal-pool-Table"/>
              <w:jc w:val="right"/>
              <w:rPr>
                <w:szCs w:val="18"/>
                <w:lang w:val="es-ES_tradnl"/>
              </w:rPr>
            </w:pPr>
            <w:r w:rsidRPr="00F567E1">
              <w:rPr>
                <w:color w:val="000000"/>
                <w:lang w:val="es-ES_tradnl"/>
              </w:rPr>
              <w:t>0,007</w:t>
            </w:r>
          </w:p>
        </w:tc>
        <w:tc>
          <w:tcPr>
            <w:tcW w:w="1073" w:type="dxa"/>
            <w:tcBorders>
              <w:top w:val="nil"/>
              <w:left w:val="nil"/>
              <w:bottom w:val="single" w:sz="4" w:space="0" w:color="auto"/>
              <w:right w:val="single" w:sz="4" w:space="0" w:color="auto"/>
            </w:tcBorders>
            <w:noWrap/>
            <w:hideMark/>
          </w:tcPr>
          <w:p w14:paraId="0CE40987"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234E3000"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9942D12"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1491C071"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5570D56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D7F56F0" w14:textId="77777777" w:rsidR="00EE35DE" w:rsidRPr="00F567E1" w:rsidRDefault="00EE35DE" w:rsidP="009A58EE">
            <w:pPr>
              <w:pStyle w:val="Normal-pool-Table"/>
              <w:rPr>
                <w:szCs w:val="18"/>
                <w:lang w:val="es-ES_tradnl"/>
              </w:rPr>
            </w:pPr>
            <w:r w:rsidRPr="00F567E1">
              <w:rPr>
                <w:color w:val="000000"/>
                <w:lang w:val="es-ES_tradnl"/>
              </w:rPr>
              <w:t>85</w:t>
            </w:r>
          </w:p>
        </w:tc>
        <w:tc>
          <w:tcPr>
            <w:tcW w:w="2573" w:type="dxa"/>
            <w:tcBorders>
              <w:top w:val="nil"/>
              <w:left w:val="nil"/>
              <w:bottom w:val="single" w:sz="4" w:space="0" w:color="auto"/>
              <w:right w:val="single" w:sz="4" w:space="0" w:color="auto"/>
            </w:tcBorders>
            <w:noWrap/>
            <w:hideMark/>
          </w:tcPr>
          <w:p w14:paraId="79370A87" w14:textId="77777777" w:rsidR="00EE35DE" w:rsidRPr="00F567E1" w:rsidRDefault="00EE35DE" w:rsidP="009A58EE">
            <w:pPr>
              <w:pStyle w:val="Normal-pool-Table"/>
              <w:rPr>
                <w:szCs w:val="18"/>
                <w:lang w:val="es-ES_tradnl"/>
              </w:rPr>
            </w:pPr>
            <w:r w:rsidRPr="00F567E1">
              <w:rPr>
                <w:color w:val="000000"/>
                <w:lang w:val="es-ES_tradnl"/>
              </w:rPr>
              <w:t>Bulgaria</w:t>
            </w:r>
          </w:p>
        </w:tc>
        <w:tc>
          <w:tcPr>
            <w:tcW w:w="1400" w:type="dxa"/>
            <w:tcBorders>
              <w:top w:val="nil"/>
              <w:left w:val="nil"/>
              <w:bottom w:val="single" w:sz="4" w:space="0" w:color="auto"/>
              <w:right w:val="single" w:sz="4" w:space="0" w:color="auto"/>
            </w:tcBorders>
            <w:noWrap/>
            <w:hideMark/>
          </w:tcPr>
          <w:p w14:paraId="4F9BD8F9" w14:textId="77777777" w:rsidR="00EE35DE" w:rsidRPr="00F567E1" w:rsidRDefault="00EE35DE" w:rsidP="009A58EE">
            <w:pPr>
              <w:pStyle w:val="Normal-pool-Table"/>
              <w:jc w:val="right"/>
              <w:rPr>
                <w:szCs w:val="18"/>
                <w:lang w:val="es-ES_tradnl"/>
              </w:rPr>
            </w:pPr>
            <w:r w:rsidRPr="00F567E1">
              <w:rPr>
                <w:color w:val="000000"/>
                <w:lang w:val="es-ES_tradnl"/>
              </w:rPr>
              <w:t>0,071</w:t>
            </w:r>
          </w:p>
        </w:tc>
        <w:tc>
          <w:tcPr>
            <w:tcW w:w="1073" w:type="dxa"/>
            <w:tcBorders>
              <w:top w:val="nil"/>
              <w:left w:val="nil"/>
              <w:bottom w:val="single" w:sz="4" w:space="0" w:color="auto"/>
              <w:right w:val="single" w:sz="4" w:space="0" w:color="auto"/>
            </w:tcBorders>
            <w:noWrap/>
            <w:hideMark/>
          </w:tcPr>
          <w:p w14:paraId="28DFB315" w14:textId="77777777" w:rsidR="00EE35DE" w:rsidRPr="00F567E1" w:rsidRDefault="00EE35DE" w:rsidP="009A58EE">
            <w:pPr>
              <w:pStyle w:val="Normal-pool-Table"/>
              <w:jc w:val="right"/>
              <w:rPr>
                <w:szCs w:val="18"/>
                <w:lang w:val="es-ES_tradnl"/>
              </w:rPr>
            </w:pPr>
            <w:r w:rsidRPr="00F567E1">
              <w:rPr>
                <w:color w:val="000000"/>
                <w:lang w:val="es-ES_tradnl"/>
              </w:rPr>
              <w:t>0,0717</w:t>
            </w:r>
          </w:p>
        </w:tc>
        <w:tc>
          <w:tcPr>
            <w:tcW w:w="1293" w:type="dxa"/>
            <w:tcBorders>
              <w:top w:val="nil"/>
              <w:left w:val="nil"/>
              <w:bottom w:val="single" w:sz="4" w:space="0" w:color="auto"/>
              <w:right w:val="single" w:sz="4" w:space="0" w:color="auto"/>
            </w:tcBorders>
            <w:noWrap/>
            <w:hideMark/>
          </w:tcPr>
          <w:p w14:paraId="28E5F250" w14:textId="77777777" w:rsidR="00EE35DE" w:rsidRPr="00F567E1" w:rsidRDefault="00EE35DE" w:rsidP="009A58EE">
            <w:pPr>
              <w:pStyle w:val="Normal-pool-Table"/>
              <w:jc w:val="right"/>
              <w:rPr>
                <w:szCs w:val="18"/>
                <w:lang w:val="es-ES_tradnl"/>
              </w:rPr>
            </w:pPr>
            <w:r w:rsidRPr="00F567E1">
              <w:rPr>
                <w:color w:val="000000"/>
                <w:lang w:val="es-ES_tradnl"/>
              </w:rPr>
              <w:t>2 210</w:t>
            </w:r>
          </w:p>
        </w:tc>
        <w:tc>
          <w:tcPr>
            <w:tcW w:w="1293" w:type="dxa"/>
            <w:tcBorders>
              <w:top w:val="nil"/>
              <w:left w:val="nil"/>
              <w:bottom w:val="single" w:sz="4" w:space="0" w:color="auto"/>
              <w:right w:val="single" w:sz="4" w:space="0" w:color="auto"/>
            </w:tcBorders>
            <w:noWrap/>
            <w:hideMark/>
          </w:tcPr>
          <w:p w14:paraId="188DBE0F" w14:textId="77777777" w:rsidR="00EE35DE" w:rsidRPr="00F567E1" w:rsidRDefault="00EE35DE" w:rsidP="009A58EE">
            <w:pPr>
              <w:pStyle w:val="Normal-pool-Table"/>
              <w:jc w:val="right"/>
              <w:rPr>
                <w:szCs w:val="18"/>
                <w:lang w:val="es-ES_tradnl"/>
              </w:rPr>
            </w:pPr>
            <w:r w:rsidRPr="00F567E1">
              <w:rPr>
                <w:color w:val="000000"/>
                <w:lang w:val="es-ES_tradnl"/>
              </w:rPr>
              <w:t>2 916</w:t>
            </w:r>
          </w:p>
        </w:tc>
        <w:tc>
          <w:tcPr>
            <w:tcW w:w="1313" w:type="dxa"/>
            <w:tcBorders>
              <w:top w:val="nil"/>
              <w:left w:val="nil"/>
              <w:bottom w:val="single" w:sz="4" w:space="0" w:color="auto"/>
              <w:right w:val="single" w:sz="4" w:space="0" w:color="auto"/>
            </w:tcBorders>
            <w:noWrap/>
            <w:hideMark/>
          </w:tcPr>
          <w:p w14:paraId="10C0F482" w14:textId="77777777" w:rsidR="00EE35DE" w:rsidRPr="00F567E1" w:rsidRDefault="00EE35DE" w:rsidP="009A58EE">
            <w:pPr>
              <w:pStyle w:val="Normal-pool-Table"/>
              <w:jc w:val="right"/>
              <w:rPr>
                <w:szCs w:val="18"/>
                <w:lang w:val="es-ES_tradnl"/>
              </w:rPr>
            </w:pPr>
            <w:r w:rsidRPr="00F567E1">
              <w:rPr>
                <w:color w:val="000000"/>
                <w:lang w:val="es-ES_tradnl"/>
              </w:rPr>
              <w:t>5 126</w:t>
            </w:r>
          </w:p>
        </w:tc>
      </w:tr>
      <w:tr w:rsidR="00EE35DE" w:rsidRPr="00F567E1" w14:paraId="556B785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4B79068" w14:textId="196289A6" w:rsidR="00EE35DE" w:rsidRPr="00F567E1" w:rsidRDefault="00EE35DE" w:rsidP="009A58EE">
            <w:pPr>
              <w:pStyle w:val="Normal-pool-Table"/>
              <w:rPr>
                <w:szCs w:val="18"/>
                <w:lang w:val="es-ES_tradnl"/>
              </w:rPr>
            </w:pPr>
            <w:r w:rsidRPr="00F567E1">
              <w:rPr>
                <w:color w:val="000000"/>
                <w:lang w:val="es-ES_tradnl"/>
              </w:rPr>
              <w:t>86</w:t>
            </w:r>
          </w:p>
        </w:tc>
        <w:tc>
          <w:tcPr>
            <w:tcW w:w="2573" w:type="dxa"/>
            <w:tcBorders>
              <w:top w:val="nil"/>
              <w:left w:val="nil"/>
              <w:bottom w:val="single" w:sz="4" w:space="0" w:color="auto"/>
              <w:right w:val="single" w:sz="4" w:space="0" w:color="auto"/>
            </w:tcBorders>
            <w:noWrap/>
            <w:hideMark/>
          </w:tcPr>
          <w:p w14:paraId="712BC443" w14:textId="77777777" w:rsidR="00EE35DE" w:rsidRPr="00F567E1" w:rsidRDefault="00EE35DE" w:rsidP="009A58EE">
            <w:pPr>
              <w:pStyle w:val="Normal-pool-Table"/>
              <w:rPr>
                <w:szCs w:val="18"/>
                <w:lang w:val="es-ES_tradnl"/>
              </w:rPr>
            </w:pPr>
            <w:r w:rsidRPr="00F567E1">
              <w:rPr>
                <w:color w:val="000000"/>
                <w:lang w:val="es-ES_tradnl"/>
              </w:rPr>
              <w:t>Chequia</w:t>
            </w:r>
          </w:p>
        </w:tc>
        <w:tc>
          <w:tcPr>
            <w:tcW w:w="1400" w:type="dxa"/>
            <w:tcBorders>
              <w:top w:val="nil"/>
              <w:left w:val="nil"/>
              <w:bottom w:val="single" w:sz="4" w:space="0" w:color="auto"/>
              <w:right w:val="single" w:sz="4" w:space="0" w:color="auto"/>
            </w:tcBorders>
            <w:noWrap/>
            <w:hideMark/>
          </w:tcPr>
          <w:p w14:paraId="3715406B" w14:textId="77777777" w:rsidR="00EE35DE" w:rsidRPr="00F567E1" w:rsidRDefault="00EE35DE" w:rsidP="009A58EE">
            <w:pPr>
              <w:pStyle w:val="Normal-pool-Table"/>
              <w:jc w:val="right"/>
              <w:rPr>
                <w:szCs w:val="18"/>
                <w:lang w:val="es-ES_tradnl"/>
              </w:rPr>
            </w:pPr>
            <w:r w:rsidRPr="00F567E1">
              <w:rPr>
                <w:color w:val="000000"/>
                <w:lang w:val="es-ES_tradnl"/>
              </w:rPr>
              <w:t>0,344</w:t>
            </w:r>
          </w:p>
        </w:tc>
        <w:tc>
          <w:tcPr>
            <w:tcW w:w="1073" w:type="dxa"/>
            <w:tcBorders>
              <w:top w:val="nil"/>
              <w:left w:val="nil"/>
              <w:bottom w:val="single" w:sz="4" w:space="0" w:color="auto"/>
              <w:right w:val="single" w:sz="4" w:space="0" w:color="auto"/>
            </w:tcBorders>
            <w:noWrap/>
            <w:hideMark/>
          </w:tcPr>
          <w:p w14:paraId="455508EF" w14:textId="77777777" w:rsidR="00EE35DE" w:rsidRPr="00F567E1" w:rsidRDefault="00EE35DE" w:rsidP="009A58EE">
            <w:pPr>
              <w:pStyle w:val="Normal-pool-Table"/>
              <w:jc w:val="right"/>
              <w:rPr>
                <w:szCs w:val="18"/>
                <w:lang w:val="es-ES_tradnl"/>
              </w:rPr>
            </w:pPr>
            <w:r w:rsidRPr="00F567E1">
              <w:rPr>
                <w:color w:val="000000"/>
                <w:lang w:val="es-ES_tradnl"/>
              </w:rPr>
              <w:t>0,3472</w:t>
            </w:r>
          </w:p>
        </w:tc>
        <w:tc>
          <w:tcPr>
            <w:tcW w:w="1293" w:type="dxa"/>
            <w:tcBorders>
              <w:top w:val="nil"/>
              <w:left w:val="nil"/>
              <w:bottom w:val="single" w:sz="4" w:space="0" w:color="auto"/>
              <w:right w:val="single" w:sz="4" w:space="0" w:color="auto"/>
            </w:tcBorders>
            <w:noWrap/>
            <w:hideMark/>
          </w:tcPr>
          <w:p w14:paraId="6A449E46" w14:textId="77777777" w:rsidR="00EE35DE" w:rsidRPr="00F567E1" w:rsidRDefault="00EE35DE" w:rsidP="009A58EE">
            <w:pPr>
              <w:pStyle w:val="Normal-pool-Table"/>
              <w:jc w:val="right"/>
              <w:rPr>
                <w:szCs w:val="18"/>
                <w:lang w:val="es-ES_tradnl"/>
              </w:rPr>
            </w:pPr>
            <w:r w:rsidRPr="00F567E1">
              <w:rPr>
                <w:color w:val="000000"/>
                <w:lang w:val="es-ES_tradnl"/>
              </w:rPr>
              <w:t>10 705</w:t>
            </w:r>
          </w:p>
        </w:tc>
        <w:tc>
          <w:tcPr>
            <w:tcW w:w="1293" w:type="dxa"/>
            <w:tcBorders>
              <w:top w:val="nil"/>
              <w:left w:val="nil"/>
              <w:bottom w:val="single" w:sz="4" w:space="0" w:color="auto"/>
              <w:right w:val="single" w:sz="4" w:space="0" w:color="auto"/>
            </w:tcBorders>
            <w:noWrap/>
            <w:hideMark/>
          </w:tcPr>
          <w:p w14:paraId="6578E162" w14:textId="77777777" w:rsidR="00EE35DE" w:rsidRPr="00F567E1" w:rsidRDefault="00EE35DE" w:rsidP="009A58EE">
            <w:pPr>
              <w:pStyle w:val="Normal-pool-Table"/>
              <w:jc w:val="right"/>
              <w:rPr>
                <w:szCs w:val="18"/>
                <w:lang w:val="es-ES_tradnl"/>
              </w:rPr>
            </w:pPr>
            <w:r w:rsidRPr="00F567E1">
              <w:rPr>
                <w:color w:val="000000"/>
                <w:lang w:val="es-ES_tradnl"/>
              </w:rPr>
              <w:t>14 129</w:t>
            </w:r>
          </w:p>
        </w:tc>
        <w:tc>
          <w:tcPr>
            <w:tcW w:w="1313" w:type="dxa"/>
            <w:tcBorders>
              <w:top w:val="nil"/>
              <w:left w:val="nil"/>
              <w:bottom w:val="single" w:sz="4" w:space="0" w:color="auto"/>
              <w:right w:val="single" w:sz="4" w:space="0" w:color="auto"/>
            </w:tcBorders>
            <w:noWrap/>
            <w:hideMark/>
          </w:tcPr>
          <w:p w14:paraId="696B5367" w14:textId="77777777" w:rsidR="00EE35DE" w:rsidRPr="00F567E1" w:rsidRDefault="00EE35DE" w:rsidP="009A58EE">
            <w:pPr>
              <w:pStyle w:val="Normal-pool-Table"/>
              <w:jc w:val="right"/>
              <w:rPr>
                <w:szCs w:val="18"/>
                <w:lang w:val="es-ES_tradnl"/>
              </w:rPr>
            </w:pPr>
            <w:r w:rsidRPr="00F567E1">
              <w:rPr>
                <w:color w:val="000000"/>
                <w:lang w:val="es-ES_tradnl"/>
              </w:rPr>
              <w:t>24 834</w:t>
            </w:r>
          </w:p>
        </w:tc>
      </w:tr>
      <w:tr w:rsidR="00EE35DE" w:rsidRPr="00F567E1" w14:paraId="1CC9100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6F4D7AF" w14:textId="7447727A" w:rsidR="00EE35DE" w:rsidRPr="00F567E1" w:rsidRDefault="00EE35DE" w:rsidP="009A58EE">
            <w:pPr>
              <w:pStyle w:val="Normal-pool-Table"/>
              <w:rPr>
                <w:szCs w:val="18"/>
                <w:lang w:val="es-ES_tradnl"/>
              </w:rPr>
            </w:pPr>
            <w:r w:rsidRPr="00F567E1">
              <w:rPr>
                <w:color w:val="000000"/>
                <w:lang w:val="es-ES_tradnl"/>
              </w:rPr>
              <w:t>87</w:t>
            </w:r>
          </w:p>
        </w:tc>
        <w:tc>
          <w:tcPr>
            <w:tcW w:w="2573" w:type="dxa"/>
            <w:tcBorders>
              <w:top w:val="nil"/>
              <w:left w:val="nil"/>
              <w:bottom w:val="single" w:sz="4" w:space="0" w:color="auto"/>
              <w:right w:val="single" w:sz="4" w:space="0" w:color="auto"/>
            </w:tcBorders>
            <w:noWrap/>
            <w:hideMark/>
          </w:tcPr>
          <w:p w14:paraId="4A0316E3" w14:textId="77777777" w:rsidR="00EE35DE" w:rsidRPr="00F567E1" w:rsidRDefault="00EE35DE" w:rsidP="009A58EE">
            <w:pPr>
              <w:pStyle w:val="Normal-pool-Table"/>
              <w:rPr>
                <w:szCs w:val="18"/>
                <w:lang w:val="es-ES_tradnl"/>
              </w:rPr>
            </w:pPr>
            <w:r w:rsidRPr="00F567E1">
              <w:rPr>
                <w:color w:val="000000"/>
                <w:lang w:val="es-ES_tradnl"/>
              </w:rPr>
              <w:t>Croacia</w:t>
            </w:r>
          </w:p>
        </w:tc>
        <w:tc>
          <w:tcPr>
            <w:tcW w:w="1400" w:type="dxa"/>
            <w:tcBorders>
              <w:top w:val="nil"/>
              <w:left w:val="nil"/>
              <w:bottom w:val="single" w:sz="4" w:space="0" w:color="auto"/>
              <w:right w:val="single" w:sz="4" w:space="0" w:color="auto"/>
            </w:tcBorders>
            <w:noWrap/>
            <w:hideMark/>
          </w:tcPr>
          <w:p w14:paraId="7391D2C9" w14:textId="77777777" w:rsidR="00EE35DE" w:rsidRPr="00F567E1" w:rsidRDefault="00EE35DE" w:rsidP="009A58EE">
            <w:pPr>
              <w:pStyle w:val="Normal-pool-Table"/>
              <w:jc w:val="right"/>
              <w:rPr>
                <w:szCs w:val="18"/>
                <w:lang w:val="es-ES_tradnl"/>
              </w:rPr>
            </w:pPr>
            <w:r w:rsidRPr="00F567E1">
              <w:rPr>
                <w:color w:val="000000"/>
                <w:lang w:val="es-ES_tradnl"/>
              </w:rPr>
              <w:t>0,088</w:t>
            </w:r>
          </w:p>
        </w:tc>
        <w:tc>
          <w:tcPr>
            <w:tcW w:w="1073" w:type="dxa"/>
            <w:tcBorders>
              <w:top w:val="nil"/>
              <w:left w:val="nil"/>
              <w:bottom w:val="single" w:sz="4" w:space="0" w:color="auto"/>
              <w:right w:val="single" w:sz="4" w:space="0" w:color="auto"/>
            </w:tcBorders>
            <w:noWrap/>
            <w:hideMark/>
          </w:tcPr>
          <w:p w14:paraId="3C505E6F" w14:textId="77777777" w:rsidR="00EE35DE" w:rsidRPr="00F567E1" w:rsidRDefault="00EE35DE" w:rsidP="009A58EE">
            <w:pPr>
              <w:pStyle w:val="Normal-pool-Table"/>
              <w:jc w:val="right"/>
              <w:rPr>
                <w:szCs w:val="18"/>
                <w:lang w:val="es-ES_tradnl"/>
              </w:rPr>
            </w:pPr>
            <w:r w:rsidRPr="00F567E1">
              <w:rPr>
                <w:color w:val="000000"/>
                <w:lang w:val="es-ES_tradnl"/>
              </w:rPr>
              <w:t>0,0888</w:t>
            </w:r>
          </w:p>
        </w:tc>
        <w:tc>
          <w:tcPr>
            <w:tcW w:w="1293" w:type="dxa"/>
            <w:tcBorders>
              <w:top w:val="nil"/>
              <w:left w:val="nil"/>
              <w:bottom w:val="single" w:sz="4" w:space="0" w:color="auto"/>
              <w:right w:val="single" w:sz="4" w:space="0" w:color="auto"/>
            </w:tcBorders>
            <w:noWrap/>
            <w:hideMark/>
          </w:tcPr>
          <w:p w14:paraId="72439413" w14:textId="77777777" w:rsidR="00EE35DE" w:rsidRPr="00F567E1" w:rsidRDefault="00EE35DE" w:rsidP="009A58EE">
            <w:pPr>
              <w:pStyle w:val="Normal-pool-Table"/>
              <w:jc w:val="right"/>
              <w:rPr>
                <w:szCs w:val="18"/>
                <w:lang w:val="es-ES_tradnl"/>
              </w:rPr>
            </w:pPr>
            <w:r w:rsidRPr="00F567E1">
              <w:rPr>
                <w:color w:val="000000"/>
                <w:lang w:val="es-ES_tradnl"/>
              </w:rPr>
              <w:t>2 739</w:t>
            </w:r>
          </w:p>
        </w:tc>
        <w:tc>
          <w:tcPr>
            <w:tcW w:w="1293" w:type="dxa"/>
            <w:tcBorders>
              <w:top w:val="nil"/>
              <w:left w:val="nil"/>
              <w:bottom w:val="single" w:sz="4" w:space="0" w:color="auto"/>
              <w:right w:val="single" w:sz="4" w:space="0" w:color="auto"/>
            </w:tcBorders>
            <w:noWrap/>
            <w:hideMark/>
          </w:tcPr>
          <w:p w14:paraId="25948F3F" w14:textId="77777777" w:rsidR="00EE35DE" w:rsidRPr="00F567E1" w:rsidRDefault="00EE35DE" w:rsidP="009A58EE">
            <w:pPr>
              <w:pStyle w:val="Normal-pool-Table"/>
              <w:jc w:val="right"/>
              <w:rPr>
                <w:szCs w:val="18"/>
                <w:lang w:val="es-ES_tradnl"/>
              </w:rPr>
            </w:pPr>
            <w:r w:rsidRPr="00F567E1">
              <w:rPr>
                <w:color w:val="000000"/>
                <w:lang w:val="es-ES_tradnl"/>
              </w:rPr>
              <w:t>3 614</w:t>
            </w:r>
          </w:p>
        </w:tc>
        <w:tc>
          <w:tcPr>
            <w:tcW w:w="1313" w:type="dxa"/>
            <w:tcBorders>
              <w:top w:val="nil"/>
              <w:left w:val="nil"/>
              <w:bottom w:val="single" w:sz="4" w:space="0" w:color="auto"/>
              <w:right w:val="single" w:sz="4" w:space="0" w:color="auto"/>
            </w:tcBorders>
            <w:noWrap/>
            <w:hideMark/>
          </w:tcPr>
          <w:p w14:paraId="4F481E8E" w14:textId="77777777" w:rsidR="00EE35DE" w:rsidRPr="00F567E1" w:rsidRDefault="00EE35DE" w:rsidP="009A58EE">
            <w:pPr>
              <w:pStyle w:val="Normal-pool-Table"/>
              <w:jc w:val="right"/>
              <w:rPr>
                <w:szCs w:val="18"/>
                <w:lang w:val="es-ES_tradnl"/>
              </w:rPr>
            </w:pPr>
            <w:r w:rsidRPr="00F567E1">
              <w:rPr>
                <w:color w:val="000000"/>
                <w:lang w:val="es-ES_tradnl"/>
              </w:rPr>
              <w:t>6 353</w:t>
            </w:r>
          </w:p>
        </w:tc>
      </w:tr>
      <w:tr w:rsidR="00EE35DE" w:rsidRPr="00F567E1" w14:paraId="605CA2B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8794365" w14:textId="50161B4E" w:rsidR="00EE35DE" w:rsidRPr="00F567E1" w:rsidRDefault="00EE35DE" w:rsidP="009A58EE">
            <w:pPr>
              <w:pStyle w:val="Normal-pool-Table"/>
              <w:rPr>
                <w:szCs w:val="18"/>
                <w:lang w:val="es-ES_tradnl"/>
              </w:rPr>
            </w:pPr>
            <w:r w:rsidRPr="00F567E1">
              <w:rPr>
                <w:color w:val="000000"/>
                <w:lang w:val="es-ES_tradnl"/>
              </w:rPr>
              <w:t>88</w:t>
            </w:r>
          </w:p>
        </w:tc>
        <w:tc>
          <w:tcPr>
            <w:tcW w:w="2573" w:type="dxa"/>
            <w:tcBorders>
              <w:top w:val="nil"/>
              <w:left w:val="nil"/>
              <w:bottom w:val="single" w:sz="4" w:space="0" w:color="auto"/>
              <w:right w:val="single" w:sz="4" w:space="0" w:color="auto"/>
            </w:tcBorders>
            <w:noWrap/>
            <w:hideMark/>
          </w:tcPr>
          <w:p w14:paraId="0F1B6BE3" w14:textId="77777777" w:rsidR="00EE35DE" w:rsidRPr="00F567E1" w:rsidRDefault="00EE35DE" w:rsidP="009A58EE">
            <w:pPr>
              <w:pStyle w:val="Normal-pool-Table"/>
              <w:rPr>
                <w:szCs w:val="18"/>
                <w:lang w:val="es-ES_tradnl"/>
              </w:rPr>
            </w:pPr>
            <w:r w:rsidRPr="00F567E1">
              <w:rPr>
                <w:color w:val="000000"/>
                <w:lang w:val="es-ES_tradnl"/>
              </w:rPr>
              <w:t>Eslovaquia</w:t>
            </w:r>
          </w:p>
        </w:tc>
        <w:tc>
          <w:tcPr>
            <w:tcW w:w="1400" w:type="dxa"/>
            <w:tcBorders>
              <w:top w:val="nil"/>
              <w:left w:val="nil"/>
              <w:bottom w:val="single" w:sz="4" w:space="0" w:color="auto"/>
              <w:right w:val="single" w:sz="4" w:space="0" w:color="auto"/>
            </w:tcBorders>
            <w:noWrap/>
            <w:hideMark/>
          </w:tcPr>
          <w:p w14:paraId="2A06900D" w14:textId="77777777" w:rsidR="00EE35DE" w:rsidRPr="00F567E1" w:rsidRDefault="00EE35DE" w:rsidP="009A58EE">
            <w:pPr>
              <w:pStyle w:val="Normal-pool-Table"/>
              <w:jc w:val="right"/>
              <w:rPr>
                <w:szCs w:val="18"/>
                <w:lang w:val="es-ES_tradnl"/>
              </w:rPr>
            </w:pPr>
            <w:r w:rsidRPr="00F567E1">
              <w:rPr>
                <w:color w:val="000000"/>
                <w:lang w:val="es-ES_tradnl"/>
              </w:rPr>
              <w:t>0,149</w:t>
            </w:r>
          </w:p>
        </w:tc>
        <w:tc>
          <w:tcPr>
            <w:tcW w:w="1073" w:type="dxa"/>
            <w:tcBorders>
              <w:top w:val="nil"/>
              <w:left w:val="nil"/>
              <w:bottom w:val="single" w:sz="4" w:space="0" w:color="auto"/>
              <w:right w:val="single" w:sz="4" w:space="0" w:color="auto"/>
            </w:tcBorders>
            <w:noWrap/>
            <w:hideMark/>
          </w:tcPr>
          <w:p w14:paraId="58D0F91F" w14:textId="77777777" w:rsidR="00EE35DE" w:rsidRPr="00F567E1" w:rsidRDefault="00EE35DE" w:rsidP="009A58EE">
            <w:pPr>
              <w:pStyle w:val="Normal-pool-Table"/>
              <w:jc w:val="right"/>
              <w:rPr>
                <w:szCs w:val="18"/>
                <w:lang w:val="es-ES_tradnl"/>
              </w:rPr>
            </w:pPr>
            <w:r w:rsidRPr="00F567E1">
              <w:rPr>
                <w:color w:val="000000"/>
                <w:lang w:val="es-ES_tradnl"/>
              </w:rPr>
              <w:t>0,1504</w:t>
            </w:r>
          </w:p>
        </w:tc>
        <w:tc>
          <w:tcPr>
            <w:tcW w:w="1293" w:type="dxa"/>
            <w:tcBorders>
              <w:top w:val="nil"/>
              <w:left w:val="nil"/>
              <w:bottom w:val="single" w:sz="4" w:space="0" w:color="auto"/>
              <w:right w:val="single" w:sz="4" w:space="0" w:color="auto"/>
            </w:tcBorders>
            <w:noWrap/>
            <w:hideMark/>
          </w:tcPr>
          <w:p w14:paraId="63F1EF27" w14:textId="77777777" w:rsidR="00EE35DE" w:rsidRPr="00F567E1" w:rsidRDefault="00EE35DE" w:rsidP="009A58EE">
            <w:pPr>
              <w:pStyle w:val="Normal-pool-Table"/>
              <w:jc w:val="right"/>
              <w:rPr>
                <w:szCs w:val="18"/>
                <w:lang w:val="es-ES_tradnl"/>
              </w:rPr>
            </w:pPr>
            <w:r w:rsidRPr="00F567E1">
              <w:rPr>
                <w:color w:val="000000"/>
                <w:lang w:val="es-ES_tradnl"/>
              </w:rPr>
              <w:t>4 637</w:t>
            </w:r>
          </w:p>
        </w:tc>
        <w:tc>
          <w:tcPr>
            <w:tcW w:w="1293" w:type="dxa"/>
            <w:tcBorders>
              <w:top w:val="nil"/>
              <w:left w:val="nil"/>
              <w:bottom w:val="single" w:sz="4" w:space="0" w:color="auto"/>
              <w:right w:val="single" w:sz="4" w:space="0" w:color="auto"/>
            </w:tcBorders>
            <w:noWrap/>
            <w:hideMark/>
          </w:tcPr>
          <w:p w14:paraId="5370A3A7" w14:textId="77777777" w:rsidR="00EE35DE" w:rsidRPr="00F567E1" w:rsidRDefault="00EE35DE" w:rsidP="009A58EE">
            <w:pPr>
              <w:pStyle w:val="Normal-pool-Table"/>
              <w:jc w:val="right"/>
              <w:rPr>
                <w:szCs w:val="18"/>
                <w:lang w:val="es-ES_tradnl"/>
              </w:rPr>
            </w:pPr>
            <w:r w:rsidRPr="00F567E1">
              <w:rPr>
                <w:color w:val="000000"/>
                <w:lang w:val="es-ES_tradnl"/>
              </w:rPr>
              <w:t>6 120</w:t>
            </w:r>
          </w:p>
        </w:tc>
        <w:tc>
          <w:tcPr>
            <w:tcW w:w="1313" w:type="dxa"/>
            <w:tcBorders>
              <w:top w:val="nil"/>
              <w:left w:val="nil"/>
              <w:bottom w:val="single" w:sz="4" w:space="0" w:color="auto"/>
              <w:right w:val="single" w:sz="4" w:space="0" w:color="auto"/>
            </w:tcBorders>
            <w:noWrap/>
            <w:hideMark/>
          </w:tcPr>
          <w:p w14:paraId="23431A82" w14:textId="77777777" w:rsidR="00EE35DE" w:rsidRPr="00F567E1" w:rsidRDefault="00EE35DE" w:rsidP="009A58EE">
            <w:pPr>
              <w:pStyle w:val="Normal-pool-Table"/>
              <w:jc w:val="right"/>
              <w:rPr>
                <w:szCs w:val="18"/>
                <w:lang w:val="es-ES_tradnl"/>
              </w:rPr>
            </w:pPr>
            <w:r w:rsidRPr="00F567E1">
              <w:rPr>
                <w:color w:val="000000"/>
                <w:lang w:val="es-ES_tradnl"/>
              </w:rPr>
              <w:t>10 757</w:t>
            </w:r>
          </w:p>
        </w:tc>
      </w:tr>
      <w:tr w:rsidR="00EE35DE" w:rsidRPr="00F567E1" w14:paraId="72E4C98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CDB8792" w14:textId="3537F8DD" w:rsidR="00EE35DE" w:rsidRPr="00F567E1" w:rsidRDefault="00EE35DE" w:rsidP="009A58EE">
            <w:pPr>
              <w:pStyle w:val="Normal-pool-Table"/>
              <w:rPr>
                <w:szCs w:val="18"/>
                <w:lang w:val="es-ES_tradnl"/>
              </w:rPr>
            </w:pPr>
            <w:r w:rsidRPr="00F567E1">
              <w:rPr>
                <w:szCs w:val="18"/>
                <w:lang w:val="es-ES_tradnl"/>
              </w:rPr>
              <w:t>89</w:t>
            </w:r>
          </w:p>
        </w:tc>
        <w:tc>
          <w:tcPr>
            <w:tcW w:w="2573" w:type="dxa"/>
            <w:tcBorders>
              <w:top w:val="nil"/>
              <w:left w:val="nil"/>
              <w:bottom w:val="single" w:sz="4" w:space="0" w:color="auto"/>
              <w:right w:val="single" w:sz="4" w:space="0" w:color="auto"/>
            </w:tcBorders>
            <w:noWrap/>
            <w:hideMark/>
          </w:tcPr>
          <w:p w14:paraId="6CECC93F" w14:textId="77777777" w:rsidR="00EE35DE" w:rsidRPr="00F567E1" w:rsidRDefault="00EE35DE" w:rsidP="009A58EE">
            <w:pPr>
              <w:pStyle w:val="Normal-pool-Table"/>
              <w:rPr>
                <w:szCs w:val="18"/>
                <w:lang w:val="es-ES_tradnl"/>
              </w:rPr>
            </w:pPr>
            <w:r w:rsidRPr="00F567E1">
              <w:rPr>
                <w:color w:val="000000"/>
                <w:lang w:val="es-ES_tradnl"/>
              </w:rPr>
              <w:t>Eslovenia</w:t>
            </w:r>
          </w:p>
        </w:tc>
        <w:tc>
          <w:tcPr>
            <w:tcW w:w="1400" w:type="dxa"/>
            <w:tcBorders>
              <w:top w:val="nil"/>
              <w:left w:val="nil"/>
              <w:bottom w:val="single" w:sz="4" w:space="0" w:color="auto"/>
              <w:right w:val="single" w:sz="4" w:space="0" w:color="auto"/>
            </w:tcBorders>
            <w:noWrap/>
            <w:hideMark/>
          </w:tcPr>
          <w:p w14:paraId="52F17497" w14:textId="77777777" w:rsidR="00EE35DE" w:rsidRPr="00F567E1" w:rsidRDefault="00EE35DE" w:rsidP="009A58EE">
            <w:pPr>
              <w:pStyle w:val="Normal-pool-Table"/>
              <w:jc w:val="right"/>
              <w:rPr>
                <w:szCs w:val="18"/>
                <w:lang w:val="es-ES_tradnl"/>
              </w:rPr>
            </w:pPr>
            <w:r w:rsidRPr="00F567E1">
              <w:rPr>
                <w:color w:val="000000"/>
                <w:lang w:val="es-ES_tradnl"/>
              </w:rPr>
              <w:t>0,077</w:t>
            </w:r>
          </w:p>
        </w:tc>
        <w:tc>
          <w:tcPr>
            <w:tcW w:w="1073" w:type="dxa"/>
            <w:tcBorders>
              <w:top w:val="nil"/>
              <w:left w:val="nil"/>
              <w:bottom w:val="single" w:sz="4" w:space="0" w:color="auto"/>
              <w:right w:val="single" w:sz="4" w:space="0" w:color="auto"/>
            </w:tcBorders>
            <w:noWrap/>
            <w:hideMark/>
          </w:tcPr>
          <w:p w14:paraId="1412A4B1" w14:textId="77777777" w:rsidR="00EE35DE" w:rsidRPr="00F567E1" w:rsidRDefault="00EE35DE" w:rsidP="009A58EE">
            <w:pPr>
              <w:pStyle w:val="Normal-pool-Table"/>
              <w:jc w:val="right"/>
              <w:rPr>
                <w:szCs w:val="18"/>
                <w:lang w:val="es-ES_tradnl"/>
              </w:rPr>
            </w:pPr>
            <w:r w:rsidRPr="00F567E1">
              <w:rPr>
                <w:color w:val="000000"/>
                <w:lang w:val="es-ES_tradnl"/>
              </w:rPr>
              <w:t>0,0777</w:t>
            </w:r>
          </w:p>
        </w:tc>
        <w:tc>
          <w:tcPr>
            <w:tcW w:w="1293" w:type="dxa"/>
            <w:tcBorders>
              <w:top w:val="nil"/>
              <w:left w:val="nil"/>
              <w:bottom w:val="single" w:sz="4" w:space="0" w:color="auto"/>
              <w:right w:val="single" w:sz="4" w:space="0" w:color="auto"/>
            </w:tcBorders>
            <w:noWrap/>
            <w:hideMark/>
          </w:tcPr>
          <w:p w14:paraId="2A44D9FE" w14:textId="77777777" w:rsidR="00EE35DE" w:rsidRPr="00F567E1" w:rsidRDefault="00EE35DE" w:rsidP="009A58EE">
            <w:pPr>
              <w:pStyle w:val="Normal-pool-Table"/>
              <w:jc w:val="right"/>
              <w:rPr>
                <w:szCs w:val="18"/>
                <w:lang w:val="es-ES_tradnl"/>
              </w:rPr>
            </w:pPr>
            <w:r w:rsidRPr="00F567E1">
              <w:rPr>
                <w:color w:val="000000"/>
                <w:lang w:val="es-ES_tradnl"/>
              </w:rPr>
              <w:t>2 396</w:t>
            </w:r>
          </w:p>
        </w:tc>
        <w:tc>
          <w:tcPr>
            <w:tcW w:w="1293" w:type="dxa"/>
            <w:tcBorders>
              <w:top w:val="nil"/>
              <w:left w:val="nil"/>
              <w:bottom w:val="single" w:sz="4" w:space="0" w:color="auto"/>
              <w:right w:val="single" w:sz="4" w:space="0" w:color="auto"/>
            </w:tcBorders>
            <w:noWrap/>
            <w:hideMark/>
          </w:tcPr>
          <w:p w14:paraId="2E6BA7E3" w14:textId="77777777" w:rsidR="00EE35DE" w:rsidRPr="00F567E1" w:rsidRDefault="00EE35DE" w:rsidP="009A58EE">
            <w:pPr>
              <w:pStyle w:val="Normal-pool-Table"/>
              <w:jc w:val="right"/>
              <w:rPr>
                <w:szCs w:val="18"/>
                <w:lang w:val="es-ES_tradnl"/>
              </w:rPr>
            </w:pPr>
            <w:r w:rsidRPr="00F567E1">
              <w:rPr>
                <w:color w:val="000000"/>
                <w:lang w:val="es-ES_tradnl"/>
              </w:rPr>
              <w:t>3 163</w:t>
            </w:r>
          </w:p>
        </w:tc>
        <w:tc>
          <w:tcPr>
            <w:tcW w:w="1313" w:type="dxa"/>
            <w:tcBorders>
              <w:top w:val="nil"/>
              <w:left w:val="nil"/>
              <w:bottom w:val="single" w:sz="4" w:space="0" w:color="auto"/>
              <w:right w:val="single" w:sz="4" w:space="0" w:color="auto"/>
            </w:tcBorders>
            <w:noWrap/>
            <w:hideMark/>
          </w:tcPr>
          <w:p w14:paraId="7314754C" w14:textId="77777777" w:rsidR="00EE35DE" w:rsidRPr="00F567E1" w:rsidRDefault="00EE35DE" w:rsidP="009A58EE">
            <w:pPr>
              <w:pStyle w:val="Normal-pool-Table"/>
              <w:jc w:val="right"/>
              <w:rPr>
                <w:szCs w:val="18"/>
                <w:lang w:val="es-ES_tradnl"/>
              </w:rPr>
            </w:pPr>
            <w:r w:rsidRPr="00F567E1">
              <w:rPr>
                <w:color w:val="000000"/>
                <w:lang w:val="es-ES_tradnl"/>
              </w:rPr>
              <w:t>5 559</w:t>
            </w:r>
          </w:p>
        </w:tc>
      </w:tr>
      <w:tr w:rsidR="00EE35DE" w:rsidRPr="00F567E1" w14:paraId="32B82A1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E148062" w14:textId="54046AFE" w:rsidR="00EE35DE" w:rsidRPr="00F567E1" w:rsidRDefault="00EE35DE" w:rsidP="009A58EE">
            <w:pPr>
              <w:pStyle w:val="Normal-pool-Table"/>
              <w:rPr>
                <w:szCs w:val="18"/>
                <w:lang w:val="es-ES_tradnl"/>
              </w:rPr>
            </w:pPr>
            <w:r w:rsidRPr="00F567E1">
              <w:rPr>
                <w:szCs w:val="18"/>
                <w:lang w:val="es-ES_tradnl"/>
              </w:rPr>
              <w:t>90</w:t>
            </w:r>
          </w:p>
        </w:tc>
        <w:tc>
          <w:tcPr>
            <w:tcW w:w="2573" w:type="dxa"/>
            <w:tcBorders>
              <w:top w:val="nil"/>
              <w:left w:val="nil"/>
              <w:bottom w:val="single" w:sz="4" w:space="0" w:color="auto"/>
              <w:right w:val="single" w:sz="4" w:space="0" w:color="auto"/>
            </w:tcBorders>
            <w:noWrap/>
            <w:hideMark/>
          </w:tcPr>
          <w:p w14:paraId="038E13EF" w14:textId="77777777" w:rsidR="00EE35DE" w:rsidRPr="00F567E1" w:rsidRDefault="00EE35DE" w:rsidP="009A58EE">
            <w:pPr>
              <w:pStyle w:val="Normal-pool-Table"/>
              <w:rPr>
                <w:szCs w:val="18"/>
                <w:lang w:val="es-ES_tradnl"/>
              </w:rPr>
            </w:pPr>
            <w:r w:rsidRPr="00F567E1">
              <w:rPr>
                <w:color w:val="000000"/>
                <w:lang w:val="es-ES_tradnl"/>
              </w:rPr>
              <w:t>Estonia</w:t>
            </w:r>
          </w:p>
        </w:tc>
        <w:tc>
          <w:tcPr>
            <w:tcW w:w="1400" w:type="dxa"/>
            <w:tcBorders>
              <w:top w:val="nil"/>
              <w:left w:val="nil"/>
              <w:bottom w:val="single" w:sz="4" w:space="0" w:color="auto"/>
              <w:right w:val="single" w:sz="4" w:space="0" w:color="auto"/>
            </w:tcBorders>
            <w:noWrap/>
            <w:hideMark/>
          </w:tcPr>
          <w:p w14:paraId="7C9F739D" w14:textId="77777777" w:rsidR="00EE35DE" w:rsidRPr="00F567E1" w:rsidRDefault="00EE35DE" w:rsidP="009A58EE">
            <w:pPr>
              <w:pStyle w:val="Normal-pool-Table"/>
              <w:jc w:val="right"/>
              <w:rPr>
                <w:szCs w:val="18"/>
                <w:lang w:val="es-ES_tradnl"/>
              </w:rPr>
            </w:pPr>
            <w:r w:rsidRPr="00F567E1">
              <w:rPr>
                <w:color w:val="000000"/>
                <w:lang w:val="es-ES_tradnl"/>
              </w:rPr>
              <w:t>0,045</w:t>
            </w:r>
          </w:p>
        </w:tc>
        <w:tc>
          <w:tcPr>
            <w:tcW w:w="1073" w:type="dxa"/>
            <w:tcBorders>
              <w:top w:val="nil"/>
              <w:left w:val="nil"/>
              <w:bottom w:val="single" w:sz="4" w:space="0" w:color="auto"/>
              <w:right w:val="single" w:sz="4" w:space="0" w:color="auto"/>
            </w:tcBorders>
            <w:noWrap/>
            <w:hideMark/>
          </w:tcPr>
          <w:p w14:paraId="0C234C4B" w14:textId="77777777" w:rsidR="00EE35DE" w:rsidRPr="00F567E1" w:rsidRDefault="00EE35DE" w:rsidP="009A58EE">
            <w:pPr>
              <w:pStyle w:val="Normal-pool-Table"/>
              <w:jc w:val="right"/>
              <w:rPr>
                <w:szCs w:val="18"/>
                <w:lang w:val="es-ES_tradnl"/>
              </w:rPr>
            </w:pPr>
            <w:r w:rsidRPr="00F567E1">
              <w:rPr>
                <w:color w:val="000000"/>
                <w:lang w:val="es-ES_tradnl"/>
              </w:rPr>
              <w:t>0,0454</w:t>
            </w:r>
          </w:p>
        </w:tc>
        <w:tc>
          <w:tcPr>
            <w:tcW w:w="1293" w:type="dxa"/>
            <w:tcBorders>
              <w:top w:val="nil"/>
              <w:left w:val="nil"/>
              <w:bottom w:val="single" w:sz="4" w:space="0" w:color="auto"/>
              <w:right w:val="single" w:sz="4" w:space="0" w:color="auto"/>
            </w:tcBorders>
            <w:noWrap/>
            <w:hideMark/>
          </w:tcPr>
          <w:p w14:paraId="41328F45" w14:textId="77777777" w:rsidR="00EE35DE" w:rsidRPr="00F567E1" w:rsidRDefault="00EE35DE" w:rsidP="009A58EE">
            <w:pPr>
              <w:pStyle w:val="Normal-pool-Table"/>
              <w:jc w:val="right"/>
              <w:rPr>
                <w:szCs w:val="18"/>
                <w:lang w:val="es-ES_tradnl"/>
              </w:rPr>
            </w:pPr>
            <w:r w:rsidRPr="00F567E1">
              <w:rPr>
                <w:color w:val="000000"/>
                <w:lang w:val="es-ES_tradnl"/>
              </w:rPr>
              <w:t>1 400</w:t>
            </w:r>
          </w:p>
        </w:tc>
        <w:tc>
          <w:tcPr>
            <w:tcW w:w="1293" w:type="dxa"/>
            <w:tcBorders>
              <w:top w:val="nil"/>
              <w:left w:val="nil"/>
              <w:bottom w:val="single" w:sz="4" w:space="0" w:color="auto"/>
              <w:right w:val="single" w:sz="4" w:space="0" w:color="auto"/>
            </w:tcBorders>
            <w:noWrap/>
            <w:hideMark/>
          </w:tcPr>
          <w:p w14:paraId="4BAF227B" w14:textId="77777777" w:rsidR="00EE35DE" w:rsidRPr="00F567E1" w:rsidRDefault="00EE35DE" w:rsidP="009A58EE">
            <w:pPr>
              <w:pStyle w:val="Normal-pool-Table"/>
              <w:jc w:val="right"/>
              <w:rPr>
                <w:szCs w:val="18"/>
                <w:lang w:val="es-ES_tradnl"/>
              </w:rPr>
            </w:pPr>
            <w:r w:rsidRPr="00F567E1">
              <w:rPr>
                <w:color w:val="000000"/>
                <w:lang w:val="es-ES_tradnl"/>
              </w:rPr>
              <w:t>1 848</w:t>
            </w:r>
          </w:p>
        </w:tc>
        <w:tc>
          <w:tcPr>
            <w:tcW w:w="1313" w:type="dxa"/>
            <w:tcBorders>
              <w:top w:val="nil"/>
              <w:left w:val="nil"/>
              <w:bottom w:val="single" w:sz="4" w:space="0" w:color="auto"/>
              <w:right w:val="single" w:sz="4" w:space="0" w:color="auto"/>
            </w:tcBorders>
            <w:noWrap/>
            <w:hideMark/>
          </w:tcPr>
          <w:p w14:paraId="18CAAF6A" w14:textId="77777777" w:rsidR="00EE35DE" w:rsidRPr="00F567E1" w:rsidRDefault="00EE35DE" w:rsidP="009A58EE">
            <w:pPr>
              <w:pStyle w:val="Normal-pool-Table"/>
              <w:jc w:val="right"/>
              <w:rPr>
                <w:szCs w:val="18"/>
                <w:lang w:val="es-ES_tradnl"/>
              </w:rPr>
            </w:pPr>
            <w:r w:rsidRPr="00F567E1">
              <w:rPr>
                <w:color w:val="000000"/>
                <w:lang w:val="es-ES_tradnl"/>
              </w:rPr>
              <w:t>3 249</w:t>
            </w:r>
          </w:p>
        </w:tc>
      </w:tr>
      <w:tr w:rsidR="00EE35DE" w:rsidRPr="00F567E1" w14:paraId="6E17424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E343B47" w14:textId="5A02B1D8" w:rsidR="00EE35DE" w:rsidRPr="00F567E1" w:rsidRDefault="00EE35DE" w:rsidP="009A58EE">
            <w:pPr>
              <w:pStyle w:val="Normal-pool-Table"/>
              <w:rPr>
                <w:szCs w:val="18"/>
                <w:lang w:val="es-ES_tradnl"/>
              </w:rPr>
            </w:pPr>
            <w:r w:rsidRPr="00F567E1">
              <w:rPr>
                <w:color w:val="000000"/>
                <w:lang w:val="es-ES_tradnl"/>
              </w:rPr>
              <w:t>91</w:t>
            </w:r>
          </w:p>
        </w:tc>
        <w:tc>
          <w:tcPr>
            <w:tcW w:w="2573" w:type="dxa"/>
            <w:tcBorders>
              <w:top w:val="nil"/>
              <w:left w:val="nil"/>
              <w:bottom w:val="single" w:sz="4" w:space="0" w:color="auto"/>
              <w:right w:val="single" w:sz="4" w:space="0" w:color="auto"/>
            </w:tcBorders>
            <w:noWrap/>
            <w:hideMark/>
          </w:tcPr>
          <w:p w14:paraId="14D2FB19" w14:textId="77777777" w:rsidR="00EE35DE" w:rsidRPr="00F567E1" w:rsidRDefault="00EE35DE" w:rsidP="009A58EE">
            <w:pPr>
              <w:pStyle w:val="Normal-pool-Table"/>
              <w:rPr>
                <w:szCs w:val="18"/>
                <w:lang w:val="es-ES_tradnl"/>
              </w:rPr>
            </w:pPr>
            <w:r w:rsidRPr="00F567E1">
              <w:rPr>
                <w:color w:val="000000"/>
                <w:lang w:val="es-ES_tradnl"/>
              </w:rPr>
              <w:t>Georgia</w:t>
            </w:r>
          </w:p>
        </w:tc>
        <w:tc>
          <w:tcPr>
            <w:tcW w:w="1400" w:type="dxa"/>
            <w:tcBorders>
              <w:top w:val="nil"/>
              <w:left w:val="nil"/>
              <w:bottom w:val="single" w:sz="4" w:space="0" w:color="auto"/>
              <w:right w:val="single" w:sz="4" w:space="0" w:color="auto"/>
            </w:tcBorders>
            <w:noWrap/>
            <w:hideMark/>
          </w:tcPr>
          <w:p w14:paraId="7CF79B8F" w14:textId="77777777" w:rsidR="00EE35DE" w:rsidRPr="00F567E1" w:rsidRDefault="00EE35DE" w:rsidP="009A58EE">
            <w:pPr>
              <w:pStyle w:val="Normal-pool-Table"/>
              <w:jc w:val="right"/>
              <w:rPr>
                <w:szCs w:val="18"/>
                <w:lang w:val="es-ES_tradnl"/>
              </w:rPr>
            </w:pPr>
            <w:r w:rsidRPr="00F567E1">
              <w:rPr>
                <w:color w:val="000000"/>
                <w:lang w:val="es-ES_tradnl"/>
              </w:rPr>
              <w:t>0,009</w:t>
            </w:r>
          </w:p>
        </w:tc>
        <w:tc>
          <w:tcPr>
            <w:tcW w:w="1073" w:type="dxa"/>
            <w:tcBorders>
              <w:top w:val="nil"/>
              <w:left w:val="nil"/>
              <w:bottom w:val="single" w:sz="4" w:space="0" w:color="auto"/>
              <w:right w:val="single" w:sz="4" w:space="0" w:color="auto"/>
            </w:tcBorders>
            <w:noWrap/>
            <w:hideMark/>
          </w:tcPr>
          <w:p w14:paraId="4217C6F8"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2538E20D"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1244CAEB"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42943B4"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115200C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D56A198" w14:textId="6C65CDEA" w:rsidR="00EE35DE" w:rsidRPr="00F567E1" w:rsidRDefault="00EE35DE" w:rsidP="009A58EE">
            <w:pPr>
              <w:pStyle w:val="Normal-pool-Table"/>
              <w:rPr>
                <w:szCs w:val="18"/>
                <w:lang w:val="es-ES_tradnl"/>
              </w:rPr>
            </w:pPr>
            <w:r w:rsidRPr="00F567E1">
              <w:rPr>
                <w:color w:val="000000"/>
                <w:lang w:val="es-ES_tradnl"/>
              </w:rPr>
              <w:t>92</w:t>
            </w:r>
          </w:p>
        </w:tc>
        <w:tc>
          <w:tcPr>
            <w:tcW w:w="2573" w:type="dxa"/>
            <w:tcBorders>
              <w:top w:val="nil"/>
              <w:left w:val="nil"/>
              <w:bottom w:val="single" w:sz="4" w:space="0" w:color="auto"/>
              <w:right w:val="single" w:sz="4" w:space="0" w:color="auto"/>
            </w:tcBorders>
            <w:noWrap/>
            <w:hideMark/>
          </w:tcPr>
          <w:p w14:paraId="4F820B2D" w14:textId="77777777" w:rsidR="00EE35DE" w:rsidRPr="00F567E1" w:rsidRDefault="00EE35DE" w:rsidP="009A58EE">
            <w:pPr>
              <w:pStyle w:val="Normal-pool-Table"/>
              <w:rPr>
                <w:szCs w:val="18"/>
                <w:lang w:val="es-ES_tradnl"/>
              </w:rPr>
            </w:pPr>
            <w:r w:rsidRPr="00F567E1">
              <w:rPr>
                <w:color w:val="000000"/>
                <w:lang w:val="es-ES_tradnl"/>
              </w:rPr>
              <w:t>Hungría</w:t>
            </w:r>
          </w:p>
        </w:tc>
        <w:tc>
          <w:tcPr>
            <w:tcW w:w="1400" w:type="dxa"/>
            <w:tcBorders>
              <w:top w:val="nil"/>
              <w:left w:val="nil"/>
              <w:bottom w:val="single" w:sz="4" w:space="0" w:color="auto"/>
              <w:right w:val="single" w:sz="4" w:space="0" w:color="auto"/>
            </w:tcBorders>
            <w:noWrap/>
            <w:hideMark/>
          </w:tcPr>
          <w:p w14:paraId="4AF397B6" w14:textId="77777777" w:rsidR="00EE35DE" w:rsidRPr="00F567E1" w:rsidRDefault="00EE35DE" w:rsidP="009A58EE">
            <w:pPr>
              <w:pStyle w:val="Normal-pool-Table"/>
              <w:jc w:val="right"/>
              <w:rPr>
                <w:szCs w:val="18"/>
                <w:lang w:val="es-ES_tradnl"/>
              </w:rPr>
            </w:pPr>
            <w:r w:rsidRPr="00F567E1">
              <w:rPr>
                <w:color w:val="000000"/>
                <w:lang w:val="es-ES_tradnl"/>
              </w:rPr>
              <w:t>0,223</w:t>
            </w:r>
          </w:p>
        </w:tc>
        <w:tc>
          <w:tcPr>
            <w:tcW w:w="1073" w:type="dxa"/>
            <w:tcBorders>
              <w:top w:val="nil"/>
              <w:left w:val="nil"/>
              <w:bottom w:val="single" w:sz="4" w:space="0" w:color="auto"/>
              <w:right w:val="single" w:sz="4" w:space="0" w:color="auto"/>
            </w:tcBorders>
            <w:noWrap/>
            <w:hideMark/>
          </w:tcPr>
          <w:p w14:paraId="7E0FFD33" w14:textId="77777777" w:rsidR="00EE35DE" w:rsidRPr="00F567E1" w:rsidRDefault="00EE35DE" w:rsidP="009A58EE">
            <w:pPr>
              <w:pStyle w:val="Normal-pool-Table"/>
              <w:jc w:val="right"/>
              <w:rPr>
                <w:szCs w:val="18"/>
                <w:lang w:val="es-ES_tradnl"/>
              </w:rPr>
            </w:pPr>
            <w:r w:rsidRPr="00F567E1">
              <w:rPr>
                <w:color w:val="000000"/>
                <w:lang w:val="es-ES_tradnl"/>
              </w:rPr>
              <w:t>0,2251</w:t>
            </w:r>
          </w:p>
        </w:tc>
        <w:tc>
          <w:tcPr>
            <w:tcW w:w="1293" w:type="dxa"/>
            <w:tcBorders>
              <w:top w:val="nil"/>
              <w:left w:val="nil"/>
              <w:bottom w:val="single" w:sz="4" w:space="0" w:color="auto"/>
              <w:right w:val="single" w:sz="4" w:space="0" w:color="auto"/>
            </w:tcBorders>
            <w:noWrap/>
            <w:hideMark/>
          </w:tcPr>
          <w:p w14:paraId="467196CC" w14:textId="77777777" w:rsidR="00EE35DE" w:rsidRPr="00F567E1" w:rsidRDefault="00EE35DE" w:rsidP="009A58EE">
            <w:pPr>
              <w:pStyle w:val="Normal-pool-Table"/>
              <w:jc w:val="right"/>
              <w:rPr>
                <w:szCs w:val="18"/>
                <w:lang w:val="es-ES_tradnl"/>
              </w:rPr>
            </w:pPr>
            <w:r w:rsidRPr="00F567E1">
              <w:rPr>
                <w:color w:val="000000"/>
                <w:lang w:val="es-ES_tradnl"/>
              </w:rPr>
              <w:t>6 940</w:t>
            </w:r>
          </w:p>
        </w:tc>
        <w:tc>
          <w:tcPr>
            <w:tcW w:w="1293" w:type="dxa"/>
            <w:tcBorders>
              <w:top w:val="nil"/>
              <w:left w:val="nil"/>
              <w:bottom w:val="single" w:sz="4" w:space="0" w:color="auto"/>
              <w:right w:val="single" w:sz="4" w:space="0" w:color="auto"/>
            </w:tcBorders>
            <w:noWrap/>
            <w:hideMark/>
          </w:tcPr>
          <w:p w14:paraId="0EB2E0F6" w14:textId="77777777" w:rsidR="00EE35DE" w:rsidRPr="00F567E1" w:rsidRDefault="00EE35DE" w:rsidP="009A58EE">
            <w:pPr>
              <w:pStyle w:val="Normal-pool-Table"/>
              <w:jc w:val="right"/>
              <w:rPr>
                <w:szCs w:val="18"/>
                <w:lang w:val="es-ES_tradnl"/>
              </w:rPr>
            </w:pPr>
            <w:r w:rsidRPr="00F567E1">
              <w:rPr>
                <w:color w:val="000000"/>
                <w:lang w:val="es-ES_tradnl"/>
              </w:rPr>
              <w:t>9 159</w:t>
            </w:r>
          </w:p>
        </w:tc>
        <w:tc>
          <w:tcPr>
            <w:tcW w:w="1313" w:type="dxa"/>
            <w:tcBorders>
              <w:top w:val="nil"/>
              <w:left w:val="nil"/>
              <w:bottom w:val="single" w:sz="4" w:space="0" w:color="auto"/>
              <w:right w:val="single" w:sz="4" w:space="0" w:color="auto"/>
            </w:tcBorders>
            <w:noWrap/>
            <w:hideMark/>
          </w:tcPr>
          <w:p w14:paraId="7F6CF077" w14:textId="77777777" w:rsidR="00EE35DE" w:rsidRPr="00F567E1" w:rsidRDefault="00EE35DE" w:rsidP="009A58EE">
            <w:pPr>
              <w:pStyle w:val="Normal-pool-Table"/>
              <w:jc w:val="right"/>
              <w:rPr>
                <w:szCs w:val="18"/>
                <w:lang w:val="es-ES_tradnl"/>
              </w:rPr>
            </w:pPr>
            <w:r w:rsidRPr="00F567E1">
              <w:rPr>
                <w:color w:val="000000"/>
                <w:lang w:val="es-ES_tradnl"/>
              </w:rPr>
              <w:t>16 099</w:t>
            </w:r>
          </w:p>
        </w:tc>
      </w:tr>
      <w:tr w:rsidR="00EE35DE" w:rsidRPr="00F567E1" w14:paraId="20089E1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1F50D18" w14:textId="54BCD259" w:rsidR="00EE35DE" w:rsidRPr="00F567E1" w:rsidRDefault="00EE35DE" w:rsidP="009A58EE">
            <w:pPr>
              <w:pStyle w:val="Normal-pool-Table"/>
              <w:rPr>
                <w:szCs w:val="18"/>
                <w:lang w:val="es-ES_tradnl"/>
              </w:rPr>
            </w:pPr>
            <w:r w:rsidRPr="00F567E1">
              <w:rPr>
                <w:color w:val="000000"/>
                <w:lang w:val="es-ES_tradnl"/>
              </w:rPr>
              <w:t>93</w:t>
            </w:r>
          </w:p>
        </w:tc>
        <w:tc>
          <w:tcPr>
            <w:tcW w:w="2573" w:type="dxa"/>
            <w:tcBorders>
              <w:top w:val="nil"/>
              <w:left w:val="nil"/>
              <w:bottom w:val="single" w:sz="4" w:space="0" w:color="auto"/>
              <w:right w:val="single" w:sz="4" w:space="0" w:color="auto"/>
            </w:tcBorders>
            <w:noWrap/>
            <w:hideMark/>
          </w:tcPr>
          <w:p w14:paraId="0103FEAE" w14:textId="77777777" w:rsidR="00EE35DE" w:rsidRPr="00F567E1" w:rsidRDefault="00EE35DE" w:rsidP="009A58EE">
            <w:pPr>
              <w:pStyle w:val="Normal-pool-Table"/>
              <w:rPr>
                <w:szCs w:val="18"/>
                <w:lang w:val="es-ES_tradnl"/>
              </w:rPr>
            </w:pPr>
            <w:r w:rsidRPr="00F567E1">
              <w:rPr>
                <w:color w:val="000000"/>
                <w:lang w:val="es-ES_tradnl"/>
              </w:rPr>
              <w:t>Letonia</w:t>
            </w:r>
          </w:p>
        </w:tc>
        <w:tc>
          <w:tcPr>
            <w:tcW w:w="1400" w:type="dxa"/>
            <w:tcBorders>
              <w:top w:val="nil"/>
              <w:left w:val="nil"/>
              <w:bottom w:val="single" w:sz="4" w:space="0" w:color="auto"/>
              <w:right w:val="single" w:sz="4" w:space="0" w:color="auto"/>
            </w:tcBorders>
            <w:noWrap/>
            <w:hideMark/>
          </w:tcPr>
          <w:p w14:paraId="114E0C17" w14:textId="77777777" w:rsidR="00EE35DE" w:rsidRPr="00F567E1" w:rsidRDefault="00EE35DE" w:rsidP="009A58EE">
            <w:pPr>
              <w:pStyle w:val="Normal-pool-Table"/>
              <w:jc w:val="right"/>
              <w:rPr>
                <w:szCs w:val="18"/>
                <w:lang w:val="es-ES_tradnl"/>
              </w:rPr>
            </w:pPr>
            <w:r w:rsidRPr="00F567E1">
              <w:rPr>
                <w:color w:val="000000"/>
                <w:lang w:val="es-ES_tradnl"/>
              </w:rPr>
              <w:t>0,05</w:t>
            </w:r>
          </w:p>
        </w:tc>
        <w:tc>
          <w:tcPr>
            <w:tcW w:w="1073" w:type="dxa"/>
            <w:tcBorders>
              <w:top w:val="nil"/>
              <w:left w:val="nil"/>
              <w:bottom w:val="single" w:sz="4" w:space="0" w:color="auto"/>
              <w:right w:val="single" w:sz="4" w:space="0" w:color="auto"/>
            </w:tcBorders>
            <w:noWrap/>
            <w:hideMark/>
          </w:tcPr>
          <w:p w14:paraId="7A328EA4" w14:textId="77777777" w:rsidR="00EE35DE" w:rsidRPr="00F567E1" w:rsidRDefault="00EE35DE" w:rsidP="009A58EE">
            <w:pPr>
              <w:pStyle w:val="Normal-pool-Table"/>
              <w:jc w:val="right"/>
              <w:rPr>
                <w:szCs w:val="18"/>
                <w:lang w:val="es-ES_tradnl"/>
              </w:rPr>
            </w:pPr>
            <w:r w:rsidRPr="00F567E1">
              <w:rPr>
                <w:color w:val="000000"/>
                <w:lang w:val="es-ES_tradnl"/>
              </w:rPr>
              <w:t>0,0505</w:t>
            </w:r>
          </w:p>
        </w:tc>
        <w:tc>
          <w:tcPr>
            <w:tcW w:w="1293" w:type="dxa"/>
            <w:tcBorders>
              <w:top w:val="nil"/>
              <w:left w:val="nil"/>
              <w:bottom w:val="single" w:sz="4" w:space="0" w:color="auto"/>
              <w:right w:val="single" w:sz="4" w:space="0" w:color="auto"/>
            </w:tcBorders>
            <w:noWrap/>
            <w:hideMark/>
          </w:tcPr>
          <w:p w14:paraId="00972F71" w14:textId="77777777" w:rsidR="00EE35DE" w:rsidRPr="00F567E1" w:rsidRDefault="00EE35DE" w:rsidP="009A58EE">
            <w:pPr>
              <w:pStyle w:val="Normal-pool-Table"/>
              <w:jc w:val="right"/>
              <w:rPr>
                <w:szCs w:val="18"/>
                <w:lang w:val="es-ES_tradnl"/>
              </w:rPr>
            </w:pPr>
            <w:r w:rsidRPr="00F567E1">
              <w:rPr>
                <w:color w:val="000000"/>
                <w:lang w:val="es-ES_tradnl"/>
              </w:rPr>
              <w:t>1 556</w:t>
            </w:r>
          </w:p>
        </w:tc>
        <w:tc>
          <w:tcPr>
            <w:tcW w:w="1293" w:type="dxa"/>
            <w:tcBorders>
              <w:top w:val="nil"/>
              <w:left w:val="nil"/>
              <w:bottom w:val="single" w:sz="4" w:space="0" w:color="auto"/>
              <w:right w:val="single" w:sz="4" w:space="0" w:color="auto"/>
            </w:tcBorders>
            <w:noWrap/>
            <w:hideMark/>
          </w:tcPr>
          <w:p w14:paraId="4303B5AD" w14:textId="77777777" w:rsidR="00EE35DE" w:rsidRPr="00F567E1" w:rsidRDefault="00EE35DE" w:rsidP="009A58EE">
            <w:pPr>
              <w:pStyle w:val="Normal-pool-Table"/>
              <w:jc w:val="right"/>
              <w:rPr>
                <w:szCs w:val="18"/>
                <w:lang w:val="es-ES_tradnl"/>
              </w:rPr>
            </w:pPr>
            <w:r w:rsidRPr="00F567E1">
              <w:rPr>
                <w:color w:val="000000"/>
                <w:lang w:val="es-ES_tradnl"/>
              </w:rPr>
              <w:t>2 054</w:t>
            </w:r>
          </w:p>
        </w:tc>
        <w:tc>
          <w:tcPr>
            <w:tcW w:w="1313" w:type="dxa"/>
            <w:tcBorders>
              <w:top w:val="nil"/>
              <w:left w:val="nil"/>
              <w:bottom w:val="single" w:sz="4" w:space="0" w:color="auto"/>
              <w:right w:val="single" w:sz="4" w:space="0" w:color="auto"/>
            </w:tcBorders>
            <w:noWrap/>
            <w:hideMark/>
          </w:tcPr>
          <w:p w14:paraId="005D8D76" w14:textId="77777777" w:rsidR="00EE35DE" w:rsidRPr="00F567E1" w:rsidRDefault="00EE35DE" w:rsidP="009A58EE">
            <w:pPr>
              <w:pStyle w:val="Normal-pool-Table"/>
              <w:jc w:val="right"/>
              <w:rPr>
                <w:szCs w:val="18"/>
                <w:lang w:val="es-ES_tradnl"/>
              </w:rPr>
            </w:pPr>
            <w:r w:rsidRPr="00F567E1">
              <w:rPr>
                <w:color w:val="000000"/>
                <w:lang w:val="es-ES_tradnl"/>
              </w:rPr>
              <w:t>3 610</w:t>
            </w:r>
          </w:p>
        </w:tc>
      </w:tr>
      <w:tr w:rsidR="00EE35DE" w:rsidRPr="00F567E1" w14:paraId="551C0AF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5A6ABDC" w14:textId="73D69D98" w:rsidR="00EE35DE" w:rsidRPr="00F567E1" w:rsidRDefault="00EE35DE" w:rsidP="009A58EE">
            <w:pPr>
              <w:pStyle w:val="Normal-pool-Table"/>
              <w:rPr>
                <w:szCs w:val="18"/>
                <w:lang w:val="es-ES_tradnl"/>
              </w:rPr>
            </w:pPr>
            <w:r w:rsidRPr="00F567E1">
              <w:rPr>
                <w:color w:val="000000"/>
                <w:lang w:val="es-ES_tradnl"/>
              </w:rPr>
              <w:t>94</w:t>
            </w:r>
          </w:p>
        </w:tc>
        <w:tc>
          <w:tcPr>
            <w:tcW w:w="2573" w:type="dxa"/>
            <w:tcBorders>
              <w:top w:val="nil"/>
              <w:left w:val="nil"/>
              <w:bottom w:val="single" w:sz="4" w:space="0" w:color="auto"/>
              <w:right w:val="single" w:sz="4" w:space="0" w:color="auto"/>
            </w:tcBorders>
            <w:noWrap/>
            <w:hideMark/>
          </w:tcPr>
          <w:p w14:paraId="661BD94E" w14:textId="77777777" w:rsidR="00EE35DE" w:rsidRPr="00F567E1" w:rsidRDefault="00EE35DE" w:rsidP="009A58EE">
            <w:pPr>
              <w:pStyle w:val="Normal-pool-Table"/>
              <w:rPr>
                <w:szCs w:val="18"/>
                <w:lang w:val="es-ES_tradnl"/>
              </w:rPr>
            </w:pPr>
            <w:r w:rsidRPr="00F567E1">
              <w:rPr>
                <w:color w:val="000000"/>
                <w:lang w:val="es-ES_tradnl"/>
              </w:rPr>
              <w:t>Lituania</w:t>
            </w:r>
          </w:p>
        </w:tc>
        <w:tc>
          <w:tcPr>
            <w:tcW w:w="1400" w:type="dxa"/>
            <w:tcBorders>
              <w:top w:val="nil"/>
              <w:left w:val="nil"/>
              <w:bottom w:val="single" w:sz="4" w:space="0" w:color="auto"/>
              <w:right w:val="single" w:sz="4" w:space="0" w:color="auto"/>
            </w:tcBorders>
            <w:noWrap/>
            <w:hideMark/>
          </w:tcPr>
          <w:p w14:paraId="556C82FD" w14:textId="77777777" w:rsidR="00EE35DE" w:rsidRPr="00F567E1" w:rsidRDefault="00EE35DE" w:rsidP="009A58EE">
            <w:pPr>
              <w:pStyle w:val="Normal-pool-Table"/>
              <w:jc w:val="right"/>
              <w:rPr>
                <w:szCs w:val="18"/>
                <w:lang w:val="es-ES_tradnl"/>
              </w:rPr>
            </w:pPr>
            <w:r w:rsidRPr="00F567E1">
              <w:rPr>
                <w:color w:val="000000"/>
                <w:lang w:val="es-ES_tradnl"/>
              </w:rPr>
              <w:t>0,081</w:t>
            </w:r>
          </w:p>
        </w:tc>
        <w:tc>
          <w:tcPr>
            <w:tcW w:w="1073" w:type="dxa"/>
            <w:tcBorders>
              <w:top w:val="nil"/>
              <w:left w:val="nil"/>
              <w:bottom w:val="single" w:sz="4" w:space="0" w:color="auto"/>
              <w:right w:val="single" w:sz="4" w:space="0" w:color="auto"/>
            </w:tcBorders>
            <w:noWrap/>
            <w:hideMark/>
          </w:tcPr>
          <w:p w14:paraId="3EEA1534" w14:textId="77777777" w:rsidR="00EE35DE" w:rsidRPr="00F567E1" w:rsidRDefault="00EE35DE" w:rsidP="009A58EE">
            <w:pPr>
              <w:pStyle w:val="Normal-pool-Table"/>
              <w:jc w:val="right"/>
              <w:rPr>
                <w:szCs w:val="18"/>
                <w:lang w:val="es-ES_tradnl"/>
              </w:rPr>
            </w:pPr>
            <w:r w:rsidRPr="00F567E1">
              <w:rPr>
                <w:color w:val="000000"/>
                <w:lang w:val="es-ES_tradnl"/>
              </w:rPr>
              <w:t>0,0818</w:t>
            </w:r>
          </w:p>
        </w:tc>
        <w:tc>
          <w:tcPr>
            <w:tcW w:w="1293" w:type="dxa"/>
            <w:tcBorders>
              <w:top w:val="nil"/>
              <w:left w:val="nil"/>
              <w:bottom w:val="single" w:sz="4" w:space="0" w:color="auto"/>
              <w:right w:val="single" w:sz="4" w:space="0" w:color="auto"/>
            </w:tcBorders>
            <w:noWrap/>
            <w:hideMark/>
          </w:tcPr>
          <w:p w14:paraId="353C37F2" w14:textId="77777777" w:rsidR="00EE35DE" w:rsidRPr="00F567E1" w:rsidRDefault="00EE35DE" w:rsidP="009A58EE">
            <w:pPr>
              <w:pStyle w:val="Normal-pool-Table"/>
              <w:jc w:val="right"/>
              <w:rPr>
                <w:szCs w:val="18"/>
                <w:lang w:val="es-ES_tradnl"/>
              </w:rPr>
            </w:pPr>
            <w:r w:rsidRPr="00F567E1">
              <w:rPr>
                <w:color w:val="000000"/>
                <w:lang w:val="es-ES_tradnl"/>
              </w:rPr>
              <w:t>2 521</w:t>
            </w:r>
          </w:p>
        </w:tc>
        <w:tc>
          <w:tcPr>
            <w:tcW w:w="1293" w:type="dxa"/>
            <w:tcBorders>
              <w:top w:val="nil"/>
              <w:left w:val="nil"/>
              <w:bottom w:val="single" w:sz="4" w:space="0" w:color="auto"/>
              <w:right w:val="single" w:sz="4" w:space="0" w:color="auto"/>
            </w:tcBorders>
            <w:noWrap/>
            <w:hideMark/>
          </w:tcPr>
          <w:p w14:paraId="623B0066" w14:textId="77777777" w:rsidR="00EE35DE" w:rsidRPr="00F567E1" w:rsidRDefault="00EE35DE" w:rsidP="009A58EE">
            <w:pPr>
              <w:pStyle w:val="Normal-pool-Table"/>
              <w:jc w:val="right"/>
              <w:rPr>
                <w:szCs w:val="18"/>
                <w:lang w:val="es-ES_tradnl"/>
              </w:rPr>
            </w:pPr>
            <w:r w:rsidRPr="00F567E1">
              <w:rPr>
                <w:color w:val="000000"/>
                <w:lang w:val="es-ES_tradnl"/>
              </w:rPr>
              <w:t>3 327</w:t>
            </w:r>
          </w:p>
        </w:tc>
        <w:tc>
          <w:tcPr>
            <w:tcW w:w="1313" w:type="dxa"/>
            <w:tcBorders>
              <w:top w:val="nil"/>
              <w:left w:val="nil"/>
              <w:bottom w:val="single" w:sz="4" w:space="0" w:color="auto"/>
              <w:right w:val="single" w:sz="4" w:space="0" w:color="auto"/>
            </w:tcBorders>
            <w:noWrap/>
            <w:hideMark/>
          </w:tcPr>
          <w:p w14:paraId="0C8B3FD2" w14:textId="77777777" w:rsidR="00EE35DE" w:rsidRPr="00F567E1" w:rsidRDefault="00EE35DE" w:rsidP="009A58EE">
            <w:pPr>
              <w:pStyle w:val="Normal-pool-Table"/>
              <w:jc w:val="right"/>
              <w:rPr>
                <w:szCs w:val="18"/>
                <w:lang w:val="es-ES_tradnl"/>
              </w:rPr>
            </w:pPr>
            <w:r w:rsidRPr="00F567E1">
              <w:rPr>
                <w:color w:val="000000"/>
                <w:lang w:val="es-ES_tradnl"/>
              </w:rPr>
              <w:t>5 848</w:t>
            </w:r>
          </w:p>
        </w:tc>
      </w:tr>
      <w:tr w:rsidR="00EE35DE" w:rsidRPr="00F567E1" w14:paraId="24C7A60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FDCAD79" w14:textId="4CC62B5D" w:rsidR="00EE35DE" w:rsidRPr="00F567E1" w:rsidRDefault="00EE35DE" w:rsidP="009A58EE">
            <w:pPr>
              <w:pStyle w:val="Normal-pool-Table"/>
              <w:rPr>
                <w:szCs w:val="18"/>
                <w:lang w:val="es-ES_tradnl"/>
              </w:rPr>
            </w:pPr>
            <w:r w:rsidRPr="00F567E1">
              <w:rPr>
                <w:color w:val="000000"/>
                <w:lang w:val="es-ES_tradnl"/>
              </w:rPr>
              <w:t>95</w:t>
            </w:r>
          </w:p>
        </w:tc>
        <w:tc>
          <w:tcPr>
            <w:tcW w:w="2573" w:type="dxa"/>
            <w:tcBorders>
              <w:top w:val="nil"/>
              <w:left w:val="nil"/>
              <w:bottom w:val="single" w:sz="4" w:space="0" w:color="auto"/>
              <w:right w:val="single" w:sz="4" w:space="0" w:color="auto"/>
            </w:tcBorders>
            <w:noWrap/>
            <w:hideMark/>
          </w:tcPr>
          <w:p w14:paraId="3FF7C057" w14:textId="77777777" w:rsidR="00EE35DE" w:rsidRPr="00F567E1" w:rsidRDefault="00EE35DE" w:rsidP="009A58EE">
            <w:pPr>
              <w:pStyle w:val="Normal-pool-Table"/>
              <w:rPr>
                <w:szCs w:val="18"/>
                <w:lang w:val="es-ES_tradnl"/>
              </w:rPr>
            </w:pPr>
            <w:r w:rsidRPr="00F567E1">
              <w:rPr>
                <w:color w:val="000000"/>
                <w:lang w:val="es-ES_tradnl"/>
              </w:rPr>
              <w:t>Macedonia del Norte</w:t>
            </w:r>
          </w:p>
        </w:tc>
        <w:tc>
          <w:tcPr>
            <w:tcW w:w="1400" w:type="dxa"/>
            <w:tcBorders>
              <w:top w:val="nil"/>
              <w:left w:val="nil"/>
              <w:bottom w:val="single" w:sz="4" w:space="0" w:color="auto"/>
              <w:right w:val="single" w:sz="4" w:space="0" w:color="auto"/>
            </w:tcBorders>
            <w:noWrap/>
            <w:hideMark/>
          </w:tcPr>
          <w:p w14:paraId="1E9AAB17" w14:textId="77777777" w:rsidR="00EE35DE" w:rsidRPr="00F567E1" w:rsidRDefault="00EE35DE" w:rsidP="009A58EE">
            <w:pPr>
              <w:pStyle w:val="Normal-pool-Table"/>
              <w:jc w:val="right"/>
              <w:rPr>
                <w:szCs w:val="18"/>
                <w:lang w:val="es-ES_tradnl"/>
              </w:rPr>
            </w:pPr>
            <w:r w:rsidRPr="00F567E1">
              <w:rPr>
                <w:color w:val="000000"/>
                <w:lang w:val="es-ES_tradnl"/>
              </w:rPr>
              <w:t>0,008</w:t>
            </w:r>
          </w:p>
        </w:tc>
        <w:tc>
          <w:tcPr>
            <w:tcW w:w="1073" w:type="dxa"/>
            <w:tcBorders>
              <w:top w:val="nil"/>
              <w:left w:val="nil"/>
              <w:bottom w:val="single" w:sz="4" w:space="0" w:color="auto"/>
              <w:right w:val="single" w:sz="4" w:space="0" w:color="auto"/>
            </w:tcBorders>
            <w:noWrap/>
            <w:hideMark/>
          </w:tcPr>
          <w:p w14:paraId="2EA250E5"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24063C3B"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1E417183"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4FAC6C68"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5A68B02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A382E23" w14:textId="18882E3D" w:rsidR="00EE35DE" w:rsidRPr="00F567E1" w:rsidRDefault="00EE35DE" w:rsidP="009A58EE">
            <w:pPr>
              <w:pStyle w:val="Normal-pool-Table"/>
              <w:rPr>
                <w:szCs w:val="18"/>
                <w:lang w:val="es-ES_tradnl"/>
              </w:rPr>
            </w:pPr>
            <w:r w:rsidRPr="00F567E1">
              <w:rPr>
                <w:color w:val="000000"/>
                <w:lang w:val="es-ES_tradnl"/>
              </w:rPr>
              <w:t>96</w:t>
            </w:r>
          </w:p>
        </w:tc>
        <w:tc>
          <w:tcPr>
            <w:tcW w:w="2573" w:type="dxa"/>
            <w:tcBorders>
              <w:top w:val="nil"/>
              <w:left w:val="nil"/>
              <w:bottom w:val="single" w:sz="4" w:space="0" w:color="auto"/>
              <w:right w:val="single" w:sz="4" w:space="0" w:color="auto"/>
            </w:tcBorders>
            <w:noWrap/>
            <w:hideMark/>
          </w:tcPr>
          <w:p w14:paraId="784EA9E9" w14:textId="77777777" w:rsidR="00EE35DE" w:rsidRPr="00F567E1" w:rsidRDefault="00EE35DE" w:rsidP="009A58EE">
            <w:pPr>
              <w:pStyle w:val="Normal-pool-Table"/>
              <w:rPr>
                <w:szCs w:val="18"/>
                <w:lang w:val="es-ES_tradnl"/>
              </w:rPr>
            </w:pPr>
            <w:r w:rsidRPr="00F567E1">
              <w:rPr>
                <w:color w:val="000000"/>
                <w:lang w:val="es-ES_tradnl"/>
              </w:rPr>
              <w:t>Montenegro</w:t>
            </w:r>
          </w:p>
        </w:tc>
        <w:tc>
          <w:tcPr>
            <w:tcW w:w="1400" w:type="dxa"/>
            <w:tcBorders>
              <w:top w:val="nil"/>
              <w:left w:val="nil"/>
              <w:bottom w:val="single" w:sz="4" w:space="0" w:color="auto"/>
              <w:right w:val="single" w:sz="4" w:space="0" w:color="auto"/>
            </w:tcBorders>
            <w:noWrap/>
            <w:hideMark/>
          </w:tcPr>
          <w:p w14:paraId="7CD94E7F" w14:textId="77777777" w:rsidR="00EE35DE" w:rsidRPr="00F567E1" w:rsidRDefault="00EE35DE" w:rsidP="009A58EE">
            <w:pPr>
              <w:pStyle w:val="Normal-pool-Table"/>
              <w:jc w:val="right"/>
              <w:rPr>
                <w:szCs w:val="18"/>
                <w:lang w:val="es-ES_tradnl"/>
              </w:rPr>
            </w:pPr>
            <w:r w:rsidRPr="00F567E1">
              <w:rPr>
                <w:color w:val="000000"/>
                <w:lang w:val="es-ES_tradnl"/>
              </w:rPr>
              <w:t>0,004</w:t>
            </w:r>
          </w:p>
        </w:tc>
        <w:tc>
          <w:tcPr>
            <w:tcW w:w="1073" w:type="dxa"/>
            <w:tcBorders>
              <w:top w:val="nil"/>
              <w:left w:val="nil"/>
              <w:bottom w:val="single" w:sz="4" w:space="0" w:color="auto"/>
              <w:right w:val="single" w:sz="4" w:space="0" w:color="auto"/>
            </w:tcBorders>
            <w:noWrap/>
            <w:hideMark/>
          </w:tcPr>
          <w:p w14:paraId="37A54BE8"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B5DE12A"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3B93F8F3"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6C2634F"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7DEDCCF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D3ABBEE" w14:textId="52E90E18" w:rsidR="00EE35DE" w:rsidRPr="00F567E1" w:rsidRDefault="00EE35DE" w:rsidP="009A58EE">
            <w:pPr>
              <w:pStyle w:val="Normal-pool-Table"/>
              <w:rPr>
                <w:szCs w:val="18"/>
                <w:lang w:val="es-ES_tradnl"/>
              </w:rPr>
            </w:pPr>
            <w:r w:rsidRPr="00F567E1">
              <w:rPr>
                <w:color w:val="000000"/>
                <w:lang w:val="es-ES_tradnl"/>
              </w:rPr>
              <w:t>97</w:t>
            </w:r>
          </w:p>
        </w:tc>
        <w:tc>
          <w:tcPr>
            <w:tcW w:w="2573" w:type="dxa"/>
            <w:tcBorders>
              <w:top w:val="nil"/>
              <w:left w:val="nil"/>
              <w:bottom w:val="single" w:sz="4" w:space="0" w:color="auto"/>
              <w:right w:val="single" w:sz="4" w:space="0" w:color="auto"/>
            </w:tcBorders>
            <w:noWrap/>
            <w:hideMark/>
          </w:tcPr>
          <w:p w14:paraId="51488BA7" w14:textId="77777777" w:rsidR="00EE35DE" w:rsidRPr="00F567E1" w:rsidRDefault="00EE35DE" w:rsidP="009A58EE">
            <w:pPr>
              <w:pStyle w:val="Normal-pool-Table"/>
              <w:rPr>
                <w:szCs w:val="18"/>
                <w:lang w:val="es-ES_tradnl"/>
              </w:rPr>
            </w:pPr>
            <w:r w:rsidRPr="00F567E1">
              <w:rPr>
                <w:color w:val="000000"/>
                <w:lang w:val="es-ES_tradnl"/>
              </w:rPr>
              <w:t>Polonia</w:t>
            </w:r>
          </w:p>
        </w:tc>
        <w:tc>
          <w:tcPr>
            <w:tcW w:w="1400" w:type="dxa"/>
            <w:tcBorders>
              <w:top w:val="nil"/>
              <w:left w:val="nil"/>
              <w:bottom w:val="single" w:sz="4" w:space="0" w:color="auto"/>
              <w:right w:val="single" w:sz="4" w:space="0" w:color="auto"/>
            </w:tcBorders>
            <w:noWrap/>
            <w:hideMark/>
          </w:tcPr>
          <w:p w14:paraId="6722589D" w14:textId="77777777" w:rsidR="00EE35DE" w:rsidRPr="00F567E1" w:rsidRDefault="00EE35DE" w:rsidP="009A58EE">
            <w:pPr>
              <w:pStyle w:val="Normal-pool-Table"/>
              <w:jc w:val="right"/>
              <w:rPr>
                <w:szCs w:val="18"/>
                <w:lang w:val="es-ES_tradnl"/>
              </w:rPr>
            </w:pPr>
            <w:r w:rsidRPr="00F567E1">
              <w:rPr>
                <w:color w:val="000000"/>
                <w:lang w:val="es-ES_tradnl"/>
              </w:rPr>
              <w:t>0,831</w:t>
            </w:r>
          </w:p>
        </w:tc>
        <w:tc>
          <w:tcPr>
            <w:tcW w:w="1073" w:type="dxa"/>
            <w:tcBorders>
              <w:top w:val="nil"/>
              <w:left w:val="nil"/>
              <w:bottom w:val="single" w:sz="4" w:space="0" w:color="auto"/>
              <w:right w:val="single" w:sz="4" w:space="0" w:color="auto"/>
            </w:tcBorders>
            <w:noWrap/>
            <w:hideMark/>
          </w:tcPr>
          <w:p w14:paraId="2BAE5BCC" w14:textId="77777777" w:rsidR="00EE35DE" w:rsidRPr="00F567E1" w:rsidRDefault="00EE35DE" w:rsidP="009A58EE">
            <w:pPr>
              <w:pStyle w:val="Normal-pool-Table"/>
              <w:jc w:val="right"/>
              <w:rPr>
                <w:szCs w:val="18"/>
                <w:lang w:val="es-ES_tradnl"/>
              </w:rPr>
            </w:pPr>
            <w:r w:rsidRPr="00F567E1">
              <w:rPr>
                <w:color w:val="000000"/>
                <w:lang w:val="es-ES_tradnl"/>
              </w:rPr>
              <w:t>0,8387</w:t>
            </w:r>
          </w:p>
        </w:tc>
        <w:tc>
          <w:tcPr>
            <w:tcW w:w="1293" w:type="dxa"/>
            <w:tcBorders>
              <w:top w:val="nil"/>
              <w:left w:val="nil"/>
              <w:bottom w:val="single" w:sz="4" w:space="0" w:color="auto"/>
              <w:right w:val="single" w:sz="4" w:space="0" w:color="auto"/>
            </w:tcBorders>
            <w:noWrap/>
            <w:hideMark/>
          </w:tcPr>
          <w:p w14:paraId="5B047600" w14:textId="77777777" w:rsidR="00EE35DE" w:rsidRPr="00F567E1" w:rsidRDefault="00EE35DE" w:rsidP="009A58EE">
            <w:pPr>
              <w:pStyle w:val="Normal-pool-Table"/>
              <w:jc w:val="right"/>
              <w:rPr>
                <w:szCs w:val="18"/>
                <w:lang w:val="es-ES_tradnl"/>
              </w:rPr>
            </w:pPr>
            <w:r w:rsidRPr="00F567E1">
              <w:rPr>
                <w:color w:val="000000"/>
                <w:lang w:val="es-ES_tradnl"/>
              </w:rPr>
              <w:t>25 861</w:t>
            </w:r>
          </w:p>
        </w:tc>
        <w:tc>
          <w:tcPr>
            <w:tcW w:w="1293" w:type="dxa"/>
            <w:tcBorders>
              <w:top w:val="nil"/>
              <w:left w:val="nil"/>
              <w:bottom w:val="single" w:sz="4" w:space="0" w:color="auto"/>
              <w:right w:val="single" w:sz="4" w:space="0" w:color="auto"/>
            </w:tcBorders>
            <w:noWrap/>
            <w:hideMark/>
          </w:tcPr>
          <w:p w14:paraId="552FD67C" w14:textId="77777777" w:rsidR="00EE35DE" w:rsidRPr="00F567E1" w:rsidRDefault="00EE35DE" w:rsidP="009A58EE">
            <w:pPr>
              <w:pStyle w:val="Normal-pool-Table"/>
              <w:jc w:val="right"/>
              <w:rPr>
                <w:szCs w:val="18"/>
                <w:lang w:val="es-ES_tradnl"/>
              </w:rPr>
            </w:pPr>
            <w:r w:rsidRPr="00F567E1">
              <w:rPr>
                <w:color w:val="000000"/>
                <w:lang w:val="es-ES_tradnl"/>
              </w:rPr>
              <w:t>34 130</w:t>
            </w:r>
          </w:p>
        </w:tc>
        <w:tc>
          <w:tcPr>
            <w:tcW w:w="1313" w:type="dxa"/>
            <w:tcBorders>
              <w:top w:val="nil"/>
              <w:left w:val="nil"/>
              <w:bottom w:val="single" w:sz="4" w:space="0" w:color="auto"/>
              <w:right w:val="single" w:sz="4" w:space="0" w:color="auto"/>
            </w:tcBorders>
            <w:noWrap/>
            <w:hideMark/>
          </w:tcPr>
          <w:p w14:paraId="27442FE3" w14:textId="77777777" w:rsidR="00EE35DE" w:rsidRPr="00F567E1" w:rsidRDefault="00EE35DE" w:rsidP="009A58EE">
            <w:pPr>
              <w:pStyle w:val="Normal-pool-Table"/>
              <w:jc w:val="right"/>
              <w:rPr>
                <w:szCs w:val="18"/>
                <w:lang w:val="es-ES_tradnl"/>
              </w:rPr>
            </w:pPr>
            <w:r w:rsidRPr="00F567E1">
              <w:rPr>
                <w:color w:val="000000"/>
                <w:lang w:val="es-ES_tradnl"/>
              </w:rPr>
              <w:t>59 992</w:t>
            </w:r>
          </w:p>
        </w:tc>
      </w:tr>
      <w:tr w:rsidR="00EE35DE" w:rsidRPr="00F567E1" w14:paraId="10C90AE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6DCEDBC" w14:textId="0E437E1A" w:rsidR="00EE35DE" w:rsidRPr="00F567E1" w:rsidRDefault="00EE35DE" w:rsidP="009A58EE">
            <w:pPr>
              <w:pStyle w:val="Normal-pool-Table"/>
              <w:rPr>
                <w:szCs w:val="18"/>
                <w:lang w:val="es-ES_tradnl"/>
              </w:rPr>
            </w:pPr>
            <w:r w:rsidRPr="00F567E1">
              <w:rPr>
                <w:color w:val="000000"/>
                <w:lang w:val="es-ES_tradnl"/>
              </w:rPr>
              <w:t>98</w:t>
            </w:r>
          </w:p>
        </w:tc>
        <w:tc>
          <w:tcPr>
            <w:tcW w:w="2573" w:type="dxa"/>
            <w:tcBorders>
              <w:top w:val="nil"/>
              <w:left w:val="nil"/>
              <w:bottom w:val="single" w:sz="4" w:space="0" w:color="auto"/>
              <w:right w:val="single" w:sz="4" w:space="0" w:color="auto"/>
            </w:tcBorders>
            <w:noWrap/>
            <w:hideMark/>
          </w:tcPr>
          <w:p w14:paraId="0498FC39" w14:textId="77777777" w:rsidR="00EE35DE" w:rsidRPr="00F567E1" w:rsidRDefault="00EE35DE" w:rsidP="009A58EE">
            <w:pPr>
              <w:pStyle w:val="Normal-pool-Table"/>
              <w:rPr>
                <w:szCs w:val="18"/>
                <w:lang w:val="es-ES_tradnl"/>
              </w:rPr>
            </w:pPr>
            <w:r w:rsidRPr="00F567E1">
              <w:rPr>
                <w:color w:val="000000"/>
                <w:lang w:val="es-ES_tradnl"/>
              </w:rPr>
              <w:t>República de Moldova</w:t>
            </w:r>
          </w:p>
        </w:tc>
        <w:tc>
          <w:tcPr>
            <w:tcW w:w="1400" w:type="dxa"/>
            <w:tcBorders>
              <w:top w:val="nil"/>
              <w:left w:val="nil"/>
              <w:bottom w:val="single" w:sz="4" w:space="0" w:color="auto"/>
              <w:right w:val="single" w:sz="4" w:space="0" w:color="auto"/>
            </w:tcBorders>
            <w:noWrap/>
            <w:hideMark/>
          </w:tcPr>
          <w:p w14:paraId="7C10CFA6" w14:textId="77777777" w:rsidR="00EE35DE" w:rsidRPr="00F567E1" w:rsidRDefault="00EE35DE" w:rsidP="009A58EE">
            <w:pPr>
              <w:pStyle w:val="Normal-pool-Table"/>
              <w:jc w:val="right"/>
              <w:rPr>
                <w:szCs w:val="18"/>
                <w:lang w:val="es-ES_tradnl"/>
              </w:rPr>
            </w:pPr>
            <w:r w:rsidRPr="00F567E1">
              <w:rPr>
                <w:color w:val="000000"/>
                <w:lang w:val="es-ES_tradnl"/>
              </w:rPr>
              <w:t>0,006</w:t>
            </w:r>
          </w:p>
        </w:tc>
        <w:tc>
          <w:tcPr>
            <w:tcW w:w="1073" w:type="dxa"/>
            <w:tcBorders>
              <w:top w:val="nil"/>
              <w:left w:val="nil"/>
              <w:bottom w:val="single" w:sz="4" w:space="0" w:color="auto"/>
              <w:right w:val="single" w:sz="4" w:space="0" w:color="auto"/>
            </w:tcBorders>
            <w:noWrap/>
            <w:hideMark/>
          </w:tcPr>
          <w:p w14:paraId="2BFB154F"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5A6D30DE"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29F8A531"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42E61BE5"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5DD4BBF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BB3997C" w14:textId="420009CA" w:rsidR="00EE35DE" w:rsidRPr="00F567E1" w:rsidRDefault="00EE35DE" w:rsidP="009A58EE">
            <w:pPr>
              <w:pStyle w:val="Normal-pool-Table"/>
              <w:rPr>
                <w:szCs w:val="18"/>
                <w:lang w:val="es-ES_tradnl"/>
              </w:rPr>
            </w:pPr>
            <w:r w:rsidRPr="00F567E1">
              <w:rPr>
                <w:color w:val="000000"/>
                <w:lang w:val="es-ES_tradnl"/>
              </w:rPr>
              <w:t>99</w:t>
            </w:r>
          </w:p>
        </w:tc>
        <w:tc>
          <w:tcPr>
            <w:tcW w:w="2573" w:type="dxa"/>
            <w:tcBorders>
              <w:top w:val="nil"/>
              <w:left w:val="nil"/>
              <w:bottom w:val="single" w:sz="4" w:space="0" w:color="auto"/>
              <w:right w:val="single" w:sz="4" w:space="0" w:color="auto"/>
            </w:tcBorders>
            <w:noWrap/>
            <w:hideMark/>
          </w:tcPr>
          <w:p w14:paraId="0413D68F" w14:textId="77777777" w:rsidR="00EE35DE" w:rsidRPr="00F567E1" w:rsidRDefault="00EE35DE" w:rsidP="009A58EE">
            <w:pPr>
              <w:pStyle w:val="Normal-pool-Table"/>
              <w:rPr>
                <w:szCs w:val="18"/>
                <w:lang w:val="es-ES_tradnl"/>
              </w:rPr>
            </w:pPr>
            <w:r w:rsidRPr="00F567E1">
              <w:rPr>
                <w:color w:val="000000"/>
                <w:lang w:val="es-ES_tradnl"/>
              </w:rPr>
              <w:t>Rumanía</w:t>
            </w:r>
          </w:p>
        </w:tc>
        <w:tc>
          <w:tcPr>
            <w:tcW w:w="1400" w:type="dxa"/>
            <w:tcBorders>
              <w:top w:val="nil"/>
              <w:left w:val="nil"/>
              <w:bottom w:val="single" w:sz="4" w:space="0" w:color="auto"/>
              <w:right w:val="single" w:sz="4" w:space="0" w:color="auto"/>
            </w:tcBorders>
            <w:noWrap/>
            <w:hideMark/>
          </w:tcPr>
          <w:p w14:paraId="081ADB62" w14:textId="77777777" w:rsidR="00EE35DE" w:rsidRPr="00F567E1" w:rsidRDefault="00EE35DE" w:rsidP="009A58EE">
            <w:pPr>
              <w:pStyle w:val="Normal-pool-Table"/>
              <w:jc w:val="right"/>
              <w:rPr>
                <w:szCs w:val="18"/>
                <w:lang w:val="es-ES_tradnl"/>
              </w:rPr>
            </w:pPr>
            <w:r w:rsidRPr="00F567E1">
              <w:rPr>
                <w:color w:val="000000"/>
                <w:lang w:val="es-ES_tradnl"/>
              </w:rPr>
              <w:t>0,358</w:t>
            </w:r>
          </w:p>
        </w:tc>
        <w:tc>
          <w:tcPr>
            <w:tcW w:w="1073" w:type="dxa"/>
            <w:tcBorders>
              <w:top w:val="nil"/>
              <w:left w:val="nil"/>
              <w:bottom w:val="single" w:sz="4" w:space="0" w:color="auto"/>
              <w:right w:val="single" w:sz="4" w:space="0" w:color="auto"/>
            </w:tcBorders>
            <w:noWrap/>
            <w:hideMark/>
          </w:tcPr>
          <w:p w14:paraId="095EF142" w14:textId="77777777" w:rsidR="00EE35DE" w:rsidRPr="00F567E1" w:rsidRDefault="00EE35DE" w:rsidP="009A58EE">
            <w:pPr>
              <w:pStyle w:val="Normal-pool-Table"/>
              <w:jc w:val="right"/>
              <w:rPr>
                <w:szCs w:val="18"/>
                <w:lang w:val="es-ES_tradnl"/>
              </w:rPr>
            </w:pPr>
            <w:r w:rsidRPr="00F567E1">
              <w:rPr>
                <w:color w:val="000000"/>
                <w:lang w:val="es-ES_tradnl"/>
              </w:rPr>
              <w:t>0,3613</w:t>
            </w:r>
          </w:p>
        </w:tc>
        <w:tc>
          <w:tcPr>
            <w:tcW w:w="1293" w:type="dxa"/>
            <w:tcBorders>
              <w:top w:val="nil"/>
              <w:left w:val="nil"/>
              <w:bottom w:val="single" w:sz="4" w:space="0" w:color="auto"/>
              <w:right w:val="single" w:sz="4" w:space="0" w:color="auto"/>
            </w:tcBorders>
            <w:noWrap/>
            <w:hideMark/>
          </w:tcPr>
          <w:p w14:paraId="1A5A1C5D" w14:textId="77777777" w:rsidR="00EE35DE" w:rsidRPr="00F567E1" w:rsidRDefault="00EE35DE" w:rsidP="009A58EE">
            <w:pPr>
              <w:pStyle w:val="Normal-pool-Table"/>
              <w:jc w:val="right"/>
              <w:rPr>
                <w:szCs w:val="18"/>
                <w:lang w:val="es-ES_tradnl"/>
              </w:rPr>
            </w:pPr>
            <w:r w:rsidRPr="00F567E1">
              <w:rPr>
                <w:color w:val="000000"/>
                <w:lang w:val="es-ES_tradnl"/>
              </w:rPr>
              <w:t>11 141</w:t>
            </w:r>
          </w:p>
        </w:tc>
        <w:tc>
          <w:tcPr>
            <w:tcW w:w="1293" w:type="dxa"/>
            <w:tcBorders>
              <w:top w:val="nil"/>
              <w:left w:val="nil"/>
              <w:bottom w:val="single" w:sz="4" w:space="0" w:color="auto"/>
              <w:right w:val="single" w:sz="4" w:space="0" w:color="auto"/>
            </w:tcBorders>
            <w:noWrap/>
            <w:hideMark/>
          </w:tcPr>
          <w:p w14:paraId="0DFED5C8" w14:textId="77777777" w:rsidR="00EE35DE" w:rsidRPr="00F567E1" w:rsidRDefault="00EE35DE" w:rsidP="009A58EE">
            <w:pPr>
              <w:pStyle w:val="Normal-pool-Table"/>
              <w:jc w:val="right"/>
              <w:rPr>
                <w:szCs w:val="18"/>
                <w:lang w:val="es-ES_tradnl"/>
              </w:rPr>
            </w:pPr>
            <w:r w:rsidRPr="00F567E1">
              <w:rPr>
                <w:color w:val="000000"/>
                <w:lang w:val="es-ES_tradnl"/>
              </w:rPr>
              <w:t>14 704</w:t>
            </w:r>
          </w:p>
        </w:tc>
        <w:tc>
          <w:tcPr>
            <w:tcW w:w="1313" w:type="dxa"/>
            <w:tcBorders>
              <w:top w:val="nil"/>
              <w:left w:val="nil"/>
              <w:bottom w:val="single" w:sz="4" w:space="0" w:color="auto"/>
              <w:right w:val="single" w:sz="4" w:space="0" w:color="auto"/>
            </w:tcBorders>
            <w:noWrap/>
            <w:hideMark/>
          </w:tcPr>
          <w:p w14:paraId="045C23C4" w14:textId="77777777" w:rsidR="00EE35DE" w:rsidRPr="00F567E1" w:rsidRDefault="00EE35DE" w:rsidP="009A58EE">
            <w:pPr>
              <w:pStyle w:val="Normal-pool-Table"/>
              <w:jc w:val="right"/>
              <w:rPr>
                <w:szCs w:val="18"/>
                <w:lang w:val="es-ES_tradnl"/>
              </w:rPr>
            </w:pPr>
            <w:r w:rsidRPr="00F567E1">
              <w:rPr>
                <w:color w:val="000000"/>
                <w:lang w:val="es-ES_tradnl"/>
              </w:rPr>
              <w:t>25 845</w:t>
            </w:r>
          </w:p>
        </w:tc>
      </w:tr>
      <w:tr w:rsidR="00EE35DE" w:rsidRPr="00F567E1" w14:paraId="2E649B3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53BE18D" w14:textId="1AE4DA7B" w:rsidR="00EE35DE" w:rsidRPr="00F567E1" w:rsidRDefault="00EE35DE" w:rsidP="009A58EE">
            <w:pPr>
              <w:pStyle w:val="Normal-pool-Table"/>
              <w:rPr>
                <w:szCs w:val="18"/>
                <w:lang w:val="es-ES_tradnl"/>
              </w:rPr>
            </w:pPr>
            <w:r w:rsidRPr="00F567E1">
              <w:rPr>
                <w:color w:val="000000"/>
                <w:lang w:val="es-ES_tradnl"/>
              </w:rPr>
              <w:t>100</w:t>
            </w:r>
          </w:p>
        </w:tc>
        <w:tc>
          <w:tcPr>
            <w:tcW w:w="2573" w:type="dxa"/>
            <w:tcBorders>
              <w:top w:val="nil"/>
              <w:left w:val="nil"/>
              <w:bottom w:val="single" w:sz="4" w:space="0" w:color="auto"/>
              <w:right w:val="single" w:sz="4" w:space="0" w:color="auto"/>
            </w:tcBorders>
            <w:noWrap/>
            <w:hideMark/>
          </w:tcPr>
          <w:p w14:paraId="2548AA80" w14:textId="77777777" w:rsidR="00EE35DE" w:rsidRPr="00F567E1" w:rsidRDefault="00EE35DE" w:rsidP="009A58EE">
            <w:pPr>
              <w:pStyle w:val="Normal-pool-Table"/>
              <w:rPr>
                <w:szCs w:val="18"/>
                <w:lang w:val="es-ES_tradnl"/>
              </w:rPr>
            </w:pPr>
            <w:r w:rsidRPr="00F567E1">
              <w:rPr>
                <w:color w:val="000000"/>
                <w:lang w:val="es-ES_tradnl"/>
              </w:rPr>
              <w:t>Serbia</w:t>
            </w:r>
          </w:p>
        </w:tc>
        <w:tc>
          <w:tcPr>
            <w:tcW w:w="1400" w:type="dxa"/>
            <w:tcBorders>
              <w:top w:val="nil"/>
              <w:left w:val="nil"/>
              <w:bottom w:val="single" w:sz="4" w:space="0" w:color="auto"/>
              <w:right w:val="single" w:sz="4" w:space="0" w:color="auto"/>
            </w:tcBorders>
            <w:noWrap/>
            <w:hideMark/>
          </w:tcPr>
          <w:p w14:paraId="6FC1C6E4" w14:textId="77777777" w:rsidR="00EE35DE" w:rsidRPr="00F567E1" w:rsidRDefault="00EE35DE" w:rsidP="009A58EE">
            <w:pPr>
              <w:pStyle w:val="Normal-pool-Table"/>
              <w:jc w:val="right"/>
              <w:rPr>
                <w:szCs w:val="18"/>
                <w:lang w:val="es-ES_tradnl"/>
              </w:rPr>
            </w:pPr>
            <w:r w:rsidRPr="00F567E1">
              <w:rPr>
                <w:color w:val="000000"/>
                <w:lang w:val="es-ES_tradnl"/>
              </w:rPr>
              <w:t>0,04</w:t>
            </w:r>
          </w:p>
        </w:tc>
        <w:tc>
          <w:tcPr>
            <w:tcW w:w="1073" w:type="dxa"/>
            <w:tcBorders>
              <w:top w:val="nil"/>
              <w:left w:val="nil"/>
              <w:bottom w:val="single" w:sz="4" w:space="0" w:color="auto"/>
              <w:right w:val="single" w:sz="4" w:space="0" w:color="auto"/>
            </w:tcBorders>
            <w:noWrap/>
            <w:hideMark/>
          </w:tcPr>
          <w:p w14:paraId="77F80339" w14:textId="77777777" w:rsidR="00EE35DE" w:rsidRPr="00F567E1" w:rsidRDefault="00EE35DE" w:rsidP="009A58EE">
            <w:pPr>
              <w:pStyle w:val="Normal-pool-Table"/>
              <w:jc w:val="right"/>
              <w:rPr>
                <w:szCs w:val="18"/>
                <w:lang w:val="es-ES_tradnl"/>
              </w:rPr>
            </w:pPr>
            <w:r w:rsidRPr="00F567E1">
              <w:rPr>
                <w:color w:val="000000"/>
                <w:lang w:val="es-ES_tradnl"/>
              </w:rPr>
              <w:t>0,0404</w:t>
            </w:r>
          </w:p>
        </w:tc>
        <w:tc>
          <w:tcPr>
            <w:tcW w:w="1293" w:type="dxa"/>
            <w:tcBorders>
              <w:top w:val="nil"/>
              <w:left w:val="nil"/>
              <w:bottom w:val="single" w:sz="4" w:space="0" w:color="auto"/>
              <w:right w:val="single" w:sz="4" w:space="0" w:color="auto"/>
            </w:tcBorders>
            <w:noWrap/>
            <w:hideMark/>
          </w:tcPr>
          <w:p w14:paraId="00A09F37" w14:textId="77777777" w:rsidR="00EE35DE" w:rsidRPr="00F567E1" w:rsidRDefault="00EE35DE" w:rsidP="009A58EE">
            <w:pPr>
              <w:pStyle w:val="Normal-pool-Table"/>
              <w:jc w:val="right"/>
              <w:rPr>
                <w:szCs w:val="18"/>
                <w:lang w:val="es-ES_tradnl"/>
              </w:rPr>
            </w:pPr>
            <w:r w:rsidRPr="00F567E1">
              <w:rPr>
                <w:color w:val="000000"/>
                <w:lang w:val="es-ES_tradnl"/>
              </w:rPr>
              <w:t>1 245</w:t>
            </w:r>
          </w:p>
        </w:tc>
        <w:tc>
          <w:tcPr>
            <w:tcW w:w="1293" w:type="dxa"/>
            <w:tcBorders>
              <w:top w:val="nil"/>
              <w:left w:val="nil"/>
              <w:bottom w:val="single" w:sz="4" w:space="0" w:color="auto"/>
              <w:right w:val="single" w:sz="4" w:space="0" w:color="auto"/>
            </w:tcBorders>
            <w:noWrap/>
            <w:hideMark/>
          </w:tcPr>
          <w:p w14:paraId="2D08BE0C" w14:textId="77777777" w:rsidR="00EE35DE" w:rsidRPr="00F567E1" w:rsidRDefault="00EE35DE" w:rsidP="009A58EE">
            <w:pPr>
              <w:pStyle w:val="Normal-pool-Table"/>
              <w:jc w:val="right"/>
              <w:rPr>
                <w:szCs w:val="18"/>
                <w:lang w:val="es-ES_tradnl"/>
              </w:rPr>
            </w:pPr>
            <w:r w:rsidRPr="00F567E1">
              <w:rPr>
                <w:color w:val="000000"/>
                <w:lang w:val="es-ES_tradnl"/>
              </w:rPr>
              <w:t>1 643</w:t>
            </w:r>
          </w:p>
        </w:tc>
        <w:tc>
          <w:tcPr>
            <w:tcW w:w="1313" w:type="dxa"/>
            <w:tcBorders>
              <w:top w:val="nil"/>
              <w:left w:val="nil"/>
              <w:bottom w:val="single" w:sz="4" w:space="0" w:color="auto"/>
              <w:right w:val="single" w:sz="4" w:space="0" w:color="auto"/>
            </w:tcBorders>
            <w:noWrap/>
            <w:hideMark/>
          </w:tcPr>
          <w:p w14:paraId="436FADA0" w14:textId="77777777" w:rsidR="00EE35DE" w:rsidRPr="00F567E1" w:rsidRDefault="00EE35DE" w:rsidP="009A58EE">
            <w:pPr>
              <w:pStyle w:val="Normal-pool-Table"/>
              <w:jc w:val="right"/>
              <w:rPr>
                <w:szCs w:val="18"/>
                <w:lang w:val="es-ES_tradnl"/>
              </w:rPr>
            </w:pPr>
            <w:r w:rsidRPr="00F567E1">
              <w:rPr>
                <w:color w:val="000000"/>
                <w:lang w:val="es-ES_tradnl"/>
              </w:rPr>
              <w:t>2 888</w:t>
            </w:r>
          </w:p>
        </w:tc>
      </w:tr>
      <w:tr w:rsidR="00EE35DE" w:rsidRPr="00F567E1" w14:paraId="7F2CCF3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4A48006" w14:textId="77777777" w:rsidR="00EE35DE" w:rsidRPr="00F567E1" w:rsidRDefault="00EE35DE" w:rsidP="009A58EE">
            <w:pPr>
              <w:pStyle w:val="Normal-pool-Table"/>
              <w:rPr>
                <w:szCs w:val="18"/>
                <w:lang w:val="es-ES_tradnl"/>
              </w:rPr>
            </w:pPr>
            <w:r w:rsidRPr="00F567E1">
              <w:rPr>
                <w:color w:val="000000"/>
                <w:lang w:val="es-ES_tradnl"/>
              </w:rPr>
              <w:t>101</w:t>
            </w:r>
          </w:p>
        </w:tc>
        <w:tc>
          <w:tcPr>
            <w:tcW w:w="2573" w:type="dxa"/>
            <w:tcBorders>
              <w:top w:val="nil"/>
              <w:left w:val="nil"/>
              <w:bottom w:val="single" w:sz="4" w:space="0" w:color="auto"/>
              <w:right w:val="single" w:sz="4" w:space="0" w:color="auto"/>
            </w:tcBorders>
            <w:noWrap/>
            <w:hideMark/>
          </w:tcPr>
          <w:p w14:paraId="15D0529B" w14:textId="77777777" w:rsidR="00EE35DE" w:rsidRPr="00F567E1" w:rsidRDefault="00EE35DE" w:rsidP="009A58EE">
            <w:pPr>
              <w:pStyle w:val="Normal-pool-Table"/>
              <w:rPr>
                <w:szCs w:val="18"/>
                <w:lang w:val="es-ES_tradnl"/>
              </w:rPr>
            </w:pPr>
            <w:r w:rsidRPr="00F567E1">
              <w:rPr>
                <w:color w:val="000000"/>
                <w:lang w:val="es-ES_tradnl"/>
              </w:rPr>
              <w:t>Ucrania</w:t>
            </w:r>
          </w:p>
        </w:tc>
        <w:tc>
          <w:tcPr>
            <w:tcW w:w="1400" w:type="dxa"/>
            <w:tcBorders>
              <w:top w:val="nil"/>
              <w:left w:val="nil"/>
              <w:bottom w:val="single" w:sz="4" w:space="0" w:color="auto"/>
              <w:right w:val="single" w:sz="4" w:space="0" w:color="auto"/>
            </w:tcBorders>
            <w:noWrap/>
            <w:hideMark/>
          </w:tcPr>
          <w:p w14:paraId="73FDB16A" w14:textId="77777777" w:rsidR="00EE35DE" w:rsidRPr="00F567E1" w:rsidRDefault="00EE35DE" w:rsidP="009A58EE">
            <w:pPr>
              <w:pStyle w:val="Normal-pool-Table"/>
              <w:jc w:val="right"/>
              <w:rPr>
                <w:szCs w:val="18"/>
                <w:lang w:val="es-ES_tradnl"/>
              </w:rPr>
            </w:pPr>
            <w:r w:rsidRPr="00F567E1">
              <w:rPr>
                <w:color w:val="000000"/>
                <w:lang w:val="es-ES_tradnl"/>
              </w:rPr>
              <w:t>0,074</w:t>
            </w:r>
          </w:p>
        </w:tc>
        <w:tc>
          <w:tcPr>
            <w:tcW w:w="1073" w:type="dxa"/>
            <w:tcBorders>
              <w:top w:val="nil"/>
              <w:left w:val="nil"/>
              <w:bottom w:val="single" w:sz="4" w:space="0" w:color="auto"/>
              <w:right w:val="single" w:sz="4" w:space="0" w:color="auto"/>
            </w:tcBorders>
            <w:noWrap/>
            <w:hideMark/>
          </w:tcPr>
          <w:p w14:paraId="668C16AF" w14:textId="77777777" w:rsidR="00EE35DE" w:rsidRPr="00F567E1" w:rsidRDefault="00EE35DE" w:rsidP="009A58EE">
            <w:pPr>
              <w:pStyle w:val="Normal-pool-Table"/>
              <w:jc w:val="right"/>
              <w:rPr>
                <w:szCs w:val="18"/>
                <w:lang w:val="es-ES_tradnl"/>
              </w:rPr>
            </w:pPr>
            <w:r w:rsidRPr="00F567E1">
              <w:rPr>
                <w:color w:val="000000"/>
                <w:lang w:val="es-ES_tradnl"/>
              </w:rPr>
              <w:t>0,0747</w:t>
            </w:r>
          </w:p>
        </w:tc>
        <w:tc>
          <w:tcPr>
            <w:tcW w:w="1293" w:type="dxa"/>
            <w:tcBorders>
              <w:top w:val="nil"/>
              <w:left w:val="nil"/>
              <w:bottom w:val="single" w:sz="4" w:space="0" w:color="auto"/>
              <w:right w:val="single" w:sz="4" w:space="0" w:color="auto"/>
            </w:tcBorders>
            <w:noWrap/>
            <w:hideMark/>
          </w:tcPr>
          <w:p w14:paraId="274F1610" w14:textId="77777777" w:rsidR="00EE35DE" w:rsidRPr="00F567E1" w:rsidRDefault="00EE35DE" w:rsidP="009A58EE">
            <w:pPr>
              <w:pStyle w:val="Normal-pool-Table"/>
              <w:jc w:val="right"/>
              <w:rPr>
                <w:szCs w:val="18"/>
                <w:lang w:val="es-ES_tradnl"/>
              </w:rPr>
            </w:pPr>
            <w:r w:rsidRPr="00F567E1">
              <w:rPr>
                <w:color w:val="000000"/>
                <w:lang w:val="es-ES_tradnl"/>
              </w:rPr>
              <w:t>2 303</w:t>
            </w:r>
          </w:p>
        </w:tc>
        <w:tc>
          <w:tcPr>
            <w:tcW w:w="1293" w:type="dxa"/>
            <w:tcBorders>
              <w:top w:val="nil"/>
              <w:left w:val="nil"/>
              <w:bottom w:val="single" w:sz="4" w:space="0" w:color="auto"/>
              <w:right w:val="single" w:sz="4" w:space="0" w:color="auto"/>
            </w:tcBorders>
            <w:noWrap/>
            <w:hideMark/>
          </w:tcPr>
          <w:p w14:paraId="200E192A" w14:textId="77777777" w:rsidR="00EE35DE" w:rsidRPr="00F567E1" w:rsidRDefault="00EE35DE" w:rsidP="009A58EE">
            <w:pPr>
              <w:pStyle w:val="Normal-pool-Table"/>
              <w:jc w:val="right"/>
              <w:rPr>
                <w:szCs w:val="18"/>
                <w:lang w:val="es-ES_tradnl"/>
              </w:rPr>
            </w:pPr>
            <w:r w:rsidRPr="00F567E1">
              <w:rPr>
                <w:color w:val="000000"/>
                <w:lang w:val="es-ES_tradnl"/>
              </w:rPr>
              <w:t>3 039</w:t>
            </w:r>
          </w:p>
        </w:tc>
        <w:tc>
          <w:tcPr>
            <w:tcW w:w="1313" w:type="dxa"/>
            <w:tcBorders>
              <w:top w:val="nil"/>
              <w:left w:val="nil"/>
              <w:bottom w:val="single" w:sz="4" w:space="0" w:color="auto"/>
              <w:right w:val="single" w:sz="4" w:space="0" w:color="auto"/>
            </w:tcBorders>
            <w:noWrap/>
            <w:hideMark/>
          </w:tcPr>
          <w:p w14:paraId="57E82052" w14:textId="77777777" w:rsidR="00EE35DE" w:rsidRPr="00F567E1" w:rsidRDefault="00EE35DE" w:rsidP="009A58EE">
            <w:pPr>
              <w:pStyle w:val="Normal-pool-Table"/>
              <w:jc w:val="right"/>
              <w:rPr>
                <w:szCs w:val="18"/>
                <w:lang w:val="es-ES_tradnl"/>
              </w:rPr>
            </w:pPr>
            <w:r w:rsidRPr="00F567E1">
              <w:rPr>
                <w:color w:val="000000"/>
                <w:lang w:val="es-ES_tradnl"/>
              </w:rPr>
              <w:t>5 342</w:t>
            </w:r>
          </w:p>
        </w:tc>
      </w:tr>
      <w:tr w:rsidR="00F234CD" w:rsidRPr="00F567E1" w14:paraId="56BB6CF9"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5F4E37B1" w14:textId="77777777" w:rsidR="00312042" w:rsidRPr="00F567E1" w:rsidRDefault="00312042" w:rsidP="009A58EE">
            <w:pPr>
              <w:pStyle w:val="Normal-pool-Table"/>
              <w:rPr>
                <w:b/>
                <w:bCs/>
                <w:szCs w:val="18"/>
                <w:lang w:val="es-ES_tradnl"/>
              </w:rPr>
            </w:pPr>
            <w:r w:rsidRPr="00F567E1">
              <w:rPr>
                <w:b/>
                <w:bCs/>
                <w:color w:val="000000"/>
                <w:lang w:val="es-ES_tradnl"/>
              </w:rPr>
              <w:t>Estados de América Latina y el Caribe (26)</w:t>
            </w:r>
          </w:p>
        </w:tc>
      </w:tr>
      <w:tr w:rsidR="00EE35DE" w:rsidRPr="00F567E1" w14:paraId="7CBF3D2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7777E55" w14:textId="77777777" w:rsidR="00EE35DE" w:rsidRPr="00F567E1" w:rsidRDefault="00EE35DE" w:rsidP="009A58EE">
            <w:pPr>
              <w:pStyle w:val="Normal-pool-Table"/>
              <w:rPr>
                <w:szCs w:val="18"/>
                <w:lang w:val="es-ES_tradnl"/>
              </w:rPr>
            </w:pPr>
            <w:r w:rsidRPr="00F567E1">
              <w:rPr>
                <w:color w:val="000000"/>
                <w:lang w:val="es-ES_tradnl"/>
              </w:rPr>
              <w:t>102</w:t>
            </w:r>
          </w:p>
        </w:tc>
        <w:tc>
          <w:tcPr>
            <w:tcW w:w="2573" w:type="dxa"/>
            <w:tcBorders>
              <w:top w:val="nil"/>
              <w:left w:val="nil"/>
              <w:bottom w:val="single" w:sz="4" w:space="0" w:color="auto"/>
              <w:right w:val="single" w:sz="4" w:space="0" w:color="auto"/>
            </w:tcBorders>
            <w:noWrap/>
            <w:hideMark/>
          </w:tcPr>
          <w:p w14:paraId="6E3673DE" w14:textId="77777777" w:rsidR="00EE35DE" w:rsidRPr="00F567E1" w:rsidRDefault="00EE35DE" w:rsidP="009A58EE">
            <w:pPr>
              <w:pStyle w:val="Normal-pool-Table"/>
              <w:rPr>
                <w:szCs w:val="18"/>
                <w:lang w:val="es-ES_tradnl"/>
              </w:rPr>
            </w:pPr>
            <w:r w:rsidRPr="00F567E1">
              <w:rPr>
                <w:color w:val="000000"/>
                <w:lang w:val="es-ES_tradnl"/>
              </w:rPr>
              <w:t>Antigua y Barbuda</w:t>
            </w:r>
          </w:p>
        </w:tc>
        <w:tc>
          <w:tcPr>
            <w:tcW w:w="1400" w:type="dxa"/>
            <w:tcBorders>
              <w:top w:val="nil"/>
              <w:left w:val="nil"/>
              <w:bottom w:val="single" w:sz="4" w:space="0" w:color="auto"/>
              <w:right w:val="single" w:sz="4" w:space="0" w:color="auto"/>
            </w:tcBorders>
            <w:noWrap/>
            <w:hideMark/>
          </w:tcPr>
          <w:p w14:paraId="3A08088E" w14:textId="77777777" w:rsidR="00EE35DE" w:rsidRPr="00F567E1" w:rsidRDefault="00EE35DE" w:rsidP="009A58EE">
            <w:pPr>
              <w:pStyle w:val="Normal-pool-Table"/>
              <w:jc w:val="right"/>
              <w:rPr>
                <w:szCs w:val="18"/>
                <w:lang w:val="es-ES_tradnl"/>
              </w:rPr>
            </w:pPr>
            <w:r w:rsidRPr="00F567E1">
              <w:rPr>
                <w:color w:val="000000"/>
                <w:lang w:val="es-ES_tradnl"/>
              </w:rPr>
              <w:t>0,002</w:t>
            </w:r>
          </w:p>
        </w:tc>
        <w:tc>
          <w:tcPr>
            <w:tcW w:w="1073" w:type="dxa"/>
            <w:tcBorders>
              <w:top w:val="nil"/>
              <w:left w:val="nil"/>
              <w:bottom w:val="single" w:sz="4" w:space="0" w:color="auto"/>
              <w:right w:val="single" w:sz="4" w:space="0" w:color="auto"/>
            </w:tcBorders>
            <w:noWrap/>
            <w:hideMark/>
          </w:tcPr>
          <w:p w14:paraId="613D01A1"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7C7479B7"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1B6E67D4"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591FDB7"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29ED87C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F9AF689" w14:textId="77777777" w:rsidR="00EE35DE" w:rsidRPr="00F567E1" w:rsidRDefault="00EE35DE" w:rsidP="009A58EE">
            <w:pPr>
              <w:pStyle w:val="Normal-pool-Table"/>
              <w:rPr>
                <w:szCs w:val="18"/>
                <w:lang w:val="es-ES_tradnl"/>
              </w:rPr>
            </w:pPr>
            <w:r w:rsidRPr="00F567E1">
              <w:rPr>
                <w:color w:val="000000"/>
                <w:lang w:val="es-ES_tradnl"/>
              </w:rPr>
              <w:t>103</w:t>
            </w:r>
          </w:p>
        </w:tc>
        <w:tc>
          <w:tcPr>
            <w:tcW w:w="2573" w:type="dxa"/>
            <w:tcBorders>
              <w:top w:val="nil"/>
              <w:left w:val="nil"/>
              <w:bottom w:val="single" w:sz="4" w:space="0" w:color="auto"/>
              <w:right w:val="single" w:sz="4" w:space="0" w:color="auto"/>
            </w:tcBorders>
            <w:noWrap/>
            <w:hideMark/>
          </w:tcPr>
          <w:p w14:paraId="06F0C41C" w14:textId="77777777" w:rsidR="00EE35DE" w:rsidRPr="00F567E1" w:rsidRDefault="00EE35DE" w:rsidP="009A58EE">
            <w:pPr>
              <w:pStyle w:val="Normal-pool-Table"/>
              <w:rPr>
                <w:szCs w:val="18"/>
                <w:lang w:val="es-ES_tradnl"/>
              </w:rPr>
            </w:pPr>
            <w:r w:rsidRPr="00F567E1">
              <w:rPr>
                <w:color w:val="000000"/>
                <w:lang w:val="es-ES_tradnl"/>
              </w:rPr>
              <w:t>Argentina</w:t>
            </w:r>
          </w:p>
        </w:tc>
        <w:tc>
          <w:tcPr>
            <w:tcW w:w="1400" w:type="dxa"/>
            <w:tcBorders>
              <w:top w:val="nil"/>
              <w:left w:val="nil"/>
              <w:bottom w:val="single" w:sz="4" w:space="0" w:color="auto"/>
              <w:right w:val="single" w:sz="4" w:space="0" w:color="auto"/>
            </w:tcBorders>
            <w:noWrap/>
            <w:hideMark/>
          </w:tcPr>
          <w:p w14:paraId="5DA00D95" w14:textId="77777777" w:rsidR="00EE35DE" w:rsidRPr="00F567E1" w:rsidRDefault="00EE35DE" w:rsidP="009A58EE">
            <w:pPr>
              <w:pStyle w:val="Normal-pool-Table"/>
              <w:jc w:val="right"/>
              <w:rPr>
                <w:szCs w:val="18"/>
                <w:lang w:val="es-ES_tradnl"/>
              </w:rPr>
            </w:pPr>
            <w:r w:rsidRPr="00F567E1">
              <w:rPr>
                <w:color w:val="000000"/>
                <w:lang w:val="es-ES_tradnl"/>
              </w:rPr>
              <w:t>0,49</w:t>
            </w:r>
          </w:p>
        </w:tc>
        <w:tc>
          <w:tcPr>
            <w:tcW w:w="1073" w:type="dxa"/>
            <w:tcBorders>
              <w:top w:val="nil"/>
              <w:left w:val="nil"/>
              <w:bottom w:val="single" w:sz="4" w:space="0" w:color="auto"/>
              <w:right w:val="single" w:sz="4" w:space="0" w:color="auto"/>
            </w:tcBorders>
            <w:noWrap/>
            <w:hideMark/>
          </w:tcPr>
          <w:p w14:paraId="6035FBCC" w14:textId="77777777" w:rsidR="00EE35DE" w:rsidRPr="00F567E1" w:rsidRDefault="00EE35DE" w:rsidP="009A58EE">
            <w:pPr>
              <w:pStyle w:val="Normal-pool-Table"/>
              <w:jc w:val="right"/>
              <w:rPr>
                <w:szCs w:val="18"/>
                <w:lang w:val="es-ES_tradnl"/>
              </w:rPr>
            </w:pPr>
            <w:r w:rsidRPr="00F567E1">
              <w:rPr>
                <w:color w:val="000000"/>
                <w:lang w:val="es-ES_tradnl"/>
              </w:rPr>
              <w:t>0,4946</w:t>
            </w:r>
          </w:p>
        </w:tc>
        <w:tc>
          <w:tcPr>
            <w:tcW w:w="1293" w:type="dxa"/>
            <w:tcBorders>
              <w:top w:val="nil"/>
              <w:left w:val="nil"/>
              <w:bottom w:val="single" w:sz="4" w:space="0" w:color="auto"/>
              <w:right w:val="single" w:sz="4" w:space="0" w:color="auto"/>
            </w:tcBorders>
            <w:noWrap/>
            <w:hideMark/>
          </w:tcPr>
          <w:p w14:paraId="1209A5D1" w14:textId="77777777" w:rsidR="00EE35DE" w:rsidRPr="00F567E1" w:rsidRDefault="00EE35DE" w:rsidP="009A58EE">
            <w:pPr>
              <w:pStyle w:val="Normal-pool-Table"/>
              <w:jc w:val="right"/>
              <w:rPr>
                <w:szCs w:val="18"/>
                <w:lang w:val="es-ES_tradnl"/>
              </w:rPr>
            </w:pPr>
            <w:r w:rsidRPr="00F567E1">
              <w:rPr>
                <w:color w:val="000000"/>
                <w:lang w:val="es-ES_tradnl"/>
              </w:rPr>
              <w:t>15 249</w:t>
            </w:r>
          </w:p>
        </w:tc>
        <w:tc>
          <w:tcPr>
            <w:tcW w:w="1293" w:type="dxa"/>
            <w:tcBorders>
              <w:top w:val="nil"/>
              <w:left w:val="nil"/>
              <w:bottom w:val="single" w:sz="4" w:space="0" w:color="auto"/>
              <w:right w:val="single" w:sz="4" w:space="0" w:color="auto"/>
            </w:tcBorders>
            <w:noWrap/>
            <w:hideMark/>
          </w:tcPr>
          <w:p w14:paraId="172AFB33" w14:textId="77777777" w:rsidR="00EE35DE" w:rsidRPr="00F567E1" w:rsidRDefault="00EE35DE" w:rsidP="009A58EE">
            <w:pPr>
              <w:pStyle w:val="Normal-pool-Table"/>
              <w:jc w:val="right"/>
              <w:rPr>
                <w:szCs w:val="18"/>
                <w:lang w:val="es-ES_tradnl"/>
              </w:rPr>
            </w:pPr>
            <w:r w:rsidRPr="00F567E1">
              <w:rPr>
                <w:color w:val="000000"/>
                <w:lang w:val="es-ES_tradnl"/>
              </w:rPr>
              <w:t>20 125</w:t>
            </w:r>
          </w:p>
        </w:tc>
        <w:tc>
          <w:tcPr>
            <w:tcW w:w="1313" w:type="dxa"/>
            <w:tcBorders>
              <w:top w:val="nil"/>
              <w:left w:val="nil"/>
              <w:bottom w:val="single" w:sz="4" w:space="0" w:color="auto"/>
              <w:right w:val="single" w:sz="4" w:space="0" w:color="auto"/>
            </w:tcBorders>
            <w:noWrap/>
            <w:hideMark/>
          </w:tcPr>
          <w:p w14:paraId="66F396D0" w14:textId="77777777" w:rsidR="00EE35DE" w:rsidRPr="00F567E1" w:rsidRDefault="00EE35DE" w:rsidP="009A58EE">
            <w:pPr>
              <w:pStyle w:val="Normal-pool-Table"/>
              <w:jc w:val="right"/>
              <w:rPr>
                <w:szCs w:val="18"/>
                <w:lang w:val="es-ES_tradnl"/>
              </w:rPr>
            </w:pPr>
            <w:r w:rsidRPr="00F567E1">
              <w:rPr>
                <w:color w:val="000000"/>
                <w:lang w:val="es-ES_tradnl"/>
              </w:rPr>
              <w:t>35 374</w:t>
            </w:r>
          </w:p>
        </w:tc>
      </w:tr>
      <w:tr w:rsidR="00EE35DE" w:rsidRPr="00F567E1" w14:paraId="6027406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87D9097" w14:textId="77777777" w:rsidR="00EE35DE" w:rsidRPr="00F567E1" w:rsidRDefault="00EE35DE" w:rsidP="009A58EE">
            <w:pPr>
              <w:pStyle w:val="Normal-pool-Table"/>
              <w:rPr>
                <w:szCs w:val="18"/>
                <w:lang w:val="es-ES_tradnl"/>
              </w:rPr>
            </w:pPr>
            <w:r w:rsidRPr="00F567E1">
              <w:rPr>
                <w:color w:val="000000"/>
                <w:lang w:val="es-ES_tradnl"/>
              </w:rPr>
              <w:t>104</w:t>
            </w:r>
          </w:p>
        </w:tc>
        <w:tc>
          <w:tcPr>
            <w:tcW w:w="2573" w:type="dxa"/>
            <w:tcBorders>
              <w:top w:val="nil"/>
              <w:left w:val="nil"/>
              <w:bottom w:val="single" w:sz="4" w:space="0" w:color="auto"/>
              <w:right w:val="single" w:sz="4" w:space="0" w:color="auto"/>
            </w:tcBorders>
            <w:noWrap/>
            <w:hideMark/>
          </w:tcPr>
          <w:p w14:paraId="2420C168" w14:textId="77777777" w:rsidR="00EE35DE" w:rsidRPr="00F567E1" w:rsidRDefault="00EE35DE" w:rsidP="009A58EE">
            <w:pPr>
              <w:pStyle w:val="Normal-pool-Table"/>
              <w:rPr>
                <w:szCs w:val="18"/>
                <w:lang w:val="es-ES_tradnl"/>
              </w:rPr>
            </w:pPr>
            <w:r w:rsidRPr="00F567E1">
              <w:rPr>
                <w:color w:val="000000"/>
                <w:lang w:val="es-ES_tradnl"/>
              </w:rPr>
              <w:t>Bahamas (Las)</w:t>
            </w:r>
          </w:p>
        </w:tc>
        <w:tc>
          <w:tcPr>
            <w:tcW w:w="1400" w:type="dxa"/>
            <w:tcBorders>
              <w:top w:val="nil"/>
              <w:left w:val="nil"/>
              <w:bottom w:val="single" w:sz="4" w:space="0" w:color="auto"/>
              <w:right w:val="single" w:sz="4" w:space="0" w:color="auto"/>
            </w:tcBorders>
            <w:noWrap/>
            <w:hideMark/>
          </w:tcPr>
          <w:p w14:paraId="17A87060" w14:textId="77777777" w:rsidR="00EE35DE" w:rsidRPr="00F567E1" w:rsidRDefault="00EE35DE" w:rsidP="009A58EE">
            <w:pPr>
              <w:pStyle w:val="Normal-pool-Table"/>
              <w:jc w:val="right"/>
              <w:rPr>
                <w:szCs w:val="18"/>
                <w:lang w:val="es-ES_tradnl"/>
              </w:rPr>
            </w:pPr>
            <w:r w:rsidRPr="00F567E1">
              <w:rPr>
                <w:color w:val="000000"/>
                <w:lang w:val="es-ES_tradnl"/>
              </w:rPr>
              <w:t>0,015</w:t>
            </w:r>
          </w:p>
        </w:tc>
        <w:tc>
          <w:tcPr>
            <w:tcW w:w="1073" w:type="dxa"/>
            <w:tcBorders>
              <w:top w:val="nil"/>
              <w:left w:val="nil"/>
              <w:bottom w:val="single" w:sz="4" w:space="0" w:color="auto"/>
              <w:right w:val="single" w:sz="4" w:space="0" w:color="auto"/>
            </w:tcBorders>
            <w:noWrap/>
            <w:hideMark/>
          </w:tcPr>
          <w:p w14:paraId="33EBD231" w14:textId="77777777" w:rsidR="00EE35DE" w:rsidRPr="00F567E1" w:rsidRDefault="00EE35DE" w:rsidP="009A58EE">
            <w:pPr>
              <w:pStyle w:val="Normal-pool-Table"/>
              <w:jc w:val="right"/>
              <w:rPr>
                <w:szCs w:val="18"/>
                <w:lang w:val="es-ES_tradnl"/>
              </w:rPr>
            </w:pPr>
            <w:r w:rsidRPr="00F567E1">
              <w:rPr>
                <w:color w:val="000000"/>
                <w:lang w:val="es-ES_tradnl"/>
              </w:rPr>
              <w:t>0,0151</w:t>
            </w:r>
          </w:p>
        </w:tc>
        <w:tc>
          <w:tcPr>
            <w:tcW w:w="1293" w:type="dxa"/>
            <w:tcBorders>
              <w:top w:val="nil"/>
              <w:left w:val="nil"/>
              <w:bottom w:val="single" w:sz="4" w:space="0" w:color="auto"/>
              <w:right w:val="single" w:sz="4" w:space="0" w:color="auto"/>
            </w:tcBorders>
            <w:noWrap/>
            <w:hideMark/>
          </w:tcPr>
          <w:p w14:paraId="78EB67EE" w14:textId="77777777" w:rsidR="00EE35DE" w:rsidRPr="00F567E1" w:rsidRDefault="00EE35DE" w:rsidP="009A58EE">
            <w:pPr>
              <w:pStyle w:val="Normal-pool-Table"/>
              <w:jc w:val="right"/>
              <w:rPr>
                <w:szCs w:val="18"/>
                <w:lang w:val="es-ES_tradnl"/>
              </w:rPr>
            </w:pPr>
            <w:r w:rsidRPr="00F567E1">
              <w:rPr>
                <w:color w:val="000000"/>
                <w:lang w:val="es-ES_tradnl"/>
              </w:rPr>
              <w:t>467</w:t>
            </w:r>
          </w:p>
        </w:tc>
        <w:tc>
          <w:tcPr>
            <w:tcW w:w="1293" w:type="dxa"/>
            <w:tcBorders>
              <w:top w:val="nil"/>
              <w:left w:val="nil"/>
              <w:bottom w:val="single" w:sz="4" w:space="0" w:color="auto"/>
              <w:right w:val="single" w:sz="4" w:space="0" w:color="auto"/>
            </w:tcBorders>
            <w:noWrap/>
            <w:hideMark/>
          </w:tcPr>
          <w:p w14:paraId="79FF1642" w14:textId="77777777" w:rsidR="00EE35DE" w:rsidRPr="00F567E1" w:rsidRDefault="00EE35DE" w:rsidP="009A58EE">
            <w:pPr>
              <w:pStyle w:val="Normal-pool-Table"/>
              <w:jc w:val="right"/>
              <w:rPr>
                <w:szCs w:val="18"/>
                <w:lang w:val="es-ES_tradnl"/>
              </w:rPr>
            </w:pPr>
            <w:r w:rsidRPr="00F567E1">
              <w:rPr>
                <w:color w:val="000000"/>
                <w:lang w:val="es-ES_tradnl"/>
              </w:rPr>
              <w:t>616</w:t>
            </w:r>
          </w:p>
        </w:tc>
        <w:tc>
          <w:tcPr>
            <w:tcW w:w="1313" w:type="dxa"/>
            <w:tcBorders>
              <w:top w:val="nil"/>
              <w:left w:val="nil"/>
              <w:bottom w:val="single" w:sz="4" w:space="0" w:color="auto"/>
              <w:right w:val="single" w:sz="4" w:space="0" w:color="auto"/>
            </w:tcBorders>
            <w:noWrap/>
            <w:hideMark/>
          </w:tcPr>
          <w:p w14:paraId="4A05EB78" w14:textId="77777777" w:rsidR="00EE35DE" w:rsidRPr="00F567E1" w:rsidRDefault="00EE35DE" w:rsidP="009A58EE">
            <w:pPr>
              <w:pStyle w:val="Normal-pool-Table"/>
              <w:jc w:val="right"/>
              <w:rPr>
                <w:szCs w:val="18"/>
                <w:lang w:val="es-ES_tradnl"/>
              </w:rPr>
            </w:pPr>
            <w:r w:rsidRPr="00F567E1">
              <w:rPr>
                <w:color w:val="000000"/>
                <w:lang w:val="es-ES_tradnl"/>
              </w:rPr>
              <w:t>1 083</w:t>
            </w:r>
          </w:p>
        </w:tc>
      </w:tr>
      <w:tr w:rsidR="00EE35DE" w:rsidRPr="00F567E1" w14:paraId="609705E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CDF434D" w14:textId="77777777" w:rsidR="00EE35DE" w:rsidRPr="00F567E1" w:rsidRDefault="00EE35DE" w:rsidP="009A58EE">
            <w:pPr>
              <w:pStyle w:val="Normal-pool-Table"/>
              <w:rPr>
                <w:szCs w:val="18"/>
                <w:lang w:val="es-ES_tradnl"/>
              </w:rPr>
            </w:pPr>
            <w:r w:rsidRPr="00F567E1">
              <w:rPr>
                <w:color w:val="000000"/>
                <w:lang w:val="es-ES_tradnl"/>
              </w:rPr>
              <w:t>105</w:t>
            </w:r>
          </w:p>
        </w:tc>
        <w:tc>
          <w:tcPr>
            <w:tcW w:w="2573" w:type="dxa"/>
            <w:tcBorders>
              <w:top w:val="nil"/>
              <w:left w:val="nil"/>
              <w:bottom w:val="single" w:sz="4" w:space="0" w:color="auto"/>
              <w:right w:val="single" w:sz="4" w:space="0" w:color="auto"/>
            </w:tcBorders>
            <w:noWrap/>
            <w:hideMark/>
          </w:tcPr>
          <w:p w14:paraId="7C25D987" w14:textId="77777777" w:rsidR="00EE35DE" w:rsidRPr="00F567E1" w:rsidRDefault="00EE35DE" w:rsidP="009A58EE">
            <w:pPr>
              <w:pStyle w:val="Normal-pool-Table"/>
              <w:rPr>
                <w:szCs w:val="18"/>
                <w:lang w:val="es-ES_tradnl"/>
              </w:rPr>
            </w:pPr>
            <w:r w:rsidRPr="00F567E1">
              <w:rPr>
                <w:color w:val="000000"/>
                <w:lang w:val="es-ES_tradnl"/>
              </w:rPr>
              <w:t>Belice</w:t>
            </w:r>
          </w:p>
        </w:tc>
        <w:tc>
          <w:tcPr>
            <w:tcW w:w="1400" w:type="dxa"/>
            <w:tcBorders>
              <w:top w:val="nil"/>
              <w:left w:val="nil"/>
              <w:bottom w:val="single" w:sz="4" w:space="0" w:color="auto"/>
              <w:right w:val="single" w:sz="4" w:space="0" w:color="auto"/>
            </w:tcBorders>
            <w:noWrap/>
            <w:hideMark/>
          </w:tcPr>
          <w:p w14:paraId="53171A36"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3855615C"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3E84D4CC"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8E46FCD"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EA1CF35"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1407006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CC9A2F1" w14:textId="77777777" w:rsidR="00EE35DE" w:rsidRPr="00F567E1" w:rsidRDefault="00EE35DE" w:rsidP="009A58EE">
            <w:pPr>
              <w:pStyle w:val="Normal-pool-Table"/>
              <w:rPr>
                <w:szCs w:val="18"/>
                <w:lang w:val="es-ES_tradnl"/>
              </w:rPr>
            </w:pPr>
            <w:r w:rsidRPr="00F567E1">
              <w:rPr>
                <w:color w:val="000000"/>
                <w:lang w:val="es-ES_tradnl"/>
              </w:rPr>
              <w:t>106</w:t>
            </w:r>
          </w:p>
        </w:tc>
        <w:tc>
          <w:tcPr>
            <w:tcW w:w="2573" w:type="dxa"/>
            <w:tcBorders>
              <w:top w:val="nil"/>
              <w:left w:val="nil"/>
              <w:bottom w:val="single" w:sz="4" w:space="0" w:color="auto"/>
              <w:right w:val="single" w:sz="4" w:space="0" w:color="auto"/>
            </w:tcBorders>
            <w:noWrap/>
            <w:hideMark/>
          </w:tcPr>
          <w:p w14:paraId="7E7CCA58" w14:textId="77777777" w:rsidR="00EE35DE" w:rsidRPr="00F567E1" w:rsidRDefault="00EE35DE" w:rsidP="009A58EE">
            <w:pPr>
              <w:pStyle w:val="Normal-pool-Table"/>
              <w:rPr>
                <w:spacing w:val="-2"/>
                <w:szCs w:val="18"/>
                <w:lang w:val="es-ES_tradnl"/>
              </w:rPr>
            </w:pPr>
            <w:r w:rsidRPr="00F567E1">
              <w:rPr>
                <w:color w:val="000000"/>
                <w:spacing w:val="-2"/>
                <w:lang w:val="es-ES_tradnl"/>
              </w:rPr>
              <w:t>Bolivia (Estado Plurinacional de)</w:t>
            </w:r>
          </w:p>
        </w:tc>
        <w:tc>
          <w:tcPr>
            <w:tcW w:w="1400" w:type="dxa"/>
            <w:tcBorders>
              <w:top w:val="nil"/>
              <w:left w:val="nil"/>
              <w:bottom w:val="single" w:sz="4" w:space="0" w:color="auto"/>
              <w:right w:val="single" w:sz="4" w:space="0" w:color="auto"/>
            </w:tcBorders>
            <w:noWrap/>
            <w:hideMark/>
          </w:tcPr>
          <w:p w14:paraId="146B8729" w14:textId="77777777" w:rsidR="00EE35DE" w:rsidRPr="00F567E1" w:rsidRDefault="00EE35DE" w:rsidP="009A58EE">
            <w:pPr>
              <w:pStyle w:val="Normal-pool-Table"/>
              <w:jc w:val="right"/>
              <w:rPr>
                <w:szCs w:val="18"/>
                <w:lang w:val="es-ES_tradnl"/>
              </w:rPr>
            </w:pPr>
            <w:r w:rsidRPr="00F567E1">
              <w:rPr>
                <w:color w:val="000000"/>
                <w:lang w:val="es-ES_tradnl"/>
              </w:rPr>
              <w:t>0,018</w:t>
            </w:r>
          </w:p>
        </w:tc>
        <w:tc>
          <w:tcPr>
            <w:tcW w:w="1073" w:type="dxa"/>
            <w:tcBorders>
              <w:top w:val="nil"/>
              <w:left w:val="nil"/>
              <w:bottom w:val="single" w:sz="4" w:space="0" w:color="auto"/>
              <w:right w:val="single" w:sz="4" w:space="0" w:color="auto"/>
            </w:tcBorders>
            <w:noWrap/>
            <w:hideMark/>
          </w:tcPr>
          <w:p w14:paraId="7C2CE6AA" w14:textId="77777777" w:rsidR="00EE35DE" w:rsidRPr="00F567E1" w:rsidRDefault="00EE35DE" w:rsidP="009A58EE">
            <w:pPr>
              <w:pStyle w:val="Normal-pool-Table"/>
              <w:jc w:val="right"/>
              <w:rPr>
                <w:szCs w:val="18"/>
                <w:lang w:val="es-ES_tradnl"/>
              </w:rPr>
            </w:pPr>
            <w:r w:rsidRPr="00F567E1">
              <w:rPr>
                <w:color w:val="000000"/>
                <w:lang w:val="es-ES_tradnl"/>
              </w:rPr>
              <w:t>0,0182</w:t>
            </w:r>
          </w:p>
        </w:tc>
        <w:tc>
          <w:tcPr>
            <w:tcW w:w="1293" w:type="dxa"/>
            <w:tcBorders>
              <w:top w:val="nil"/>
              <w:left w:val="nil"/>
              <w:bottom w:val="single" w:sz="4" w:space="0" w:color="auto"/>
              <w:right w:val="single" w:sz="4" w:space="0" w:color="auto"/>
            </w:tcBorders>
            <w:noWrap/>
            <w:hideMark/>
          </w:tcPr>
          <w:p w14:paraId="6199FF7E" w14:textId="77777777" w:rsidR="00EE35DE" w:rsidRPr="00F567E1" w:rsidRDefault="00EE35DE" w:rsidP="009A58EE">
            <w:pPr>
              <w:pStyle w:val="Normal-pool-Table"/>
              <w:jc w:val="right"/>
              <w:rPr>
                <w:szCs w:val="18"/>
                <w:lang w:val="es-ES_tradnl"/>
              </w:rPr>
            </w:pPr>
            <w:r w:rsidRPr="00F567E1">
              <w:rPr>
                <w:color w:val="000000"/>
                <w:lang w:val="es-ES_tradnl"/>
              </w:rPr>
              <w:t>560</w:t>
            </w:r>
          </w:p>
        </w:tc>
        <w:tc>
          <w:tcPr>
            <w:tcW w:w="1293" w:type="dxa"/>
            <w:tcBorders>
              <w:top w:val="nil"/>
              <w:left w:val="nil"/>
              <w:bottom w:val="single" w:sz="4" w:space="0" w:color="auto"/>
              <w:right w:val="single" w:sz="4" w:space="0" w:color="auto"/>
            </w:tcBorders>
            <w:noWrap/>
            <w:hideMark/>
          </w:tcPr>
          <w:p w14:paraId="6BEB68CD" w14:textId="77777777" w:rsidR="00EE35DE" w:rsidRPr="00F567E1" w:rsidRDefault="00EE35DE" w:rsidP="009A58EE">
            <w:pPr>
              <w:pStyle w:val="Normal-pool-Table"/>
              <w:jc w:val="right"/>
              <w:rPr>
                <w:szCs w:val="18"/>
                <w:lang w:val="es-ES_tradnl"/>
              </w:rPr>
            </w:pPr>
            <w:r w:rsidRPr="00F567E1">
              <w:rPr>
                <w:color w:val="000000"/>
                <w:lang w:val="es-ES_tradnl"/>
              </w:rPr>
              <w:t>739</w:t>
            </w:r>
          </w:p>
        </w:tc>
        <w:tc>
          <w:tcPr>
            <w:tcW w:w="1313" w:type="dxa"/>
            <w:tcBorders>
              <w:top w:val="nil"/>
              <w:left w:val="nil"/>
              <w:bottom w:val="single" w:sz="4" w:space="0" w:color="auto"/>
              <w:right w:val="single" w:sz="4" w:space="0" w:color="auto"/>
            </w:tcBorders>
            <w:noWrap/>
            <w:hideMark/>
          </w:tcPr>
          <w:p w14:paraId="41206D1E" w14:textId="77777777" w:rsidR="00EE35DE" w:rsidRPr="00F567E1" w:rsidRDefault="00EE35DE" w:rsidP="009A58EE">
            <w:pPr>
              <w:pStyle w:val="Normal-pool-Table"/>
              <w:jc w:val="right"/>
              <w:rPr>
                <w:szCs w:val="18"/>
                <w:lang w:val="es-ES_tradnl"/>
              </w:rPr>
            </w:pPr>
            <w:r w:rsidRPr="00F567E1">
              <w:rPr>
                <w:color w:val="000000"/>
                <w:lang w:val="es-ES_tradnl"/>
              </w:rPr>
              <w:t>1 299</w:t>
            </w:r>
          </w:p>
        </w:tc>
      </w:tr>
      <w:tr w:rsidR="00EE35DE" w:rsidRPr="00F567E1" w14:paraId="3F9B779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BA817FB" w14:textId="77777777" w:rsidR="00EE35DE" w:rsidRPr="00F567E1" w:rsidRDefault="00EE35DE" w:rsidP="009A58EE">
            <w:pPr>
              <w:pStyle w:val="Normal-pool-Table"/>
              <w:rPr>
                <w:szCs w:val="18"/>
                <w:lang w:val="es-ES_tradnl"/>
              </w:rPr>
            </w:pPr>
            <w:r w:rsidRPr="00F567E1">
              <w:rPr>
                <w:color w:val="000000"/>
                <w:lang w:val="es-ES_tradnl"/>
              </w:rPr>
              <w:t>107</w:t>
            </w:r>
          </w:p>
        </w:tc>
        <w:tc>
          <w:tcPr>
            <w:tcW w:w="2573" w:type="dxa"/>
            <w:tcBorders>
              <w:top w:val="nil"/>
              <w:left w:val="nil"/>
              <w:bottom w:val="single" w:sz="4" w:space="0" w:color="auto"/>
              <w:right w:val="single" w:sz="4" w:space="0" w:color="auto"/>
            </w:tcBorders>
            <w:noWrap/>
            <w:hideMark/>
          </w:tcPr>
          <w:p w14:paraId="2AACF5D7" w14:textId="77777777" w:rsidR="00EE35DE" w:rsidRPr="00F567E1" w:rsidRDefault="00EE35DE" w:rsidP="009A58EE">
            <w:pPr>
              <w:pStyle w:val="Normal-pool-Table"/>
              <w:rPr>
                <w:szCs w:val="18"/>
                <w:lang w:val="es-ES_tradnl"/>
              </w:rPr>
            </w:pPr>
            <w:r w:rsidRPr="00F567E1">
              <w:rPr>
                <w:color w:val="000000"/>
                <w:lang w:val="es-ES_tradnl"/>
              </w:rPr>
              <w:t>Brasil</w:t>
            </w:r>
          </w:p>
        </w:tc>
        <w:tc>
          <w:tcPr>
            <w:tcW w:w="1400" w:type="dxa"/>
            <w:tcBorders>
              <w:top w:val="nil"/>
              <w:left w:val="nil"/>
              <w:bottom w:val="single" w:sz="4" w:space="0" w:color="auto"/>
              <w:right w:val="single" w:sz="4" w:space="0" w:color="auto"/>
            </w:tcBorders>
            <w:noWrap/>
            <w:hideMark/>
          </w:tcPr>
          <w:p w14:paraId="4860041C" w14:textId="77777777" w:rsidR="00EE35DE" w:rsidRPr="00F567E1" w:rsidRDefault="00EE35DE" w:rsidP="009A58EE">
            <w:pPr>
              <w:pStyle w:val="Normal-pool-Table"/>
              <w:jc w:val="right"/>
              <w:rPr>
                <w:szCs w:val="18"/>
                <w:lang w:val="es-ES_tradnl"/>
              </w:rPr>
            </w:pPr>
            <w:r w:rsidRPr="00F567E1">
              <w:rPr>
                <w:color w:val="000000"/>
                <w:lang w:val="es-ES_tradnl"/>
              </w:rPr>
              <w:t>1,411</w:t>
            </w:r>
          </w:p>
        </w:tc>
        <w:tc>
          <w:tcPr>
            <w:tcW w:w="1073" w:type="dxa"/>
            <w:tcBorders>
              <w:top w:val="nil"/>
              <w:left w:val="nil"/>
              <w:bottom w:val="single" w:sz="4" w:space="0" w:color="auto"/>
              <w:right w:val="single" w:sz="4" w:space="0" w:color="auto"/>
            </w:tcBorders>
            <w:noWrap/>
            <w:hideMark/>
          </w:tcPr>
          <w:p w14:paraId="268A7932" w14:textId="77777777" w:rsidR="00EE35DE" w:rsidRPr="00F567E1" w:rsidRDefault="00EE35DE" w:rsidP="009A58EE">
            <w:pPr>
              <w:pStyle w:val="Normal-pool-Table"/>
              <w:jc w:val="right"/>
              <w:rPr>
                <w:szCs w:val="18"/>
                <w:lang w:val="es-ES_tradnl"/>
              </w:rPr>
            </w:pPr>
            <w:r w:rsidRPr="00F567E1">
              <w:rPr>
                <w:color w:val="000000"/>
                <w:lang w:val="es-ES_tradnl"/>
              </w:rPr>
              <w:t>1,4241</w:t>
            </w:r>
          </w:p>
        </w:tc>
        <w:tc>
          <w:tcPr>
            <w:tcW w:w="1293" w:type="dxa"/>
            <w:tcBorders>
              <w:top w:val="nil"/>
              <w:left w:val="nil"/>
              <w:bottom w:val="single" w:sz="4" w:space="0" w:color="auto"/>
              <w:right w:val="single" w:sz="4" w:space="0" w:color="auto"/>
            </w:tcBorders>
            <w:noWrap/>
            <w:hideMark/>
          </w:tcPr>
          <w:p w14:paraId="29583088" w14:textId="77777777" w:rsidR="00EE35DE" w:rsidRPr="00F567E1" w:rsidRDefault="00EE35DE" w:rsidP="009A58EE">
            <w:pPr>
              <w:pStyle w:val="Normal-pool-Table"/>
              <w:jc w:val="right"/>
              <w:rPr>
                <w:szCs w:val="18"/>
                <w:lang w:val="es-ES_tradnl"/>
              </w:rPr>
            </w:pPr>
            <w:r w:rsidRPr="00F567E1">
              <w:rPr>
                <w:color w:val="000000"/>
                <w:lang w:val="es-ES_tradnl"/>
              </w:rPr>
              <w:t>43 911</w:t>
            </w:r>
          </w:p>
        </w:tc>
        <w:tc>
          <w:tcPr>
            <w:tcW w:w="1293" w:type="dxa"/>
            <w:tcBorders>
              <w:top w:val="nil"/>
              <w:left w:val="nil"/>
              <w:bottom w:val="single" w:sz="4" w:space="0" w:color="auto"/>
              <w:right w:val="single" w:sz="4" w:space="0" w:color="auto"/>
            </w:tcBorders>
            <w:noWrap/>
            <w:hideMark/>
          </w:tcPr>
          <w:p w14:paraId="374AA22E" w14:textId="77777777" w:rsidR="00EE35DE" w:rsidRPr="00F567E1" w:rsidRDefault="00EE35DE" w:rsidP="009A58EE">
            <w:pPr>
              <w:pStyle w:val="Normal-pool-Table"/>
              <w:jc w:val="right"/>
              <w:rPr>
                <w:szCs w:val="18"/>
                <w:lang w:val="es-ES_tradnl"/>
              </w:rPr>
            </w:pPr>
            <w:r w:rsidRPr="00F567E1">
              <w:rPr>
                <w:color w:val="000000"/>
                <w:lang w:val="es-ES_tradnl"/>
              </w:rPr>
              <w:t>57 952</w:t>
            </w:r>
          </w:p>
        </w:tc>
        <w:tc>
          <w:tcPr>
            <w:tcW w:w="1313" w:type="dxa"/>
            <w:tcBorders>
              <w:top w:val="nil"/>
              <w:left w:val="nil"/>
              <w:bottom w:val="single" w:sz="4" w:space="0" w:color="auto"/>
              <w:right w:val="single" w:sz="4" w:space="0" w:color="auto"/>
            </w:tcBorders>
            <w:noWrap/>
            <w:hideMark/>
          </w:tcPr>
          <w:p w14:paraId="453C9135" w14:textId="77777777" w:rsidR="00EE35DE" w:rsidRPr="00F567E1" w:rsidRDefault="00EE35DE" w:rsidP="009A58EE">
            <w:pPr>
              <w:pStyle w:val="Normal-pool-Table"/>
              <w:jc w:val="right"/>
              <w:rPr>
                <w:szCs w:val="18"/>
                <w:lang w:val="es-ES_tradnl"/>
              </w:rPr>
            </w:pPr>
            <w:r w:rsidRPr="00F567E1">
              <w:rPr>
                <w:color w:val="000000"/>
                <w:lang w:val="es-ES_tradnl"/>
              </w:rPr>
              <w:t>101 863</w:t>
            </w:r>
          </w:p>
        </w:tc>
      </w:tr>
      <w:tr w:rsidR="00EE35DE" w:rsidRPr="00F567E1" w14:paraId="19F342F0"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A46E34C" w14:textId="77777777" w:rsidR="00EE35DE" w:rsidRPr="00F567E1" w:rsidRDefault="00EE35DE" w:rsidP="009A58EE">
            <w:pPr>
              <w:pStyle w:val="Normal-pool-Table"/>
              <w:rPr>
                <w:szCs w:val="18"/>
                <w:lang w:val="es-ES_tradnl"/>
              </w:rPr>
            </w:pPr>
            <w:r w:rsidRPr="00F567E1">
              <w:rPr>
                <w:color w:val="000000"/>
                <w:lang w:val="es-ES_tradnl"/>
              </w:rPr>
              <w:t>108</w:t>
            </w:r>
          </w:p>
        </w:tc>
        <w:tc>
          <w:tcPr>
            <w:tcW w:w="2573" w:type="dxa"/>
            <w:tcBorders>
              <w:top w:val="nil"/>
              <w:left w:val="nil"/>
              <w:bottom w:val="single" w:sz="4" w:space="0" w:color="auto"/>
              <w:right w:val="single" w:sz="4" w:space="0" w:color="auto"/>
            </w:tcBorders>
            <w:noWrap/>
            <w:hideMark/>
          </w:tcPr>
          <w:p w14:paraId="1C8AAA7C" w14:textId="77777777" w:rsidR="00EE35DE" w:rsidRPr="00F567E1" w:rsidRDefault="00EE35DE" w:rsidP="009A58EE">
            <w:pPr>
              <w:pStyle w:val="Normal-pool-Table"/>
              <w:rPr>
                <w:szCs w:val="18"/>
                <w:lang w:val="es-ES_tradnl"/>
              </w:rPr>
            </w:pPr>
            <w:r w:rsidRPr="00F567E1">
              <w:rPr>
                <w:color w:val="000000"/>
                <w:lang w:val="es-ES_tradnl"/>
              </w:rPr>
              <w:t>Chile</w:t>
            </w:r>
          </w:p>
        </w:tc>
        <w:tc>
          <w:tcPr>
            <w:tcW w:w="1400" w:type="dxa"/>
            <w:tcBorders>
              <w:top w:val="nil"/>
              <w:left w:val="nil"/>
              <w:bottom w:val="single" w:sz="4" w:space="0" w:color="auto"/>
              <w:right w:val="single" w:sz="4" w:space="0" w:color="auto"/>
            </w:tcBorders>
            <w:noWrap/>
            <w:hideMark/>
          </w:tcPr>
          <w:p w14:paraId="0EBB22A7" w14:textId="77777777" w:rsidR="00EE35DE" w:rsidRPr="00F567E1" w:rsidRDefault="00EE35DE" w:rsidP="009A58EE">
            <w:pPr>
              <w:pStyle w:val="Normal-pool-Table"/>
              <w:jc w:val="right"/>
              <w:rPr>
                <w:szCs w:val="18"/>
                <w:lang w:val="es-ES_tradnl"/>
              </w:rPr>
            </w:pPr>
            <w:r w:rsidRPr="00F567E1">
              <w:rPr>
                <w:color w:val="000000"/>
                <w:lang w:val="es-ES_tradnl"/>
              </w:rPr>
              <w:t>0,374</w:t>
            </w:r>
          </w:p>
        </w:tc>
        <w:tc>
          <w:tcPr>
            <w:tcW w:w="1073" w:type="dxa"/>
            <w:tcBorders>
              <w:top w:val="nil"/>
              <w:left w:val="nil"/>
              <w:bottom w:val="single" w:sz="4" w:space="0" w:color="auto"/>
              <w:right w:val="single" w:sz="4" w:space="0" w:color="auto"/>
            </w:tcBorders>
            <w:noWrap/>
            <w:hideMark/>
          </w:tcPr>
          <w:p w14:paraId="3C2D1EB6" w14:textId="77777777" w:rsidR="00EE35DE" w:rsidRPr="00F567E1" w:rsidRDefault="00EE35DE" w:rsidP="009A58EE">
            <w:pPr>
              <w:pStyle w:val="Normal-pool-Table"/>
              <w:jc w:val="right"/>
              <w:rPr>
                <w:szCs w:val="18"/>
                <w:lang w:val="es-ES_tradnl"/>
              </w:rPr>
            </w:pPr>
            <w:r w:rsidRPr="00F567E1">
              <w:rPr>
                <w:color w:val="000000"/>
                <w:lang w:val="es-ES_tradnl"/>
              </w:rPr>
              <w:t>0,3775</w:t>
            </w:r>
          </w:p>
        </w:tc>
        <w:tc>
          <w:tcPr>
            <w:tcW w:w="1293" w:type="dxa"/>
            <w:tcBorders>
              <w:top w:val="nil"/>
              <w:left w:val="nil"/>
              <w:bottom w:val="single" w:sz="4" w:space="0" w:color="auto"/>
              <w:right w:val="single" w:sz="4" w:space="0" w:color="auto"/>
            </w:tcBorders>
            <w:noWrap/>
            <w:hideMark/>
          </w:tcPr>
          <w:p w14:paraId="29FFEEE1" w14:textId="77777777" w:rsidR="00EE35DE" w:rsidRPr="00F567E1" w:rsidRDefault="00EE35DE" w:rsidP="009A58EE">
            <w:pPr>
              <w:pStyle w:val="Normal-pool-Table"/>
              <w:jc w:val="right"/>
              <w:rPr>
                <w:szCs w:val="18"/>
                <w:lang w:val="es-ES_tradnl"/>
              </w:rPr>
            </w:pPr>
            <w:r w:rsidRPr="00F567E1">
              <w:rPr>
                <w:color w:val="000000"/>
                <w:lang w:val="es-ES_tradnl"/>
              </w:rPr>
              <w:t>11 639</w:t>
            </w:r>
          </w:p>
        </w:tc>
        <w:tc>
          <w:tcPr>
            <w:tcW w:w="1293" w:type="dxa"/>
            <w:tcBorders>
              <w:top w:val="nil"/>
              <w:left w:val="nil"/>
              <w:bottom w:val="single" w:sz="4" w:space="0" w:color="auto"/>
              <w:right w:val="single" w:sz="4" w:space="0" w:color="auto"/>
            </w:tcBorders>
            <w:noWrap/>
            <w:hideMark/>
          </w:tcPr>
          <w:p w14:paraId="5A7C0182" w14:textId="77777777" w:rsidR="00EE35DE" w:rsidRPr="00F567E1" w:rsidRDefault="00EE35DE" w:rsidP="009A58EE">
            <w:pPr>
              <w:pStyle w:val="Normal-pool-Table"/>
              <w:jc w:val="right"/>
              <w:rPr>
                <w:szCs w:val="18"/>
                <w:lang w:val="es-ES_tradnl"/>
              </w:rPr>
            </w:pPr>
            <w:r w:rsidRPr="00F567E1">
              <w:rPr>
                <w:color w:val="000000"/>
                <w:lang w:val="es-ES_tradnl"/>
              </w:rPr>
              <w:t>15 361</w:t>
            </w:r>
          </w:p>
        </w:tc>
        <w:tc>
          <w:tcPr>
            <w:tcW w:w="1313" w:type="dxa"/>
            <w:tcBorders>
              <w:top w:val="nil"/>
              <w:left w:val="nil"/>
              <w:bottom w:val="single" w:sz="4" w:space="0" w:color="auto"/>
              <w:right w:val="single" w:sz="4" w:space="0" w:color="auto"/>
            </w:tcBorders>
            <w:noWrap/>
            <w:hideMark/>
          </w:tcPr>
          <w:p w14:paraId="6252B4E9" w14:textId="77777777" w:rsidR="00EE35DE" w:rsidRPr="00F567E1" w:rsidRDefault="00EE35DE" w:rsidP="009A58EE">
            <w:pPr>
              <w:pStyle w:val="Normal-pool-Table"/>
              <w:jc w:val="right"/>
              <w:rPr>
                <w:szCs w:val="18"/>
                <w:lang w:val="es-ES_tradnl"/>
              </w:rPr>
            </w:pPr>
            <w:r w:rsidRPr="00F567E1">
              <w:rPr>
                <w:color w:val="000000"/>
                <w:lang w:val="es-ES_tradnl"/>
              </w:rPr>
              <w:t>27 000</w:t>
            </w:r>
          </w:p>
        </w:tc>
      </w:tr>
      <w:tr w:rsidR="00EE35DE" w:rsidRPr="00F567E1" w14:paraId="1954B90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45BA112" w14:textId="77777777" w:rsidR="00EE35DE" w:rsidRPr="00F567E1" w:rsidRDefault="00EE35DE" w:rsidP="009A58EE">
            <w:pPr>
              <w:pStyle w:val="Normal-pool-Table"/>
              <w:rPr>
                <w:szCs w:val="18"/>
                <w:lang w:val="es-ES_tradnl"/>
              </w:rPr>
            </w:pPr>
            <w:r w:rsidRPr="00F567E1">
              <w:rPr>
                <w:color w:val="000000"/>
                <w:lang w:val="es-ES_tradnl"/>
              </w:rPr>
              <w:t>109</w:t>
            </w:r>
          </w:p>
        </w:tc>
        <w:tc>
          <w:tcPr>
            <w:tcW w:w="2573" w:type="dxa"/>
            <w:tcBorders>
              <w:top w:val="nil"/>
              <w:left w:val="nil"/>
              <w:bottom w:val="single" w:sz="4" w:space="0" w:color="auto"/>
              <w:right w:val="single" w:sz="4" w:space="0" w:color="auto"/>
            </w:tcBorders>
            <w:noWrap/>
            <w:hideMark/>
          </w:tcPr>
          <w:p w14:paraId="6A3EE5A3" w14:textId="77777777" w:rsidR="00EE35DE" w:rsidRPr="00F567E1" w:rsidRDefault="00EE35DE" w:rsidP="009A58EE">
            <w:pPr>
              <w:pStyle w:val="Normal-pool-Table"/>
              <w:rPr>
                <w:szCs w:val="18"/>
                <w:lang w:val="es-ES_tradnl"/>
              </w:rPr>
            </w:pPr>
            <w:r w:rsidRPr="00F567E1">
              <w:rPr>
                <w:color w:val="000000"/>
                <w:lang w:val="es-ES_tradnl"/>
              </w:rPr>
              <w:t>Colombia</w:t>
            </w:r>
          </w:p>
        </w:tc>
        <w:tc>
          <w:tcPr>
            <w:tcW w:w="1400" w:type="dxa"/>
            <w:tcBorders>
              <w:top w:val="nil"/>
              <w:left w:val="nil"/>
              <w:bottom w:val="single" w:sz="4" w:space="0" w:color="auto"/>
              <w:right w:val="single" w:sz="4" w:space="0" w:color="auto"/>
            </w:tcBorders>
            <w:noWrap/>
            <w:hideMark/>
          </w:tcPr>
          <w:p w14:paraId="09FC7D9A" w14:textId="77777777" w:rsidR="00EE35DE" w:rsidRPr="00F567E1" w:rsidRDefault="00EE35DE" w:rsidP="009A58EE">
            <w:pPr>
              <w:pStyle w:val="Normal-pool-Table"/>
              <w:jc w:val="right"/>
              <w:rPr>
                <w:szCs w:val="18"/>
                <w:lang w:val="es-ES_tradnl"/>
              </w:rPr>
            </w:pPr>
            <w:r w:rsidRPr="00F567E1">
              <w:rPr>
                <w:color w:val="000000"/>
                <w:lang w:val="es-ES_tradnl"/>
              </w:rPr>
              <w:t>0,197</w:t>
            </w:r>
          </w:p>
        </w:tc>
        <w:tc>
          <w:tcPr>
            <w:tcW w:w="1073" w:type="dxa"/>
            <w:tcBorders>
              <w:top w:val="nil"/>
              <w:left w:val="nil"/>
              <w:bottom w:val="single" w:sz="4" w:space="0" w:color="auto"/>
              <w:right w:val="single" w:sz="4" w:space="0" w:color="auto"/>
            </w:tcBorders>
            <w:noWrap/>
            <w:hideMark/>
          </w:tcPr>
          <w:p w14:paraId="366B3930" w14:textId="77777777" w:rsidR="00EE35DE" w:rsidRPr="00F567E1" w:rsidRDefault="00EE35DE" w:rsidP="009A58EE">
            <w:pPr>
              <w:pStyle w:val="Normal-pool-Table"/>
              <w:jc w:val="right"/>
              <w:rPr>
                <w:szCs w:val="18"/>
                <w:lang w:val="es-ES_tradnl"/>
              </w:rPr>
            </w:pPr>
            <w:r w:rsidRPr="00F567E1">
              <w:rPr>
                <w:color w:val="000000"/>
                <w:lang w:val="es-ES_tradnl"/>
              </w:rPr>
              <w:t>0,1988</w:t>
            </w:r>
          </w:p>
        </w:tc>
        <w:tc>
          <w:tcPr>
            <w:tcW w:w="1293" w:type="dxa"/>
            <w:tcBorders>
              <w:top w:val="nil"/>
              <w:left w:val="nil"/>
              <w:bottom w:val="single" w:sz="4" w:space="0" w:color="auto"/>
              <w:right w:val="single" w:sz="4" w:space="0" w:color="auto"/>
            </w:tcBorders>
            <w:noWrap/>
            <w:hideMark/>
          </w:tcPr>
          <w:p w14:paraId="4A7DC1C6" w14:textId="77777777" w:rsidR="00EE35DE" w:rsidRPr="00F567E1" w:rsidRDefault="00EE35DE" w:rsidP="009A58EE">
            <w:pPr>
              <w:pStyle w:val="Normal-pool-Table"/>
              <w:jc w:val="right"/>
              <w:rPr>
                <w:szCs w:val="18"/>
                <w:lang w:val="es-ES_tradnl"/>
              </w:rPr>
            </w:pPr>
            <w:r w:rsidRPr="00F567E1">
              <w:rPr>
                <w:color w:val="000000"/>
                <w:lang w:val="es-ES_tradnl"/>
              </w:rPr>
              <w:t>6 131</w:t>
            </w:r>
          </w:p>
        </w:tc>
        <w:tc>
          <w:tcPr>
            <w:tcW w:w="1293" w:type="dxa"/>
            <w:tcBorders>
              <w:top w:val="nil"/>
              <w:left w:val="nil"/>
              <w:bottom w:val="single" w:sz="4" w:space="0" w:color="auto"/>
              <w:right w:val="single" w:sz="4" w:space="0" w:color="auto"/>
            </w:tcBorders>
            <w:noWrap/>
            <w:hideMark/>
          </w:tcPr>
          <w:p w14:paraId="557FB2E1" w14:textId="77777777" w:rsidR="00EE35DE" w:rsidRPr="00F567E1" w:rsidRDefault="00EE35DE" w:rsidP="009A58EE">
            <w:pPr>
              <w:pStyle w:val="Normal-pool-Table"/>
              <w:jc w:val="right"/>
              <w:rPr>
                <w:szCs w:val="18"/>
                <w:lang w:val="es-ES_tradnl"/>
              </w:rPr>
            </w:pPr>
            <w:r w:rsidRPr="00F567E1">
              <w:rPr>
                <w:color w:val="000000"/>
                <w:lang w:val="es-ES_tradnl"/>
              </w:rPr>
              <w:t>8 091</w:t>
            </w:r>
          </w:p>
        </w:tc>
        <w:tc>
          <w:tcPr>
            <w:tcW w:w="1313" w:type="dxa"/>
            <w:tcBorders>
              <w:top w:val="nil"/>
              <w:left w:val="nil"/>
              <w:bottom w:val="single" w:sz="4" w:space="0" w:color="auto"/>
              <w:right w:val="single" w:sz="4" w:space="0" w:color="auto"/>
            </w:tcBorders>
            <w:noWrap/>
            <w:hideMark/>
          </w:tcPr>
          <w:p w14:paraId="1EFE356F" w14:textId="77777777" w:rsidR="00EE35DE" w:rsidRPr="00F567E1" w:rsidRDefault="00EE35DE" w:rsidP="009A58EE">
            <w:pPr>
              <w:pStyle w:val="Normal-pool-Table"/>
              <w:jc w:val="right"/>
              <w:rPr>
                <w:szCs w:val="18"/>
                <w:lang w:val="es-ES_tradnl"/>
              </w:rPr>
            </w:pPr>
            <w:r w:rsidRPr="00F567E1">
              <w:rPr>
                <w:color w:val="000000"/>
                <w:lang w:val="es-ES_tradnl"/>
              </w:rPr>
              <w:t>14 222</w:t>
            </w:r>
          </w:p>
        </w:tc>
      </w:tr>
      <w:tr w:rsidR="00EE35DE" w:rsidRPr="00F567E1" w14:paraId="7995CCF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24BAD0A" w14:textId="77777777" w:rsidR="00EE35DE" w:rsidRPr="00F567E1" w:rsidRDefault="00EE35DE" w:rsidP="009A58EE">
            <w:pPr>
              <w:pStyle w:val="Normal-pool-Table"/>
              <w:rPr>
                <w:szCs w:val="18"/>
                <w:lang w:val="es-ES_tradnl"/>
              </w:rPr>
            </w:pPr>
            <w:r w:rsidRPr="00F567E1">
              <w:rPr>
                <w:color w:val="000000"/>
                <w:lang w:val="es-ES_tradnl"/>
              </w:rPr>
              <w:t>110</w:t>
            </w:r>
          </w:p>
        </w:tc>
        <w:tc>
          <w:tcPr>
            <w:tcW w:w="2573" w:type="dxa"/>
            <w:tcBorders>
              <w:top w:val="nil"/>
              <w:left w:val="nil"/>
              <w:bottom w:val="single" w:sz="4" w:space="0" w:color="auto"/>
              <w:right w:val="single" w:sz="4" w:space="0" w:color="auto"/>
            </w:tcBorders>
            <w:noWrap/>
            <w:hideMark/>
          </w:tcPr>
          <w:p w14:paraId="0C3A54DE" w14:textId="77777777" w:rsidR="00EE35DE" w:rsidRPr="00F567E1" w:rsidRDefault="00EE35DE" w:rsidP="009A58EE">
            <w:pPr>
              <w:pStyle w:val="Normal-pool-Table"/>
              <w:rPr>
                <w:szCs w:val="18"/>
                <w:lang w:val="es-ES_tradnl"/>
              </w:rPr>
            </w:pPr>
            <w:r w:rsidRPr="00F567E1">
              <w:rPr>
                <w:color w:val="000000"/>
                <w:lang w:val="es-ES_tradnl"/>
              </w:rPr>
              <w:t>Costa Rica</w:t>
            </w:r>
          </w:p>
        </w:tc>
        <w:tc>
          <w:tcPr>
            <w:tcW w:w="1400" w:type="dxa"/>
            <w:tcBorders>
              <w:top w:val="nil"/>
              <w:left w:val="nil"/>
              <w:bottom w:val="single" w:sz="4" w:space="0" w:color="auto"/>
              <w:right w:val="single" w:sz="4" w:space="0" w:color="auto"/>
            </w:tcBorders>
            <w:noWrap/>
            <w:hideMark/>
          </w:tcPr>
          <w:p w14:paraId="34D68245" w14:textId="77777777" w:rsidR="00EE35DE" w:rsidRPr="00F567E1" w:rsidRDefault="00EE35DE" w:rsidP="009A58EE">
            <w:pPr>
              <w:pStyle w:val="Normal-pool-Table"/>
              <w:jc w:val="right"/>
              <w:rPr>
                <w:szCs w:val="18"/>
                <w:lang w:val="es-ES_tradnl"/>
              </w:rPr>
            </w:pPr>
            <w:r w:rsidRPr="00F567E1">
              <w:rPr>
                <w:color w:val="000000"/>
                <w:lang w:val="es-ES_tradnl"/>
              </w:rPr>
              <w:t>0,063</w:t>
            </w:r>
          </w:p>
        </w:tc>
        <w:tc>
          <w:tcPr>
            <w:tcW w:w="1073" w:type="dxa"/>
            <w:tcBorders>
              <w:top w:val="nil"/>
              <w:left w:val="nil"/>
              <w:bottom w:val="single" w:sz="4" w:space="0" w:color="auto"/>
              <w:right w:val="single" w:sz="4" w:space="0" w:color="auto"/>
            </w:tcBorders>
            <w:noWrap/>
            <w:hideMark/>
          </w:tcPr>
          <w:p w14:paraId="24505EB2" w14:textId="77777777" w:rsidR="00EE35DE" w:rsidRPr="00F567E1" w:rsidRDefault="00EE35DE" w:rsidP="009A58EE">
            <w:pPr>
              <w:pStyle w:val="Normal-pool-Table"/>
              <w:jc w:val="right"/>
              <w:rPr>
                <w:szCs w:val="18"/>
                <w:lang w:val="es-ES_tradnl"/>
              </w:rPr>
            </w:pPr>
            <w:r w:rsidRPr="00F567E1">
              <w:rPr>
                <w:color w:val="000000"/>
                <w:lang w:val="es-ES_tradnl"/>
              </w:rPr>
              <w:t>0,0636</w:t>
            </w:r>
          </w:p>
        </w:tc>
        <w:tc>
          <w:tcPr>
            <w:tcW w:w="1293" w:type="dxa"/>
            <w:tcBorders>
              <w:top w:val="nil"/>
              <w:left w:val="nil"/>
              <w:bottom w:val="single" w:sz="4" w:space="0" w:color="auto"/>
              <w:right w:val="single" w:sz="4" w:space="0" w:color="auto"/>
            </w:tcBorders>
            <w:noWrap/>
            <w:hideMark/>
          </w:tcPr>
          <w:p w14:paraId="3A4D8D09" w14:textId="77777777" w:rsidR="00EE35DE" w:rsidRPr="00F567E1" w:rsidRDefault="00EE35DE" w:rsidP="009A58EE">
            <w:pPr>
              <w:pStyle w:val="Normal-pool-Table"/>
              <w:jc w:val="right"/>
              <w:rPr>
                <w:szCs w:val="18"/>
                <w:lang w:val="es-ES_tradnl"/>
              </w:rPr>
            </w:pPr>
            <w:r w:rsidRPr="00F567E1">
              <w:rPr>
                <w:color w:val="000000"/>
                <w:lang w:val="es-ES_tradnl"/>
              </w:rPr>
              <w:t>1 961</w:t>
            </w:r>
          </w:p>
        </w:tc>
        <w:tc>
          <w:tcPr>
            <w:tcW w:w="1293" w:type="dxa"/>
            <w:tcBorders>
              <w:top w:val="nil"/>
              <w:left w:val="nil"/>
              <w:bottom w:val="single" w:sz="4" w:space="0" w:color="auto"/>
              <w:right w:val="single" w:sz="4" w:space="0" w:color="auto"/>
            </w:tcBorders>
            <w:noWrap/>
            <w:hideMark/>
          </w:tcPr>
          <w:p w14:paraId="4C2858DA" w14:textId="77777777" w:rsidR="00EE35DE" w:rsidRPr="00F567E1" w:rsidRDefault="00EE35DE" w:rsidP="009A58EE">
            <w:pPr>
              <w:pStyle w:val="Normal-pool-Table"/>
              <w:jc w:val="right"/>
              <w:rPr>
                <w:szCs w:val="18"/>
                <w:lang w:val="es-ES_tradnl"/>
              </w:rPr>
            </w:pPr>
            <w:r w:rsidRPr="00F567E1">
              <w:rPr>
                <w:color w:val="000000"/>
                <w:lang w:val="es-ES_tradnl"/>
              </w:rPr>
              <w:t>2 588</w:t>
            </w:r>
          </w:p>
        </w:tc>
        <w:tc>
          <w:tcPr>
            <w:tcW w:w="1313" w:type="dxa"/>
            <w:tcBorders>
              <w:top w:val="nil"/>
              <w:left w:val="nil"/>
              <w:bottom w:val="single" w:sz="4" w:space="0" w:color="auto"/>
              <w:right w:val="single" w:sz="4" w:space="0" w:color="auto"/>
            </w:tcBorders>
            <w:noWrap/>
            <w:hideMark/>
          </w:tcPr>
          <w:p w14:paraId="42E58115" w14:textId="77777777" w:rsidR="00EE35DE" w:rsidRPr="00F567E1" w:rsidRDefault="00EE35DE" w:rsidP="009A58EE">
            <w:pPr>
              <w:pStyle w:val="Normal-pool-Table"/>
              <w:jc w:val="right"/>
              <w:rPr>
                <w:szCs w:val="18"/>
                <w:lang w:val="es-ES_tradnl"/>
              </w:rPr>
            </w:pPr>
            <w:r w:rsidRPr="00F567E1">
              <w:rPr>
                <w:color w:val="000000"/>
                <w:lang w:val="es-ES_tradnl"/>
              </w:rPr>
              <w:t>4 548</w:t>
            </w:r>
          </w:p>
        </w:tc>
      </w:tr>
      <w:tr w:rsidR="00EE35DE" w:rsidRPr="00F567E1" w14:paraId="3FE0E22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2E4B40A" w14:textId="77777777" w:rsidR="00EE35DE" w:rsidRPr="00F567E1" w:rsidRDefault="00EE35DE" w:rsidP="009A58EE">
            <w:pPr>
              <w:pStyle w:val="Normal-pool-Table"/>
              <w:rPr>
                <w:szCs w:val="18"/>
                <w:lang w:val="es-ES_tradnl"/>
              </w:rPr>
            </w:pPr>
            <w:r w:rsidRPr="00F567E1">
              <w:rPr>
                <w:color w:val="000000"/>
                <w:lang w:val="es-ES_tradnl"/>
              </w:rPr>
              <w:t>111</w:t>
            </w:r>
          </w:p>
        </w:tc>
        <w:tc>
          <w:tcPr>
            <w:tcW w:w="2573" w:type="dxa"/>
            <w:tcBorders>
              <w:top w:val="nil"/>
              <w:left w:val="nil"/>
              <w:bottom w:val="single" w:sz="4" w:space="0" w:color="auto"/>
              <w:right w:val="single" w:sz="4" w:space="0" w:color="auto"/>
            </w:tcBorders>
            <w:noWrap/>
            <w:hideMark/>
          </w:tcPr>
          <w:p w14:paraId="1ADB9FCE" w14:textId="77777777" w:rsidR="00EE35DE" w:rsidRPr="00F567E1" w:rsidRDefault="00EE35DE" w:rsidP="009A58EE">
            <w:pPr>
              <w:pStyle w:val="Normal-pool-Table"/>
              <w:rPr>
                <w:szCs w:val="18"/>
                <w:lang w:val="es-ES_tradnl"/>
              </w:rPr>
            </w:pPr>
            <w:r w:rsidRPr="00F567E1">
              <w:rPr>
                <w:color w:val="000000"/>
                <w:lang w:val="es-ES_tradnl"/>
              </w:rPr>
              <w:t>Cuba</w:t>
            </w:r>
          </w:p>
        </w:tc>
        <w:tc>
          <w:tcPr>
            <w:tcW w:w="1400" w:type="dxa"/>
            <w:tcBorders>
              <w:top w:val="nil"/>
              <w:left w:val="nil"/>
              <w:bottom w:val="single" w:sz="4" w:space="0" w:color="auto"/>
              <w:right w:val="single" w:sz="4" w:space="0" w:color="auto"/>
            </w:tcBorders>
            <w:noWrap/>
            <w:hideMark/>
          </w:tcPr>
          <w:p w14:paraId="768E4FD7" w14:textId="77777777" w:rsidR="00EE35DE" w:rsidRPr="00F567E1" w:rsidRDefault="00EE35DE" w:rsidP="009A58EE">
            <w:pPr>
              <w:pStyle w:val="Normal-pool-Table"/>
              <w:jc w:val="right"/>
              <w:rPr>
                <w:szCs w:val="18"/>
                <w:lang w:val="es-ES_tradnl"/>
              </w:rPr>
            </w:pPr>
            <w:r w:rsidRPr="00F567E1">
              <w:rPr>
                <w:color w:val="000000"/>
                <w:lang w:val="es-ES_tradnl"/>
              </w:rPr>
              <w:t>0,122</w:t>
            </w:r>
          </w:p>
        </w:tc>
        <w:tc>
          <w:tcPr>
            <w:tcW w:w="1073" w:type="dxa"/>
            <w:tcBorders>
              <w:top w:val="nil"/>
              <w:left w:val="nil"/>
              <w:bottom w:val="single" w:sz="4" w:space="0" w:color="auto"/>
              <w:right w:val="single" w:sz="4" w:space="0" w:color="auto"/>
            </w:tcBorders>
            <w:noWrap/>
            <w:hideMark/>
          </w:tcPr>
          <w:p w14:paraId="4C99F02D" w14:textId="77777777" w:rsidR="00EE35DE" w:rsidRPr="00F567E1" w:rsidRDefault="00EE35DE" w:rsidP="009A58EE">
            <w:pPr>
              <w:pStyle w:val="Normal-pool-Table"/>
              <w:jc w:val="right"/>
              <w:rPr>
                <w:szCs w:val="18"/>
                <w:lang w:val="es-ES_tradnl"/>
              </w:rPr>
            </w:pPr>
            <w:r w:rsidRPr="00F567E1">
              <w:rPr>
                <w:color w:val="000000"/>
                <w:lang w:val="es-ES_tradnl"/>
              </w:rPr>
              <w:t>0,1231</w:t>
            </w:r>
          </w:p>
        </w:tc>
        <w:tc>
          <w:tcPr>
            <w:tcW w:w="1293" w:type="dxa"/>
            <w:tcBorders>
              <w:top w:val="nil"/>
              <w:left w:val="nil"/>
              <w:bottom w:val="single" w:sz="4" w:space="0" w:color="auto"/>
              <w:right w:val="single" w:sz="4" w:space="0" w:color="auto"/>
            </w:tcBorders>
            <w:noWrap/>
            <w:hideMark/>
          </w:tcPr>
          <w:p w14:paraId="489FDEF7" w14:textId="77777777" w:rsidR="00EE35DE" w:rsidRPr="00F567E1" w:rsidRDefault="00EE35DE" w:rsidP="009A58EE">
            <w:pPr>
              <w:pStyle w:val="Normal-pool-Table"/>
              <w:jc w:val="right"/>
              <w:rPr>
                <w:szCs w:val="18"/>
                <w:lang w:val="es-ES_tradnl"/>
              </w:rPr>
            </w:pPr>
            <w:r w:rsidRPr="00F567E1">
              <w:rPr>
                <w:color w:val="000000"/>
                <w:lang w:val="es-ES_tradnl"/>
              </w:rPr>
              <w:t>3 797</w:t>
            </w:r>
          </w:p>
        </w:tc>
        <w:tc>
          <w:tcPr>
            <w:tcW w:w="1293" w:type="dxa"/>
            <w:tcBorders>
              <w:top w:val="nil"/>
              <w:left w:val="nil"/>
              <w:bottom w:val="single" w:sz="4" w:space="0" w:color="auto"/>
              <w:right w:val="single" w:sz="4" w:space="0" w:color="auto"/>
            </w:tcBorders>
            <w:noWrap/>
            <w:hideMark/>
          </w:tcPr>
          <w:p w14:paraId="383983CC" w14:textId="77777777" w:rsidR="00EE35DE" w:rsidRPr="00F567E1" w:rsidRDefault="00EE35DE" w:rsidP="009A58EE">
            <w:pPr>
              <w:pStyle w:val="Normal-pool-Table"/>
              <w:jc w:val="right"/>
              <w:rPr>
                <w:szCs w:val="18"/>
                <w:lang w:val="es-ES_tradnl"/>
              </w:rPr>
            </w:pPr>
            <w:r w:rsidRPr="00F567E1">
              <w:rPr>
                <w:color w:val="000000"/>
                <w:lang w:val="es-ES_tradnl"/>
              </w:rPr>
              <w:t>5 011</w:t>
            </w:r>
          </w:p>
        </w:tc>
        <w:tc>
          <w:tcPr>
            <w:tcW w:w="1313" w:type="dxa"/>
            <w:tcBorders>
              <w:top w:val="nil"/>
              <w:left w:val="nil"/>
              <w:bottom w:val="single" w:sz="4" w:space="0" w:color="auto"/>
              <w:right w:val="single" w:sz="4" w:space="0" w:color="auto"/>
            </w:tcBorders>
            <w:noWrap/>
            <w:hideMark/>
          </w:tcPr>
          <w:p w14:paraId="1181E953" w14:textId="77777777" w:rsidR="00EE35DE" w:rsidRPr="00F567E1" w:rsidRDefault="00EE35DE" w:rsidP="009A58EE">
            <w:pPr>
              <w:pStyle w:val="Normal-pool-Table"/>
              <w:jc w:val="right"/>
              <w:rPr>
                <w:szCs w:val="18"/>
                <w:lang w:val="es-ES_tradnl"/>
              </w:rPr>
            </w:pPr>
            <w:r w:rsidRPr="00F567E1">
              <w:rPr>
                <w:color w:val="000000"/>
                <w:lang w:val="es-ES_tradnl"/>
              </w:rPr>
              <w:t>8 807</w:t>
            </w:r>
          </w:p>
        </w:tc>
      </w:tr>
      <w:tr w:rsidR="00EE35DE" w:rsidRPr="00F567E1" w14:paraId="7667E2B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151CE10" w14:textId="54256B3D" w:rsidR="00EE35DE" w:rsidRPr="00F567E1" w:rsidRDefault="00EE35DE" w:rsidP="009A58EE">
            <w:pPr>
              <w:pStyle w:val="Normal-pool-Table"/>
              <w:rPr>
                <w:szCs w:val="18"/>
                <w:lang w:val="es-ES_tradnl"/>
              </w:rPr>
            </w:pPr>
            <w:r w:rsidRPr="00F567E1">
              <w:rPr>
                <w:color w:val="000000"/>
                <w:lang w:val="es-ES_tradnl"/>
              </w:rPr>
              <w:t>112</w:t>
            </w:r>
          </w:p>
        </w:tc>
        <w:tc>
          <w:tcPr>
            <w:tcW w:w="2573" w:type="dxa"/>
            <w:tcBorders>
              <w:top w:val="nil"/>
              <w:left w:val="nil"/>
              <w:bottom w:val="single" w:sz="4" w:space="0" w:color="auto"/>
              <w:right w:val="single" w:sz="4" w:space="0" w:color="auto"/>
            </w:tcBorders>
            <w:noWrap/>
            <w:hideMark/>
          </w:tcPr>
          <w:p w14:paraId="2A5AFD00" w14:textId="77777777" w:rsidR="00EE35DE" w:rsidRPr="00F567E1" w:rsidRDefault="00EE35DE" w:rsidP="009A58EE">
            <w:pPr>
              <w:pStyle w:val="Normal-pool-Table"/>
              <w:rPr>
                <w:szCs w:val="18"/>
                <w:lang w:val="es-ES_tradnl"/>
              </w:rPr>
            </w:pPr>
            <w:r w:rsidRPr="00F567E1">
              <w:rPr>
                <w:color w:val="000000"/>
                <w:lang w:val="es-ES_tradnl"/>
              </w:rPr>
              <w:t>Ecuador</w:t>
            </w:r>
          </w:p>
        </w:tc>
        <w:tc>
          <w:tcPr>
            <w:tcW w:w="1400" w:type="dxa"/>
            <w:tcBorders>
              <w:top w:val="nil"/>
              <w:left w:val="nil"/>
              <w:bottom w:val="single" w:sz="4" w:space="0" w:color="auto"/>
              <w:right w:val="single" w:sz="4" w:space="0" w:color="auto"/>
            </w:tcBorders>
            <w:noWrap/>
            <w:hideMark/>
          </w:tcPr>
          <w:p w14:paraId="7FA8C3E2" w14:textId="77777777" w:rsidR="00EE35DE" w:rsidRPr="00F567E1" w:rsidRDefault="00EE35DE" w:rsidP="009A58EE">
            <w:pPr>
              <w:pStyle w:val="Normal-pool-Table"/>
              <w:jc w:val="right"/>
              <w:rPr>
                <w:szCs w:val="18"/>
                <w:lang w:val="es-ES_tradnl"/>
              </w:rPr>
            </w:pPr>
            <w:r w:rsidRPr="00F567E1">
              <w:rPr>
                <w:color w:val="000000"/>
                <w:lang w:val="es-ES_tradnl"/>
              </w:rPr>
              <w:t>0,065</w:t>
            </w:r>
          </w:p>
        </w:tc>
        <w:tc>
          <w:tcPr>
            <w:tcW w:w="1073" w:type="dxa"/>
            <w:tcBorders>
              <w:top w:val="nil"/>
              <w:left w:val="nil"/>
              <w:bottom w:val="single" w:sz="4" w:space="0" w:color="auto"/>
              <w:right w:val="single" w:sz="4" w:space="0" w:color="auto"/>
            </w:tcBorders>
            <w:noWrap/>
            <w:hideMark/>
          </w:tcPr>
          <w:p w14:paraId="086FC1F8" w14:textId="77777777" w:rsidR="00EE35DE" w:rsidRPr="00F567E1" w:rsidRDefault="00EE35DE" w:rsidP="009A58EE">
            <w:pPr>
              <w:pStyle w:val="Normal-pool-Table"/>
              <w:jc w:val="right"/>
              <w:rPr>
                <w:szCs w:val="18"/>
                <w:lang w:val="es-ES_tradnl"/>
              </w:rPr>
            </w:pPr>
            <w:r w:rsidRPr="00F567E1">
              <w:rPr>
                <w:color w:val="000000"/>
                <w:lang w:val="es-ES_tradnl"/>
              </w:rPr>
              <w:t>0,0656</w:t>
            </w:r>
          </w:p>
        </w:tc>
        <w:tc>
          <w:tcPr>
            <w:tcW w:w="1293" w:type="dxa"/>
            <w:tcBorders>
              <w:top w:val="nil"/>
              <w:left w:val="nil"/>
              <w:bottom w:val="single" w:sz="4" w:space="0" w:color="auto"/>
              <w:right w:val="single" w:sz="4" w:space="0" w:color="auto"/>
            </w:tcBorders>
            <w:noWrap/>
            <w:hideMark/>
          </w:tcPr>
          <w:p w14:paraId="42710D27" w14:textId="77777777" w:rsidR="00EE35DE" w:rsidRPr="00F567E1" w:rsidRDefault="00EE35DE" w:rsidP="009A58EE">
            <w:pPr>
              <w:pStyle w:val="Normal-pool-Table"/>
              <w:jc w:val="right"/>
              <w:rPr>
                <w:szCs w:val="18"/>
                <w:lang w:val="es-ES_tradnl"/>
              </w:rPr>
            </w:pPr>
            <w:r w:rsidRPr="00F567E1">
              <w:rPr>
                <w:color w:val="000000"/>
                <w:lang w:val="es-ES_tradnl"/>
              </w:rPr>
              <w:t>2 023</w:t>
            </w:r>
          </w:p>
        </w:tc>
        <w:tc>
          <w:tcPr>
            <w:tcW w:w="1293" w:type="dxa"/>
            <w:tcBorders>
              <w:top w:val="nil"/>
              <w:left w:val="nil"/>
              <w:bottom w:val="single" w:sz="4" w:space="0" w:color="auto"/>
              <w:right w:val="single" w:sz="4" w:space="0" w:color="auto"/>
            </w:tcBorders>
            <w:noWrap/>
            <w:hideMark/>
          </w:tcPr>
          <w:p w14:paraId="061264A4" w14:textId="77777777" w:rsidR="00EE35DE" w:rsidRPr="00F567E1" w:rsidRDefault="00EE35DE" w:rsidP="009A58EE">
            <w:pPr>
              <w:pStyle w:val="Normal-pool-Table"/>
              <w:jc w:val="right"/>
              <w:rPr>
                <w:szCs w:val="18"/>
                <w:lang w:val="es-ES_tradnl"/>
              </w:rPr>
            </w:pPr>
            <w:r w:rsidRPr="00F567E1">
              <w:rPr>
                <w:color w:val="000000"/>
                <w:lang w:val="es-ES_tradnl"/>
              </w:rPr>
              <w:t>2 670</w:t>
            </w:r>
          </w:p>
        </w:tc>
        <w:tc>
          <w:tcPr>
            <w:tcW w:w="1313" w:type="dxa"/>
            <w:tcBorders>
              <w:top w:val="nil"/>
              <w:left w:val="nil"/>
              <w:bottom w:val="single" w:sz="4" w:space="0" w:color="auto"/>
              <w:right w:val="single" w:sz="4" w:space="0" w:color="auto"/>
            </w:tcBorders>
            <w:noWrap/>
            <w:hideMark/>
          </w:tcPr>
          <w:p w14:paraId="0AABA865" w14:textId="77777777" w:rsidR="00EE35DE" w:rsidRPr="00F567E1" w:rsidRDefault="00EE35DE" w:rsidP="009A58EE">
            <w:pPr>
              <w:pStyle w:val="Normal-pool-Table"/>
              <w:jc w:val="right"/>
              <w:rPr>
                <w:szCs w:val="18"/>
                <w:lang w:val="es-ES_tradnl"/>
              </w:rPr>
            </w:pPr>
            <w:r w:rsidRPr="00F567E1">
              <w:rPr>
                <w:color w:val="000000"/>
                <w:lang w:val="es-ES_tradnl"/>
              </w:rPr>
              <w:t>4 692</w:t>
            </w:r>
          </w:p>
        </w:tc>
      </w:tr>
      <w:tr w:rsidR="00EE35DE" w:rsidRPr="00F567E1" w14:paraId="43FF272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A724168" w14:textId="3D320E42" w:rsidR="00EE35DE" w:rsidRPr="00F567E1" w:rsidRDefault="00EE35DE" w:rsidP="009A58EE">
            <w:pPr>
              <w:pStyle w:val="Normal-pool-Table"/>
              <w:rPr>
                <w:szCs w:val="18"/>
                <w:lang w:val="es-ES_tradnl"/>
              </w:rPr>
            </w:pPr>
            <w:r w:rsidRPr="00F567E1">
              <w:rPr>
                <w:color w:val="000000"/>
                <w:lang w:val="es-ES_tradnl"/>
              </w:rPr>
              <w:t>113</w:t>
            </w:r>
          </w:p>
        </w:tc>
        <w:tc>
          <w:tcPr>
            <w:tcW w:w="2573" w:type="dxa"/>
            <w:tcBorders>
              <w:top w:val="nil"/>
              <w:left w:val="nil"/>
              <w:bottom w:val="single" w:sz="4" w:space="0" w:color="auto"/>
              <w:right w:val="single" w:sz="4" w:space="0" w:color="auto"/>
            </w:tcBorders>
            <w:noWrap/>
            <w:hideMark/>
          </w:tcPr>
          <w:p w14:paraId="5C43F70A" w14:textId="77777777" w:rsidR="00EE35DE" w:rsidRPr="00F567E1" w:rsidRDefault="00EE35DE" w:rsidP="009A58EE">
            <w:pPr>
              <w:pStyle w:val="Normal-pool-Table"/>
              <w:rPr>
                <w:szCs w:val="18"/>
                <w:lang w:val="es-ES_tradnl"/>
              </w:rPr>
            </w:pPr>
            <w:r w:rsidRPr="00F567E1">
              <w:rPr>
                <w:color w:val="000000"/>
                <w:lang w:val="es-ES_tradnl"/>
              </w:rPr>
              <w:t>El Salvador</w:t>
            </w:r>
          </w:p>
        </w:tc>
        <w:tc>
          <w:tcPr>
            <w:tcW w:w="1400" w:type="dxa"/>
            <w:tcBorders>
              <w:top w:val="nil"/>
              <w:left w:val="nil"/>
              <w:bottom w:val="single" w:sz="4" w:space="0" w:color="auto"/>
              <w:right w:val="single" w:sz="4" w:space="0" w:color="auto"/>
            </w:tcBorders>
            <w:noWrap/>
            <w:hideMark/>
          </w:tcPr>
          <w:p w14:paraId="366926AE" w14:textId="77777777" w:rsidR="00EE35DE" w:rsidRPr="00F567E1" w:rsidRDefault="00EE35DE" w:rsidP="009A58EE">
            <w:pPr>
              <w:pStyle w:val="Normal-pool-Table"/>
              <w:jc w:val="right"/>
              <w:rPr>
                <w:szCs w:val="18"/>
                <w:lang w:val="es-ES_tradnl"/>
              </w:rPr>
            </w:pPr>
            <w:r w:rsidRPr="00F567E1">
              <w:rPr>
                <w:color w:val="000000"/>
                <w:lang w:val="es-ES_tradnl"/>
              </w:rPr>
              <w:t>0,013</w:t>
            </w:r>
          </w:p>
        </w:tc>
        <w:tc>
          <w:tcPr>
            <w:tcW w:w="1073" w:type="dxa"/>
            <w:tcBorders>
              <w:top w:val="nil"/>
              <w:left w:val="nil"/>
              <w:bottom w:val="single" w:sz="4" w:space="0" w:color="auto"/>
              <w:right w:val="single" w:sz="4" w:space="0" w:color="auto"/>
            </w:tcBorders>
            <w:noWrap/>
            <w:hideMark/>
          </w:tcPr>
          <w:p w14:paraId="7AFDB833" w14:textId="77777777" w:rsidR="00EE35DE" w:rsidRPr="00F567E1" w:rsidRDefault="00EE35DE" w:rsidP="009A58EE">
            <w:pPr>
              <w:pStyle w:val="Normal-pool-Table"/>
              <w:jc w:val="right"/>
              <w:rPr>
                <w:szCs w:val="18"/>
                <w:lang w:val="es-ES_tradnl"/>
              </w:rPr>
            </w:pPr>
            <w:r w:rsidRPr="00F567E1">
              <w:rPr>
                <w:color w:val="000000"/>
                <w:lang w:val="es-ES_tradnl"/>
              </w:rPr>
              <w:t>0,0131</w:t>
            </w:r>
          </w:p>
        </w:tc>
        <w:tc>
          <w:tcPr>
            <w:tcW w:w="1293" w:type="dxa"/>
            <w:tcBorders>
              <w:top w:val="nil"/>
              <w:left w:val="nil"/>
              <w:bottom w:val="single" w:sz="4" w:space="0" w:color="auto"/>
              <w:right w:val="single" w:sz="4" w:space="0" w:color="auto"/>
            </w:tcBorders>
            <w:noWrap/>
            <w:hideMark/>
          </w:tcPr>
          <w:p w14:paraId="7290784E" w14:textId="77777777" w:rsidR="00EE35DE" w:rsidRPr="00F567E1" w:rsidRDefault="00EE35DE" w:rsidP="009A58EE">
            <w:pPr>
              <w:pStyle w:val="Normal-pool-Table"/>
              <w:jc w:val="right"/>
              <w:rPr>
                <w:szCs w:val="18"/>
                <w:lang w:val="es-ES_tradnl"/>
              </w:rPr>
            </w:pPr>
            <w:r w:rsidRPr="00F567E1">
              <w:rPr>
                <w:color w:val="000000"/>
                <w:lang w:val="es-ES_tradnl"/>
              </w:rPr>
              <w:t>405</w:t>
            </w:r>
          </w:p>
        </w:tc>
        <w:tc>
          <w:tcPr>
            <w:tcW w:w="1293" w:type="dxa"/>
            <w:tcBorders>
              <w:top w:val="nil"/>
              <w:left w:val="nil"/>
              <w:bottom w:val="single" w:sz="4" w:space="0" w:color="auto"/>
              <w:right w:val="single" w:sz="4" w:space="0" w:color="auto"/>
            </w:tcBorders>
            <w:noWrap/>
            <w:hideMark/>
          </w:tcPr>
          <w:p w14:paraId="2B644B3D" w14:textId="77777777" w:rsidR="00EE35DE" w:rsidRPr="00F567E1" w:rsidRDefault="00EE35DE" w:rsidP="009A58EE">
            <w:pPr>
              <w:pStyle w:val="Normal-pool-Table"/>
              <w:jc w:val="right"/>
              <w:rPr>
                <w:szCs w:val="18"/>
                <w:lang w:val="es-ES_tradnl"/>
              </w:rPr>
            </w:pPr>
            <w:r w:rsidRPr="00F567E1">
              <w:rPr>
                <w:color w:val="000000"/>
                <w:lang w:val="es-ES_tradnl"/>
              </w:rPr>
              <w:t>534</w:t>
            </w:r>
          </w:p>
        </w:tc>
        <w:tc>
          <w:tcPr>
            <w:tcW w:w="1313" w:type="dxa"/>
            <w:tcBorders>
              <w:top w:val="nil"/>
              <w:left w:val="nil"/>
              <w:bottom w:val="single" w:sz="4" w:space="0" w:color="auto"/>
              <w:right w:val="single" w:sz="4" w:space="0" w:color="auto"/>
            </w:tcBorders>
            <w:noWrap/>
            <w:hideMark/>
          </w:tcPr>
          <w:p w14:paraId="41A72339" w14:textId="77777777" w:rsidR="00EE35DE" w:rsidRPr="00F567E1" w:rsidRDefault="00EE35DE" w:rsidP="009A58EE">
            <w:pPr>
              <w:pStyle w:val="Normal-pool-Table"/>
              <w:jc w:val="right"/>
              <w:rPr>
                <w:szCs w:val="18"/>
                <w:lang w:val="es-ES_tradnl"/>
              </w:rPr>
            </w:pPr>
            <w:r w:rsidRPr="00F567E1">
              <w:rPr>
                <w:color w:val="000000"/>
                <w:lang w:val="es-ES_tradnl"/>
              </w:rPr>
              <w:t>938</w:t>
            </w:r>
          </w:p>
        </w:tc>
      </w:tr>
      <w:tr w:rsidR="00EE35DE" w:rsidRPr="00F567E1" w14:paraId="38A45A36"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E8E277D" w14:textId="4342A011" w:rsidR="00EE35DE" w:rsidRPr="00F567E1" w:rsidRDefault="00EE35DE" w:rsidP="009A58EE">
            <w:pPr>
              <w:pStyle w:val="Normal-pool-Table"/>
              <w:rPr>
                <w:szCs w:val="18"/>
                <w:lang w:val="es-ES_tradnl"/>
              </w:rPr>
            </w:pPr>
            <w:r w:rsidRPr="00F567E1">
              <w:rPr>
                <w:color w:val="000000"/>
                <w:lang w:val="es-ES_tradnl"/>
              </w:rPr>
              <w:t>114</w:t>
            </w:r>
          </w:p>
        </w:tc>
        <w:tc>
          <w:tcPr>
            <w:tcW w:w="2573" w:type="dxa"/>
            <w:tcBorders>
              <w:top w:val="nil"/>
              <w:left w:val="nil"/>
              <w:bottom w:val="single" w:sz="4" w:space="0" w:color="auto"/>
              <w:right w:val="single" w:sz="4" w:space="0" w:color="auto"/>
            </w:tcBorders>
            <w:noWrap/>
            <w:hideMark/>
          </w:tcPr>
          <w:p w14:paraId="1E8DA6DA" w14:textId="77777777" w:rsidR="00EE35DE" w:rsidRPr="00F567E1" w:rsidRDefault="00EE35DE" w:rsidP="009A58EE">
            <w:pPr>
              <w:pStyle w:val="Normal-pool-Table"/>
              <w:rPr>
                <w:szCs w:val="18"/>
                <w:lang w:val="es-ES_tradnl"/>
              </w:rPr>
            </w:pPr>
            <w:r w:rsidRPr="00F567E1">
              <w:rPr>
                <w:color w:val="000000"/>
                <w:lang w:val="es-ES_tradnl"/>
              </w:rPr>
              <w:t>Guyana</w:t>
            </w:r>
          </w:p>
        </w:tc>
        <w:tc>
          <w:tcPr>
            <w:tcW w:w="1400" w:type="dxa"/>
            <w:tcBorders>
              <w:top w:val="nil"/>
              <w:left w:val="nil"/>
              <w:bottom w:val="single" w:sz="4" w:space="0" w:color="auto"/>
              <w:right w:val="single" w:sz="4" w:space="0" w:color="auto"/>
            </w:tcBorders>
            <w:noWrap/>
            <w:hideMark/>
          </w:tcPr>
          <w:p w14:paraId="3B46B4C4" w14:textId="77777777" w:rsidR="00EE35DE" w:rsidRPr="00F567E1" w:rsidRDefault="00EE35DE" w:rsidP="009A58EE">
            <w:pPr>
              <w:pStyle w:val="Normal-pool-Table"/>
              <w:jc w:val="right"/>
              <w:rPr>
                <w:szCs w:val="18"/>
                <w:lang w:val="es-ES_tradnl"/>
              </w:rPr>
            </w:pPr>
            <w:r w:rsidRPr="00F567E1">
              <w:rPr>
                <w:color w:val="000000"/>
                <w:lang w:val="es-ES_tradnl"/>
              </w:rPr>
              <w:t>0,011</w:t>
            </w:r>
          </w:p>
        </w:tc>
        <w:tc>
          <w:tcPr>
            <w:tcW w:w="1073" w:type="dxa"/>
            <w:tcBorders>
              <w:top w:val="nil"/>
              <w:left w:val="nil"/>
              <w:bottom w:val="single" w:sz="4" w:space="0" w:color="auto"/>
              <w:right w:val="single" w:sz="4" w:space="0" w:color="auto"/>
            </w:tcBorders>
            <w:noWrap/>
            <w:hideMark/>
          </w:tcPr>
          <w:p w14:paraId="22918631" w14:textId="77777777" w:rsidR="00EE35DE" w:rsidRPr="00F567E1" w:rsidRDefault="00EE35DE" w:rsidP="009A58EE">
            <w:pPr>
              <w:pStyle w:val="Normal-pool-Table"/>
              <w:jc w:val="right"/>
              <w:rPr>
                <w:szCs w:val="18"/>
                <w:lang w:val="es-ES_tradnl"/>
              </w:rPr>
            </w:pPr>
            <w:r w:rsidRPr="00F567E1">
              <w:rPr>
                <w:color w:val="000000"/>
                <w:lang w:val="es-ES_tradnl"/>
              </w:rPr>
              <w:t>0,0111</w:t>
            </w:r>
          </w:p>
        </w:tc>
        <w:tc>
          <w:tcPr>
            <w:tcW w:w="1293" w:type="dxa"/>
            <w:tcBorders>
              <w:top w:val="nil"/>
              <w:left w:val="nil"/>
              <w:bottom w:val="single" w:sz="4" w:space="0" w:color="auto"/>
              <w:right w:val="single" w:sz="4" w:space="0" w:color="auto"/>
            </w:tcBorders>
            <w:noWrap/>
            <w:hideMark/>
          </w:tcPr>
          <w:p w14:paraId="43D5C81D" w14:textId="77777777" w:rsidR="00EE35DE" w:rsidRPr="00F567E1" w:rsidRDefault="00EE35DE" w:rsidP="009A58EE">
            <w:pPr>
              <w:pStyle w:val="Normal-pool-Table"/>
              <w:jc w:val="right"/>
              <w:rPr>
                <w:szCs w:val="18"/>
                <w:lang w:val="es-ES_tradnl"/>
              </w:rPr>
            </w:pPr>
            <w:r w:rsidRPr="00F567E1">
              <w:rPr>
                <w:color w:val="000000"/>
                <w:lang w:val="es-ES_tradnl"/>
              </w:rPr>
              <w:t>342</w:t>
            </w:r>
          </w:p>
        </w:tc>
        <w:tc>
          <w:tcPr>
            <w:tcW w:w="1293" w:type="dxa"/>
            <w:tcBorders>
              <w:top w:val="nil"/>
              <w:left w:val="nil"/>
              <w:bottom w:val="single" w:sz="4" w:space="0" w:color="auto"/>
              <w:right w:val="single" w:sz="4" w:space="0" w:color="auto"/>
            </w:tcBorders>
            <w:noWrap/>
            <w:hideMark/>
          </w:tcPr>
          <w:p w14:paraId="7B6AD0DB" w14:textId="77777777" w:rsidR="00EE35DE" w:rsidRPr="00F567E1" w:rsidRDefault="00EE35DE" w:rsidP="009A58EE">
            <w:pPr>
              <w:pStyle w:val="Normal-pool-Table"/>
              <w:jc w:val="right"/>
              <w:rPr>
                <w:szCs w:val="18"/>
                <w:lang w:val="es-ES_tradnl"/>
              </w:rPr>
            </w:pPr>
            <w:r w:rsidRPr="00F567E1">
              <w:rPr>
                <w:color w:val="000000"/>
                <w:lang w:val="es-ES_tradnl"/>
              </w:rPr>
              <w:t>452</w:t>
            </w:r>
          </w:p>
        </w:tc>
        <w:tc>
          <w:tcPr>
            <w:tcW w:w="1313" w:type="dxa"/>
            <w:tcBorders>
              <w:top w:val="nil"/>
              <w:left w:val="nil"/>
              <w:bottom w:val="single" w:sz="4" w:space="0" w:color="auto"/>
              <w:right w:val="single" w:sz="4" w:space="0" w:color="auto"/>
            </w:tcBorders>
            <w:noWrap/>
            <w:hideMark/>
          </w:tcPr>
          <w:p w14:paraId="4BDB56F9" w14:textId="77777777" w:rsidR="00EE35DE" w:rsidRPr="00F567E1" w:rsidRDefault="00EE35DE" w:rsidP="009A58EE">
            <w:pPr>
              <w:pStyle w:val="Normal-pool-Table"/>
              <w:jc w:val="right"/>
              <w:rPr>
                <w:szCs w:val="18"/>
                <w:lang w:val="es-ES_tradnl"/>
              </w:rPr>
            </w:pPr>
            <w:r w:rsidRPr="00F567E1">
              <w:rPr>
                <w:color w:val="000000"/>
                <w:lang w:val="es-ES_tradnl"/>
              </w:rPr>
              <w:t>794</w:t>
            </w:r>
          </w:p>
        </w:tc>
      </w:tr>
      <w:tr w:rsidR="00EE35DE" w:rsidRPr="00F567E1" w14:paraId="451EB38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4259599" w14:textId="1730A507" w:rsidR="00EE35DE" w:rsidRPr="00F567E1" w:rsidRDefault="00EE35DE" w:rsidP="009A58EE">
            <w:pPr>
              <w:pStyle w:val="Normal-pool-Table"/>
              <w:rPr>
                <w:szCs w:val="18"/>
                <w:lang w:val="es-ES_tradnl"/>
              </w:rPr>
            </w:pPr>
            <w:r w:rsidRPr="00F567E1">
              <w:rPr>
                <w:color w:val="000000"/>
                <w:lang w:val="es-ES_tradnl"/>
              </w:rPr>
              <w:t>115</w:t>
            </w:r>
          </w:p>
        </w:tc>
        <w:tc>
          <w:tcPr>
            <w:tcW w:w="2573" w:type="dxa"/>
            <w:tcBorders>
              <w:top w:val="nil"/>
              <w:left w:val="nil"/>
              <w:bottom w:val="single" w:sz="4" w:space="0" w:color="auto"/>
              <w:right w:val="single" w:sz="4" w:space="0" w:color="auto"/>
            </w:tcBorders>
            <w:noWrap/>
            <w:hideMark/>
          </w:tcPr>
          <w:p w14:paraId="00E8C91B" w14:textId="77777777" w:rsidR="00EE35DE" w:rsidRPr="00F567E1" w:rsidRDefault="00EE35DE" w:rsidP="009A58EE">
            <w:pPr>
              <w:pStyle w:val="Normal-pool-Table"/>
              <w:rPr>
                <w:szCs w:val="18"/>
                <w:lang w:val="es-ES_tradnl"/>
              </w:rPr>
            </w:pPr>
            <w:r w:rsidRPr="00F567E1">
              <w:rPr>
                <w:color w:val="000000"/>
                <w:lang w:val="es-ES_tradnl"/>
              </w:rPr>
              <w:t>Honduras</w:t>
            </w:r>
          </w:p>
        </w:tc>
        <w:tc>
          <w:tcPr>
            <w:tcW w:w="1400" w:type="dxa"/>
            <w:tcBorders>
              <w:top w:val="nil"/>
              <w:left w:val="nil"/>
              <w:bottom w:val="single" w:sz="4" w:space="0" w:color="auto"/>
              <w:right w:val="single" w:sz="4" w:space="0" w:color="auto"/>
            </w:tcBorders>
            <w:noWrap/>
            <w:hideMark/>
          </w:tcPr>
          <w:p w14:paraId="7D77BEF6" w14:textId="77777777" w:rsidR="00EE35DE" w:rsidRPr="00F567E1" w:rsidRDefault="00EE35DE" w:rsidP="009A58EE">
            <w:pPr>
              <w:pStyle w:val="Normal-pool-Table"/>
              <w:jc w:val="right"/>
              <w:rPr>
                <w:szCs w:val="18"/>
                <w:lang w:val="es-ES_tradnl"/>
              </w:rPr>
            </w:pPr>
            <w:r w:rsidRPr="00F567E1">
              <w:rPr>
                <w:color w:val="000000"/>
                <w:lang w:val="es-ES_tradnl"/>
              </w:rPr>
              <w:t>0,01</w:t>
            </w:r>
          </w:p>
        </w:tc>
        <w:tc>
          <w:tcPr>
            <w:tcW w:w="1073" w:type="dxa"/>
            <w:tcBorders>
              <w:top w:val="nil"/>
              <w:left w:val="nil"/>
              <w:bottom w:val="single" w:sz="4" w:space="0" w:color="auto"/>
              <w:right w:val="single" w:sz="4" w:space="0" w:color="auto"/>
            </w:tcBorders>
            <w:noWrap/>
            <w:hideMark/>
          </w:tcPr>
          <w:p w14:paraId="75E5DF5F" w14:textId="77777777" w:rsidR="00EE35DE" w:rsidRPr="00F567E1" w:rsidRDefault="00EE35DE" w:rsidP="009A58EE">
            <w:pPr>
              <w:pStyle w:val="Normal-pool-Table"/>
              <w:jc w:val="right"/>
              <w:rPr>
                <w:szCs w:val="18"/>
                <w:lang w:val="es-ES_tradnl"/>
              </w:rPr>
            </w:pPr>
            <w:r w:rsidRPr="00F567E1">
              <w:rPr>
                <w:color w:val="000000"/>
                <w:lang w:val="es-ES_tradnl"/>
              </w:rPr>
              <w:t>0,0101</w:t>
            </w:r>
          </w:p>
        </w:tc>
        <w:tc>
          <w:tcPr>
            <w:tcW w:w="1293" w:type="dxa"/>
            <w:tcBorders>
              <w:top w:val="nil"/>
              <w:left w:val="nil"/>
              <w:bottom w:val="single" w:sz="4" w:space="0" w:color="auto"/>
              <w:right w:val="single" w:sz="4" w:space="0" w:color="auto"/>
            </w:tcBorders>
            <w:noWrap/>
            <w:hideMark/>
          </w:tcPr>
          <w:p w14:paraId="0EB73C92" w14:textId="77777777" w:rsidR="00EE35DE" w:rsidRPr="00F567E1" w:rsidRDefault="00EE35DE" w:rsidP="009A58EE">
            <w:pPr>
              <w:pStyle w:val="Normal-pool-Table"/>
              <w:jc w:val="right"/>
              <w:rPr>
                <w:szCs w:val="18"/>
                <w:lang w:val="es-ES_tradnl"/>
              </w:rPr>
            </w:pPr>
            <w:r w:rsidRPr="00F567E1">
              <w:rPr>
                <w:color w:val="000000"/>
                <w:lang w:val="es-ES_tradnl"/>
              </w:rPr>
              <w:t>311</w:t>
            </w:r>
          </w:p>
        </w:tc>
        <w:tc>
          <w:tcPr>
            <w:tcW w:w="1293" w:type="dxa"/>
            <w:tcBorders>
              <w:top w:val="nil"/>
              <w:left w:val="nil"/>
              <w:bottom w:val="single" w:sz="4" w:space="0" w:color="auto"/>
              <w:right w:val="single" w:sz="4" w:space="0" w:color="auto"/>
            </w:tcBorders>
            <w:noWrap/>
            <w:hideMark/>
          </w:tcPr>
          <w:p w14:paraId="269B66A9" w14:textId="77777777" w:rsidR="00EE35DE" w:rsidRPr="00F567E1" w:rsidRDefault="00EE35DE" w:rsidP="009A58EE">
            <w:pPr>
              <w:pStyle w:val="Normal-pool-Table"/>
              <w:jc w:val="right"/>
              <w:rPr>
                <w:szCs w:val="18"/>
                <w:lang w:val="es-ES_tradnl"/>
              </w:rPr>
            </w:pPr>
            <w:r w:rsidRPr="00F567E1">
              <w:rPr>
                <w:color w:val="000000"/>
                <w:lang w:val="es-ES_tradnl"/>
              </w:rPr>
              <w:t>411</w:t>
            </w:r>
          </w:p>
        </w:tc>
        <w:tc>
          <w:tcPr>
            <w:tcW w:w="1313" w:type="dxa"/>
            <w:tcBorders>
              <w:top w:val="nil"/>
              <w:left w:val="nil"/>
              <w:bottom w:val="single" w:sz="4" w:space="0" w:color="auto"/>
              <w:right w:val="single" w:sz="4" w:space="0" w:color="auto"/>
            </w:tcBorders>
            <w:noWrap/>
            <w:hideMark/>
          </w:tcPr>
          <w:p w14:paraId="32BE2F05" w14:textId="77777777" w:rsidR="00EE35DE" w:rsidRPr="00F567E1" w:rsidRDefault="00EE35DE" w:rsidP="009A58EE">
            <w:pPr>
              <w:pStyle w:val="Normal-pool-Table"/>
              <w:jc w:val="right"/>
              <w:rPr>
                <w:szCs w:val="18"/>
                <w:lang w:val="es-ES_tradnl"/>
              </w:rPr>
            </w:pPr>
            <w:r w:rsidRPr="00F567E1">
              <w:rPr>
                <w:color w:val="000000"/>
                <w:lang w:val="es-ES_tradnl"/>
              </w:rPr>
              <w:t>722</w:t>
            </w:r>
          </w:p>
        </w:tc>
      </w:tr>
      <w:tr w:rsidR="00EE35DE" w:rsidRPr="00F567E1" w14:paraId="445A834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5DAEECE" w14:textId="32D6E6C4" w:rsidR="00EE35DE" w:rsidRPr="00F567E1" w:rsidRDefault="00EE35DE" w:rsidP="009A58EE">
            <w:pPr>
              <w:pStyle w:val="Normal-pool-Table"/>
              <w:rPr>
                <w:szCs w:val="18"/>
                <w:lang w:val="es-ES_tradnl"/>
              </w:rPr>
            </w:pPr>
            <w:r w:rsidRPr="00F567E1">
              <w:rPr>
                <w:color w:val="000000"/>
                <w:lang w:val="es-ES_tradnl"/>
              </w:rPr>
              <w:t>116</w:t>
            </w:r>
          </w:p>
        </w:tc>
        <w:tc>
          <w:tcPr>
            <w:tcW w:w="2573" w:type="dxa"/>
            <w:tcBorders>
              <w:top w:val="nil"/>
              <w:left w:val="nil"/>
              <w:bottom w:val="single" w:sz="4" w:space="0" w:color="auto"/>
              <w:right w:val="single" w:sz="4" w:space="0" w:color="auto"/>
            </w:tcBorders>
            <w:noWrap/>
            <w:hideMark/>
          </w:tcPr>
          <w:p w14:paraId="7B0832B8" w14:textId="77777777" w:rsidR="00EE35DE" w:rsidRPr="00F567E1" w:rsidRDefault="00EE35DE" w:rsidP="009A58EE">
            <w:pPr>
              <w:pStyle w:val="Normal-pool-Table"/>
              <w:rPr>
                <w:szCs w:val="18"/>
                <w:lang w:val="es-ES_tradnl"/>
              </w:rPr>
            </w:pPr>
            <w:r w:rsidRPr="00F567E1">
              <w:rPr>
                <w:color w:val="000000"/>
                <w:lang w:val="es-ES_tradnl"/>
              </w:rPr>
              <w:t>Jamaica</w:t>
            </w:r>
          </w:p>
        </w:tc>
        <w:tc>
          <w:tcPr>
            <w:tcW w:w="1400" w:type="dxa"/>
            <w:tcBorders>
              <w:top w:val="nil"/>
              <w:left w:val="nil"/>
              <w:bottom w:val="single" w:sz="4" w:space="0" w:color="auto"/>
              <w:right w:val="single" w:sz="4" w:space="0" w:color="auto"/>
            </w:tcBorders>
            <w:noWrap/>
            <w:hideMark/>
          </w:tcPr>
          <w:p w14:paraId="048EAD8A" w14:textId="77777777" w:rsidR="00EE35DE" w:rsidRPr="00F567E1" w:rsidRDefault="00EE35DE" w:rsidP="009A58EE">
            <w:pPr>
              <w:pStyle w:val="Normal-pool-Table"/>
              <w:jc w:val="right"/>
              <w:rPr>
                <w:szCs w:val="18"/>
                <w:lang w:val="es-ES_tradnl"/>
              </w:rPr>
            </w:pPr>
            <w:r w:rsidRPr="00F567E1">
              <w:rPr>
                <w:color w:val="000000"/>
                <w:lang w:val="es-ES_tradnl"/>
              </w:rPr>
              <w:t>0,007</w:t>
            </w:r>
          </w:p>
        </w:tc>
        <w:tc>
          <w:tcPr>
            <w:tcW w:w="1073" w:type="dxa"/>
            <w:tcBorders>
              <w:top w:val="nil"/>
              <w:left w:val="nil"/>
              <w:bottom w:val="single" w:sz="4" w:space="0" w:color="auto"/>
              <w:right w:val="single" w:sz="4" w:space="0" w:color="auto"/>
            </w:tcBorders>
            <w:noWrap/>
            <w:hideMark/>
          </w:tcPr>
          <w:p w14:paraId="70A441CD"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687D37ED"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26D77303"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26413DB"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5CB2734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F6A7ED9" w14:textId="33BFC89F" w:rsidR="00EE35DE" w:rsidRPr="00F567E1" w:rsidRDefault="00EE35DE" w:rsidP="009A58EE">
            <w:pPr>
              <w:pStyle w:val="Normal-pool-Table"/>
              <w:rPr>
                <w:szCs w:val="18"/>
                <w:lang w:val="es-ES_tradnl"/>
              </w:rPr>
            </w:pPr>
            <w:r w:rsidRPr="00F567E1">
              <w:rPr>
                <w:color w:val="000000"/>
                <w:lang w:val="es-ES_tradnl"/>
              </w:rPr>
              <w:t>117</w:t>
            </w:r>
          </w:p>
        </w:tc>
        <w:tc>
          <w:tcPr>
            <w:tcW w:w="2573" w:type="dxa"/>
            <w:tcBorders>
              <w:top w:val="nil"/>
              <w:left w:val="nil"/>
              <w:bottom w:val="single" w:sz="4" w:space="0" w:color="auto"/>
              <w:right w:val="single" w:sz="4" w:space="0" w:color="auto"/>
            </w:tcBorders>
            <w:noWrap/>
            <w:hideMark/>
          </w:tcPr>
          <w:p w14:paraId="13913F0D" w14:textId="77777777" w:rsidR="00EE35DE" w:rsidRPr="00F567E1" w:rsidRDefault="00EE35DE" w:rsidP="009A58EE">
            <w:pPr>
              <w:pStyle w:val="Normal-pool-Table"/>
              <w:rPr>
                <w:szCs w:val="18"/>
                <w:lang w:val="es-ES_tradnl"/>
              </w:rPr>
            </w:pPr>
            <w:r w:rsidRPr="00F567E1">
              <w:rPr>
                <w:color w:val="000000"/>
                <w:lang w:val="es-ES_tradnl"/>
              </w:rPr>
              <w:t>México</w:t>
            </w:r>
          </w:p>
        </w:tc>
        <w:tc>
          <w:tcPr>
            <w:tcW w:w="1400" w:type="dxa"/>
            <w:tcBorders>
              <w:top w:val="nil"/>
              <w:left w:val="nil"/>
              <w:bottom w:val="single" w:sz="4" w:space="0" w:color="auto"/>
              <w:right w:val="single" w:sz="4" w:space="0" w:color="auto"/>
            </w:tcBorders>
            <w:noWrap/>
            <w:hideMark/>
          </w:tcPr>
          <w:p w14:paraId="462C7EA2" w14:textId="77777777" w:rsidR="00EE35DE" w:rsidRPr="00F567E1" w:rsidRDefault="00EE35DE" w:rsidP="009A58EE">
            <w:pPr>
              <w:pStyle w:val="Normal-pool-Table"/>
              <w:jc w:val="right"/>
              <w:rPr>
                <w:szCs w:val="18"/>
                <w:lang w:val="es-ES_tradnl"/>
              </w:rPr>
            </w:pPr>
            <w:r w:rsidRPr="00F567E1">
              <w:rPr>
                <w:color w:val="000000"/>
                <w:lang w:val="es-ES_tradnl"/>
              </w:rPr>
              <w:t>1,137</w:t>
            </w:r>
          </w:p>
        </w:tc>
        <w:tc>
          <w:tcPr>
            <w:tcW w:w="1073" w:type="dxa"/>
            <w:tcBorders>
              <w:top w:val="nil"/>
              <w:left w:val="nil"/>
              <w:bottom w:val="single" w:sz="4" w:space="0" w:color="auto"/>
              <w:right w:val="single" w:sz="4" w:space="0" w:color="auto"/>
            </w:tcBorders>
            <w:noWrap/>
            <w:hideMark/>
          </w:tcPr>
          <w:p w14:paraId="3402ED6F" w14:textId="77777777" w:rsidR="00EE35DE" w:rsidRPr="00F567E1" w:rsidRDefault="00EE35DE" w:rsidP="009A58EE">
            <w:pPr>
              <w:pStyle w:val="Normal-pool-Table"/>
              <w:jc w:val="right"/>
              <w:rPr>
                <w:szCs w:val="18"/>
                <w:lang w:val="es-ES_tradnl"/>
              </w:rPr>
            </w:pPr>
            <w:r w:rsidRPr="00F567E1">
              <w:rPr>
                <w:color w:val="000000"/>
                <w:lang w:val="es-ES_tradnl"/>
              </w:rPr>
              <w:t>1,1476</w:t>
            </w:r>
          </w:p>
        </w:tc>
        <w:tc>
          <w:tcPr>
            <w:tcW w:w="1293" w:type="dxa"/>
            <w:tcBorders>
              <w:top w:val="nil"/>
              <w:left w:val="nil"/>
              <w:bottom w:val="single" w:sz="4" w:space="0" w:color="auto"/>
              <w:right w:val="single" w:sz="4" w:space="0" w:color="auto"/>
            </w:tcBorders>
            <w:noWrap/>
            <w:hideMark/>
          </w:tcPr>
          <w:p w14:paraId="6F5B9A55" w14:textId="77777777" w:rsidR="00EE35DE" w:rsidRPr="00F567E1" w:rsidRDefault="00EE35DE" w:rsidP="009A58EE">
            <w:pPr>
              <w:pStyle w:val="Normal-pool-Table"/>
              <w:jc w:val="right"/>
              <w:rPr>
                <w:szCs w:val="18"/>
                <w:lang w:val="es-ES_tradnl"/>
              </w:rPr>
            </w:pPr>
            <w:r w:rsidRPr="00F567E1">
              <w:rPr>
                <w:color w:val="000000"/>
                <w:lang w:val="es-ES_tradnl"/>
              </w:rPr>
              <w:t>35 384</w:t>
            </w:r>
          </w:p>
        </w:tc>
        <w:tc>
          <w:tcPr>
            <w:tcW w:w="1293" w:type="dxa"/>
            <w:tcBorders>
              <w:top w:val="nil"/>
              <w:left w:val="nil"/>
              <w:bottom w:val="single" w:sz="4" w:space="0" w:color="auto"/>
              <w:right w:val="single" w:sz="4" w:space="0" w:color="auto"/>
            </w:tcBorders>
            <w:noWrap/>
            <w:hideMark/>
          </w:tcPr>
          <w:p w14:paraId="283C9502" w14:textId="77777777" w:rsidR="00EE35DE" w:rsidRPr="00F567E1" w:rsidRDefault="00EE35DE" w:rsidP="009A58EE">
            <w:pPr>
              <w:pStyle w:val="Normal-pool-Table"/>
              <w:jc w:val="right"/>
              <w:rPr>
                <w:szCs w:val="18"/>
                <w:lang w:val="es-ES_tradnl"/>
              </w:rPr>
            </w:pPr>
            <w:r w:rsidRPr="00F567E1">
              <w:rPr>
                <w:color w:val="000000"/>
                <w:lang w:val="es-ES_tradnl"/>
              </w:rPr>
              <w:t>46 698</w:t>
            </w:r>
          </w:p>
        </w:tc>
        <w:tc>
          <w:tcPr>
            <w:tcW w:w="1313" w:type="dxa"/>
            <w:tcBorders>
              <w:top w:val="nil"/>
              <w:left w:val="nil"/>
              <w:bottom w:val="single" w:sz="4" w:space="0" w:color="auto"/>
              <w:right w:val="single" w:sz="4" w:space="0" w:color="auto"/>
            </w:tcBorders>
            <w:noWrap/>
            <w:hideMark/>
          </w:tcPr>
          <w:p w14:paraId="372D3762" w14:textId="77777777" w:rsidR="00EE35DE" w:rsidRPr="00F567E1" w:rsidRDefault="00EE35DE" w:rsidP="009A58EE">
            <w:pPr>
              <w:pStyle w:val="Normal-pool-Table"/>
              <w:jc w:val="right"/>
              <w:rPr>
                <w:szCs w:val="18"/>
                <w:lang w:val="es-ES_tradnl"/>
              </w:rPr>
            </w:pPr>
            <w:r w:rsidRPr="00F567E1">
              <w:rPr>
                <w:color w:val="000000"/>
                <w:lang w:val="es-ES_tradnl"/>
              </w:rPr>
              <w:t>82 082</w:t>
            </w:r>
          </w:p>
        </w:tc>
      </w:tr>
      <w:tr w:rsidR="00EE35DE" w:rsidRPr="00F567E1" w14:paraId="493ED7C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4FD7257" w14:textId="4AB023C5" w:rsidR="00EE35DE" w:rsidRPr="00F567E1" w:rsidRDefault="00EE35DE" w:rsidP="009A58EE">
            <w:pPr>
              <w:pStyle w:val="Normal-pool-Table"/>
              <w:rPr>
                <w:szCs w:val="18"/>
                <w:lang w:val="es-ES_tradnl"/>
              </w:rPr>
            </w:pPr>
            <w:r w:rsidRPr="00F567E1">
              <w:rPr>
                <w:color w:val="000000"/>
                <w:lang w:val="es-ES_tradnl"/>
              </w:rPr>
              <w:t>118</w:t>
            </w:r>
          </w:p>
        </w:tc>
        <w:tc>
          <w:tcPr>
            <w:tcW w:w="2573" w:type="dxa"/>
            <w:tcBorders>
              <w:top w:val="nil"/>
              <w:left w:val="nil"/>
              <w:bottom w:val="single" w:sz="4" w:space="0" w:color="auto"/>
              <w:right w:val="single" w:sz="4" w:space="0" w:color="auto"/>
            </w:tcBorders>
            <w:noWrap/>
            <w:hideMark/>
          </w:tcPr>
          <w:p w14:paraId="4A183DA2" w14:textId="77777777" w:rsidR="00EE35DE" w:rsidRPr="00F567E1" w:rsidRDefault="00EE35DE" w:rsidP="009A58EE">
            <w:pPr>
              <w:pStyle w:val="Normal-pool-Table"/>
              <w:rPr>
                <w:szCs w:val="18"/>
                <w:lang w:val="es-ES_tradnl"/>
              </w:rPr>
            </w:pPr>
            <w:r w:rsidRPr="00F567E1">
              <w:rPr>
                <w:color w:val="000000"/>
                <w:lang w:val="es-ES_tradnl"/>
              </w:rPr>
              <w:t>Nicaragua</w:t>
            </w:r>
          </w:p>
        </w:tc>
        <w:tc>
          <w:tcPr>
            <w:tcW w:w="1400" w:type="dxa"/>
            <w:tcBorders>
              <w:top w:val="nil"/>
              <w:left w:val="nil"/>
              <w:bottom w:val="single" w:sz="4" w:space="0" w:color="auto"/>
              <w:right w:val="single" w:sz="4" w:space="0" w:color="auto"/>
            </w:tcBorders>
            <w:noWrap/>
            <w:hideMark/>
          </w:tcPr>
          <w:p w14:paraId="1F015B60" w14:textId="77777777" w:rsidR="00EE35DE" w:rsidRPr="00F567E1" w:rsidRDefault="00EE35DE" w:rsidP="009A58EE">
            <w:pPr>
              <w:pStyle w:val="Normal-pool-Table"/>
              <w:jc w:val="right"/>
              <w:rPr>
                <w:szCs w:val="18"/>
                <w:lang w:val="es-ES_tradnl"/>
              </w:rPr>
            </w:pPr>
            <w:r w:rsidRPr="00F567E1">
              <w:rPr>
                <w:color w:val="000000"/>
                <w:lang w:val="es-ES_tradnl"/>
              </w:rPr>
              <w:t>0,004</w:t>
            </w:r>
          </w:p>
        </w:tc>
        <w:tc>
          <w:tcPr>
            <w:tcW w:w="1073" w:type="dxa"/>
            <w:tcBorders>
              <w:top w:val="nil"/>
              <w:left w:val="nil"/>
              <w:bottom w:val="single" w:sz="4" w:space="0" w:color="auto"/>
              <w:right w:val="single" w:sz="4" w:space="0" w:color="auto"/>
            </w:tcBorders>
            <w:noWrap/>
            <w:hideMark/>
          </w:tcPr>
          <w:p w14:paraId="121B3E74"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3A37B40B"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602E3EA"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7EE3A49"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68A0A28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AE92EFC" w14:textId="617B8722" w:rsidR="00EE35DE" w:rsidRPr="00F567E1" w:rsidRDefault="00EE35DE" w:rsidP="009A58EE">
            <w:pPr>
              <w:pStyle w:val="Normal-pool-Table"/>
              <w:rPr>
                <w:szCs w:val="18"/>
                <w:lang w:val="es-ES_tradnl"/>
              </w:rPr>
            </w:pPr>
            <w:r w:rsidRPr="00F567E1">
              <w:rPr>
                <w:color w:val="000000"/>
                <w:lang w:val="es-ES_tradnl"/>
              </w:rPr>
              <w:lastRenderedPageBreak/>
              <w:t>119</w:t>
            </w:r>
          </w:p>
        </w:tc>
        <w:tc>
          <w:tcPr>
            <w:tcW w:w="2573" w:type="dxa"/>
            <w:tcBorders>
              <w:top w:val="nil"/>
              <w:left w:val="nil"/>
              <w:bottom w:val="single" w:sz="4" w:space="0" w:color="auto"/>
              <w:right w:val="single" w:sz="4" w:space="0" w:color="auto"/>
            </w:tcBorders>
            <w:noWrap/>
            <w:hideMark/>
          </w:tcPr>
          <w:p w14:paraId="2EBC41C7" w14:textId="77777777" w:rsidR="00EE35DE" w:rsidRPr="00F567E1" w:rsidRDefault="00EE35DE" w:rsidP="009A58EE">
            <w:pPr>
              <w:pStyle w:val="Normal-pool-Table"/>
              <w:rPr>
                <w:szCs w:val="18"/>
                <w:lang w:val="es-ES_tradnl"/>
              </w:rPr>
            </w:pPr>
            <w:r w:rsidRPr="00F567E1">
              <w:rPr>
                <w:color w:val="000000"/>
                <w:lang w:val="es-ES_tradnl"/>
              </w:rPr>
              <w:t>Panamá</w:t>
            </w:r>
          </w:p>
        </w:tc>
        <w:tc>
          <w:tcPr>
            <w:tcW w:w="1400" w:type="dxa"/>
            <w:tcBorders>
              <w:top w:val="nil"/>
              <w:left w:val="nil"/>
              <w:bottom w:val="single" w:sz="4" w:space="0" w:color="auto"/>
              <w:right w:val="single" w:sz="4" w:space="0" w:color="auto"/>
            </w:tcBorders>
            <w:noWrap/>
            <w:hideMark/>
          </w:tcPr>
          <w:p w14:paraId="07344D08" w14:textId="77777777" w:rsidR="00EE35DE" w:rsidRPr="00F567E1" w:rsidRDefault="00EE35DE" w:rsidP="009A58EE">
            <w:pPr>
              <w:pStyle w:val="Normal-pool-Table"/>
              <w:jc w:val="right"/>
              <w:rPr>
                <w:szCs w:val="18"/>
                <w:lang w:val="es-ES_tradnl"/>
              </w:rPr>
            </w:pPr>
            <w:r w:rsidRPr="00F567E1">
              <w:rPr>
                <w:color w:val="000000"/>
                <w:lang w:val="es-ES_tradnl"/>
              </w:rPr>
              <w:t>0,086</w:t>
            </w:r>
          </w:p>
        </w:tc>
        <w:tc>
          <w:tcPr>
            <w:tcW w:w="1073" w:type="dxa"/>
            <w:tcBorders>
              <w:top w:val="nil"/>
              <w:left w:val="nil"/>
              <w:bottom w:val="single" w:sz="4" w:space="0" w:color="auto"/>
              <w:right w:val="single" w:sz="4" w:space="0" w:color="auto"/>
            </w:tcBorders>
            <w:noWrap/>
            <w:hideMark/>
          </w:tcPr>
          <w:p w14:paraId="7C7BE84C" w14:textId="77777777" w:rsidR="00EE35DE" w:rsidRPr="00F567E1" w:rsidRDefault="00EE35DE" w:rsidP="009A58EE">
            <w:pPr>
              <w:pStyle w:val="Normal-pool-Table"/>
              <w:jc w:val="right"/>
              <w:rPr>
                <w:szCs w:val="18"/>
                <w:lang w:val="es-ES_tradnl"/>
              </w:rPr>
            </w:pPr>
            <w:r w:rsidRPr="00F567E1">
              <w:rPr>
                <w:color w:val="000000"/>
                <w:lang w:val="es-ES_tradnl"/>
              </w:rPr>
              <w:t>0,0868</w:t>
            </w:r>
          </w:p>
        </w:tc>
        <w:tc>
          <w:tcPr>
            <w:tcW w:w="1293" w:type="dxa"/>
            <w:tcBorders>
              <w:top w:val="nil"/>
              <w:left w:val="nil"/>
              <w:bottom w:val="single" w:sz="4" w:space="0" w:color="auto"/>
              <w:right w:val="single" w:sz="4" w:space="0" w:color="auto"/>
            </w:tcBorders>
            <w:noWrap/>
            <w:hideMark/>
          </w:tcPr>
          <w:p w14:paraId="388B94E2" w14:textId="77777777" w:rsidR="00EE35DE" w:rsidRPr="00F567E1" w:rsidRDefault="00EE35DE" w:rsidP="009A58EE">
            <w:pPr>
              <w:pStyle w:val="Normal-pool-Table"/>
              <w:jc w:val="right"/>
              <w:rPr>
                <w:szCs w:val="18"/>
                <w:lang w:val="es-ES_tradnl"/>
              </w:rPr>
            </w:pPr>
            <w:r w:rsidRPr="00F567E1">
              <w:rPr>
                <w:color w:val="000000"/>
                <w:lang w:val="es-ES_tradnl"/>
              </w:rPr>
              <w:t>2 676</w:t>
            </w:r>
          </w:p>
        </w:tc>
        <w:tc>
          <w:tcPr>
            <w:tcW w:w="1293" w:type="dxa"/>
            <w:tcBorders>
              <w:top w:val="nil"/>
              <w:left w:val="nil"/>
              <w:bottom w:val="single" w:sz="4" w:space="0" w:color="auto"/>
              <w:right w:val="single" w:sz="4" w:space="0" w:color="auto"/>
            </w:tcBorders>
            <w:noWrap/>
            <w:hideMark/>
          </w:tcPr>
          <w:p w14:paraId="5DDB83E2" w14:textId="77777777" w:rsidR="00EE35DE" w:rsidRPr="00F567E1" w:rsidRDefault="00EE35DE" w:rsidP="009A58EE">
            <w:pPr>
              <w:pStyle w:val="Normal-pool-Table"/>
              <w:jc w:val="right"/>
              <w:rPr>
                <w:szCs w:val="18"/>
                <w:lang w:val="es-ES_tradnl"/>
              </w:rPr>
            </w:pPr>
            <w:r w:rsidRPr="00F567E1">
              <w:rPr>
                <w:color w:val="000000"/>
                <w:lang w:val="es-ES_tradnl"/>
              </w:rPr>
              <w:t>3 532</w:t>
            </w:r>
          </w:p>
        </w:tc>
        <w:tc>
          <w:tcPr>
            <w:tcW w:w="1313" w:type="dxa"/>
            <w:tcBorders>
              <w:top w:val="nil"/>
              <w:left w:val="nil"/>
              <w:bottom w:val="single" w:sz="4" w:space="0" w:color="auto"/>
              <w:right w:val="single" w:sz="4" w:space="0" w:color="auto"/>
            </w:tcBorders>
            <w:noWrap/>
            <w:hideMark/>
          </w:tcPr>
          <w:p w14:paraId="495F5084" w14:textId="77777777" w:rsidR="00EE35DE" w:rsidRPr="00F567E1" w:rsidRDefault="00EE35DE" w:rsidP="009A58EE">
            <w:pPr>
              <w:pStyle w:val="Normal-pool-Table"/>
              <w:jc w:val="right"/>
              <w:rPr>
                <w:szCs w:val="18"/>
                <w:lang w:val="es-ES_tradnl"/>
              </w:rPr>
            </w:pPr>
            <w:r w:rsidRPr="00F567E1">
              <w:rPr>
                <w:color w:val="000000"/>
                <w:lang w:val="es-ES_tradnl"/>
              </w:rPr>
              <w:t>6 209</w:t>
            </w:r>
          </w:p>
        </w:tc>
      </w:tr>
      <w:tr w:rsidR="00EE35DE" w:rsidRPr="00F567E1" w14:paraId="1410013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58724CC" w14:textId="11130821" w:rsidR="00EE35DE" w:rsidRPr="00F567E1" w:rsidRDefault="00EE35DE" w:rsidP="009A58EE">
            <w:pPr>
              <w:pStyle w:val="Normal-pool-Table"/>
              <w:rPr>
                <w:szCs w:val="18"/>
                <w:lang w:val="es-ES_tradnl"/>
              </w:rPr>
            </w:pPr>
            <w:r w:rsidRPr="00F567E1">
              <w:rPr>
                <w:color w:val="000000"/>
                <w:lang w:val="es-ES_tradnl"/>
              </w:rPr>
              <w:t>120</w:t>
            </w:r>
          </w:p>
        </w:tc>
        <w:tc>
          <w:tcPr>
            <w:tcW w:w="2573" w:type="dxa"/>
            <w:tcBorders>
              <w:top w:val="nil"/>
              <w:left w:val="nil"/>
              <w:bottom w:val="single" w:sz="4" w:space="0" w:color="auto"/>
              <w:right w:val="single" w:sz="4" w:space="0" w:color="auto"/>
            </w:tcBorders>
            <w:noWrap/>
            <w:hideMark/>
          </w:tcPr>
          <w:p w14:paraId="5C9BA290" w14:textId="77777777" w:rsidR="00EE35DE" w:rsidRPr="00F567E1" w:rsidRDefault="00EE35DE" w:rsidP="009A58EE">
            <w:pPr>
              <w:pStyle w:val="Normal-pool-Table"/>
              <w:rPr>
                <w:szCs w:val="18"/>
                <w:lang w:val="es-ES_tradnl"/>
              </w:rPr>
            </w:pPr>
            <w:r w:rsidRPr="00F567E1">
              <w:rPr>
                <w:color w:val="000000"/>
                <w:lang w:val="es-ES_tradnl"/>
              </w:rPr>
              <w:t>Paraguay</w:t>
            </w:r>
          </w:p>
        </w:tc>
        <w:tc>
          <w:tcPr>
            <w:tcW w:w="1400" w:type="dxa"/>
            <w:tcBorders>
              <w:top w:val="nil"/>
              <w:left w:val="nil"/>
              <w:bottom w:val="single" w:sz="4" w:space="0" w:color="auto"/>
              <w:right w:val="single" w:sz="4" w:space="0" w:color="auto"/>
            </w:tcBorders>
            <w:noWrap/>
            <w:hideMark/>
          </w:tcPr>
          <w:p w14:paraId="59B86346" w14:textId="77777777" w:rsidR="00EE35DE" w:rsidRPr="00F567E1" w:rsidRDefault="00EE35DE" w:rsidP="009A58EE">
            <w:pPr>
              <w:pStyle w:val="Normal-pool-Table"/>
              <w:jc w:val="right"/>
              <w:rPr>
                <w:szCs w:val="18"/>
                <w:lang w:val="es-ES_tradnl"/>
              </w:rPr>
            </w:pPr>
            <w:r w:rsidRPr="00F567E1">
              <w:rPr>
                <w:color w:val="000000"/>
                <w:lang w:val="es-ES_tradnl"/>
              </w:rPr>
              <w:t>0,023</w:t>
            </w:r>
          </w:p>
        </w:tc>
        <w:tc>
          <w:tcPr>
            <w:tcW w:w="1073" w:type="dxa"/>
            <w:tcBorders>
              <w:top w:val="nil"/>
              <w:left w:val="nil"/>
              <w:bottom w:val="single" w:sz="4" w:space="0" w:color="auto"/>
              <w:right w:val="single" w:sz="4" w:space="0" w:color="auto"/>
            </w:tcBorders>
            <w:noWrap/>
            <w:hideMark/>
          </w:tcPr>
          <w:p w14:paraId="11C56307" w14:textId="77777777" w:rsidR="00EE35DE" w:rsidRPr="00F567E1" w:rsidRDefault="00EE35DE" w:rsidP="009A58EE">
            <w:pPr>
              <w:pStyle w:val="Normal-pool-Table"/>
              <w:jc w:val="right"/>
              <w:rPr>
                <w:szCs w:val="18"/>
                <w:lang w:val="es-ES_tradnl"/>
              </w:rPr>
            </w:pPr>
            <w:r w:rsidRPr="00F567E1">
              <w:rPr>
                <w:color w:val="000000"/>
                <w:lang w:val="es-ES_tradnl"/>
              </w:rPr>
              <w:t>0,0232</w:t>
            </w:r>
          </w:p>
        </w:tc>
        <w:tc>
          <w:tcPr>
            <w:tcW w:w="1293" w:type="dxa"/>
            <w:tcBorders>
              <w:top w:val="nil"/>
              <w:left w:val="nil"/>
              <w:bottom w:val="single" w:sz="4" w:space="0" w:color="auto"/>
              <w:right w:val="single" w:sz="4" w:space="0" w:color="auto"/>
            </w:tcBorders>
            <w:noWrap/>
            <w:hideMark/>
          </w:tcPr>
          <w:p w14:paraId="5C74BAEA" w14:textId="77777777" w:rsidR="00EE35DE" w:rsidRPr="00F567E1" w:rsidRDefault="00EE35DE" w:rsidP="009A58EE">
            <w:pPr>
              <w:pStyle w:val="Normal-pool-Table"/>
              <w:jc w:val="right"/>
              <w:rPr>
                <w:szCs w:val="18"/>
                <w:lang w:val="es-ES_tradnl"/>
              </w:rPr>
            </w:pPr>
            <w:r w:rsidRPr="00F567E1">
              <w:rPr>
                <w:color w:val="000000"/>
                <w:lang w:val="es-ES_tradnl"/>
              </w:rPr>
              <w:t>716</w:t>
            </w:r>
          </w:p>
        </w:tc>
        <w:tc>
          <w:tcPr>
            <w:tcW w:w="1293" w:type="dxa"/>
            <w:tcBorders>
              <w:top w:val="nil"/>
              <w:left w:val="nil"/>
              <w:bottom w:val="single" w:sz="4" w:space="0" w:color="auto"/>
              <w:right w:val="single" w:sz="4" w:space="0" w:color="auto"/>
            </w:tcBorders>
            <w:noWrap/>
            <w:hideMark/>
          </w:tcPr>
          <w:p w14:paraId="053385C4" w14:textId="77777777" w:rsidR="00EE35DE" w:rsidRPr="00F567E1" w:rsidRDefault="00EE35DE" w:rsidP="009A58EE">
            <w:pPr>
              <w:pStyle w:val="Normal-pool-Table"/>
              <w:jc w:val="right"/>
              <w:rPr>
                <w:szCs w:val="18"/>
                <w:lang w:val="es-ES_tradnl"/>
              </w:rPr>
            </w:pPr>
            <w:r w:rsidRPr="00F567E1">
              <w:rPr>
                <w:color w:val="000000"/>
                <w:lang w:val="es-ES_tradnl"/>
              </w:rPr>
              <w:t>945</w:t>
            </w:r>
          </w:p>
        </w:tc>
        <w:tc>
          <w:tcPr>
            <w:tcW w:w="1313" w:type="dxa"/>
            <w:tcBorders>
              <w:top w:val="nil"/>
              <w:left w:val="nil"/>
              <w:bottom w:val="single" w:sz="4" w:space="0" w:color="auto"/>
              <w:right w:val="single" w:sz="4" w:space="0" w:color="auto"/>
            </w:tcBorders>
            <w:noWrap/>
            <w:hideMark/>
          </w:tcPr>
          <w:p w14:paraId="249F731E" w14:textId="77777777" w:rsidR="00EE35DE" w:rsidRPr="00F567E1" w:rsidRDefault="00EE35DE" w:rsidP="009A58EE">
            <w:pPr>
              <w:pStyle w:val="Normal-pool-Table"/>
              <w:jc w:val="right"/>
              <w:rPr>
                <w:szCs w:val="18"/>
                <w:lang w:val="es-ES_tradnl"/>
              </w:rPr>
            </w:pPr>
            <w:r w:rsidRPr="00F567E1">
              <w:rPr>
                <w:color w:val="000000"/>
                <w:lang w:val="es-ES_tradnl"/>
              </w:rPr>
              <w:t>1 660</w:t>
            </w:r>
          </w:p>
        </w:tc>
      </w:tr>
      <w:tr w:rsidR="00EE35DE" w:rsidRPr="00F567E1" w14:paraId="5A6C52DE"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450C7BF8" w14:textId="7E2385C6" w:rsidR="00EE35DE" w:rsidRPr="00F567E1" w:rsidRDefault="00EE35DE" w:rsidP="009A58EE">
            <w:pPr>
              <w:pStyle w:val="Normal-pool-Table"/>
              <w:rPr>
                <w:szCs w:val="18"/>
                <w:lang w:val="es-ES_tradnl"/>
              </w:rPr>
            </w:pPr>
            <w:r w:rsidRPr="00F567E1">
              <w:rPr>
                <w:color w:val="000000"/>
                <w:lang w:val="es-ES_tradnl"/>
              </w:rPr>
              <w:t>121</w:t>
            </w:r>
          </w:p>
        </w:tc>
        <w:tc>
          <w:tcPr>
            <w:tcW w:w="2573" w:type="dxa"/>
            <w:tcBorders>
              <w:top w:val="nil"/>
              <w:left w:val="nil"/>
              <w:bottom w:val="single" w:sz="4" w:space="0" w:color="auto"/>
              <w:right w:val="single" w:sz="4" w:space="0" w:color="auto"/>
            </w:tcBorders>
            <w:noWrap/>
            <w:hideMark/>
          </w:tcPr>
          <w:p w14:paraId="0AFCA7C6" w14:textId="77777777" w:rsidR="00EE35DE" w:rsidRPr="00F567E1" w:rsidRDefault="00EE35DE" w:rsidP="009A58EE">
            <w:pPr>
              <w:pStyle w:val="Normal-pool-Table"/>
              <w:rPr>
                <w:szCs w:val="18"/>
                <w:lang w:val="es-ES_tradnl"/>
              </w:rPr>
            </w:pPr>
            <w:r w:rsidRPr="00F567E1">
              <w:rPr>
                <w:color w:val="000000"/>
                <w:lang w:val="es-ES_tradnl"/>
              </w:rPr>
              <w:t>Perú</w:t>
            </w:r>
          </w:p>
        </w:tc>
        <w:tc>
          <w:tcPr>
            <w:tcW w:w="1400" w:type="dxa"/>
            <w:tcBorders>
              <w:top w:val="nil"/>
              <w:left w:val="nil"/>
              <w:bottom w:val="single" w:sz="4" w:space="0" w:color="auto"/>
              <w:right w:val="single" w:sz="4" w:space="0" w:color="auto"/>
            </w:tcBorders>
            <w:noWrap/>
            <w:hideMark/>
          </w:tcPr>
          <w:p w14:paraId="19BCFFC5" w14:textId="77777777" w:rsidR="00EE35DE" w:rsidRPr="00F567E1" w:rsidRDefault="00EE35DE" w:rsidP="009A58EE">
            <w:pPr>
              <w:pStyle w:val="Normal-pool-Table"/>
              <w:jc w:val="right"/>
              <w:rPr>
                <w:szCs w:val="18"/>
                <w:lang w:val="es-ES_tradnl"/>
              </w:rPr>
            </w:pPr>
            <w:r w:rsidRPr="00F567E1">
              <w:rPr>
                <w:color w:val="000000"/>
                <w:lang w:val="es-ES_tradnl"/>
              </w:rPr>
              <w:t>0,145</w:t>
            </w:r>
          </w:p>
        </w:tc>
        <w:tc>
          <w:tcPr>
            <w:tcW w:w="1073" w:type="dxa"/>
            <w:tcBorders>
              <w:top w:val="nil"/>
              <w:left w:val="nil"/>
              <w:bottom w:val="single" w:sz="4" w:space="0" w:color="auto"/>
              <w:right w:val="single" w:sz="4" w:space="0" w:color="auto"/>
            </w:tcBorders>
            <w:noWrap/>
            <w:hideMark/>
          </w:tcPr>
          <w:p w14:paraId="02ACDBD2" w14:textId="77777777" w:rsidR="00EE35DE" w:rsidRPr="00F567E1" w:rsidRDefault="00EE35DE" w:rsidP="009A58EE">
            <w:pPr>
              <w:pStyle w:val="Normal-pool-Table"/>
              <w:jc w:val="right"/>
              <w:rPr>
                <w:szCs w:val="18"/>
                <w:lang w:val="es-ES_tradnl"/>
              </w:rPr>
            </w:pPr>
            <w:r w:rsidRPr="00F567E1">
              <w:rPr>
                <w:color w:val="000000"/>
                <w:lang w:val="es-ES_tradnl"/>
              </w:rPr>
              <w:t>0,1463</w:t>
            </w:r>
          </w:p>
        </w:tc>
        <w:tc>
          <w:tcPr>
            <w:tcW w:w="1293" w:type="dxa"/>
            <w:tcBorders>
              <w:top w:val="nil"/>
              <w:left w:val="nil"/>
              <w:bottom w:val="single" w:sz="4" w:space="0" w:color="auto"/>
              <w:right w:val="single" w:sz="4" w:space="0" w:color="auto"/>
            </w:tcBorders>
            <w:noWrap/>
            <w:hideMark/>
          </w:tcPr>
          <w:p w14:paraId="3C79C40E" w14:textId="77777777" w:rsidR="00EE35DE" w:rsidRPr="00F567E1" w:rsidRDefault="00EE35DE" w:rsidP="009A58EE">
            <w:pPr>
              <w:pStyle w:val="Normal-pool-Table"/>
              <w:jc w:val="right"/>
              <w:rPr>
                <w:szCs w:val="18"/>
                <w:lang w:val="es-ES_tradnl"/>
              </w:rPr>
            </w:pPr>
            <w:r w:rsidRPr="00F567E1">
              <w:rPr>
                <w:color w:val="000000"/>
                <w:lang w:val="es-ES_tradnl"/>
              </w:rPr>
              <w:t>4 512</w:t>
            </w:r>
          </w:p>
        </w:tc>
        <w:tc>
          <w:tcPr>
            <w:tcW w:w="1293" w:type="dxa"/>
            <w:tcBorders>
              <w:top w:val="nil"/>
              <w:left w:val="nil"/>
              <w:bottom w:val="single" w:sz="4" w:space="0" w:color="auto"/>
              <w:right w:val="single" w:sz="4" w:space="0" w:color="auto"/>
            </w:tcBorders>
            <w:noWrap/>
            <w:hideMark/>
          </w:tcPr>
          <w:p w14:paraId="266332D8" w14:textId="77777777" w:rsidR="00EE35DE" w:rsidRPr="00F567E1" w:rsidRDefault="00EE35DE" w:rsidP="009A58EE">
            <w:pPr>
              <w:pStyle w:val="Normal-pool-Table"/>
              <w:jc w:val="right"/>
              <w:rPr>
                <w:szCs w:val="18"/>
                <w:lang w:val="es-ES_tradnl"/>
              </w:rPr>
            </w:pPr>
            <w:r w:rsidRPr="00F567E1">
              <w:rPr>
                <w:color w:val="000000"/>
                <w:lang w:val="es-ES_tradnl"/>
              </w:rPr>
              <w:t>5 955</w:t>
            </w:r>
          </w:p>
        </w:tc>
        <w:tc>
          <w:tcPr>
            <w:tcW w:w="1313" w:type="dxa"/>
            <w:tcBorders>
              <w:top w:val="nil"/>
              <w:left w:val="nil"/>
              <w:bottom w:val="single" w:sz="4" w:space="0" w:color="auto"/>
              <w:right w:val="single" w:sz="4" w:space="0" w:color="auto"/>
            </w:tcBorders>
            <w:noWrap/>
            <w:hideMark/>
          </w:tcPr>
          <w:p w14:paraId="46A24636" w14:textId="77777777" w:rsidR="00EE35DE" w:rsidRPr="00F567E1" w:rsidRDefault="00EE35DE" w:rsidP="009A58EE">
            <w:pPr>
              <w:pStyle w:val="Normal-pool-Table"/>
              <w:jc w:val="right"/>
              <w:rPr>
                <w:szCs w:val="18"/>
                <w:lang w:val="es-ES_tradnl"/>
              </w:rPr>
            </w:pPr>
            <w:r w:rsidRPr="00F567E1">
              <w:rPr>
                <w:color w:val="000000"/>
                <w:lang w:val="es-ES_tradnl"/>
              </w:rPr>
              <w:t>10 468</w:t>
            </w:r>
          </w:p>
        </w:tc>
      </w:tr>
      <w:tr w:rsidR="00EE35DE" w:rsidRPr="00F567E1" w14:paraId="1A73B6F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8B3F2E8" w14:textId="686A852A" w:rsidR="00EE35DE" w:rsidRPr="00F567E1" w:rsidRDefault="00EE35DE" w:rsidP="009A58EE">
            <w:pPr>
              <w:pStyle w:val="Normal-pool-Table"/>
              <w:rPr>
                <w:szCs w:val="18"/>
                <w:lang w:val="es-ES_tradnl"/>
              </w:rPr>
            </w:pPr>
            <w:r w:rsidRPr="00F567E1">
              <w:rPr>
                <w:color w:val="000000"/>
                <w:lang w:val="es-ES_tradnl"/>
              </w:rPr>
              <w:t>122</w:t>
            </w:r>
          </w:p>
        </w:tc>
        <w:tc>
          <w:tcPr>
            <w:tcW w:w="2573" w:type="dxa"/>
            <w:tcBorders>
              <w:top w:val="nil"/>
              <w:left w:val="nil"/>
              <w:bottom w:val="single" w:sz="4" w:space="0" w:color="auto"/>
              <w:right w:val="single" w:sz="4" w:space="0" w:color="auto"/>
            </w:tcBorders>
            <w:noWrap/>
            <w:hideMark/>
          </w:tcPr>
          <w:p w14:paraId="7A7A631A" w14:textId="77777777" w:rsidR="00EE35DE" w:rsidRPr="00F567E1" w:rsidRDefault="00EE35DE" w:rsidP="009A58EE">
            <w:pPr>
              <w:pStyle w:val="Normal-pool-Table"/>
              <w:rPr>
                <w:szCs w:val="18"/>
                <w:lang w:val="es-ES_tradnl"/>
              </w:rPr>
            </w:pPr>
            <w:r w:rsidRPr="00F567E1">
              <w:rPr>
                <w:color w:val="000000"/>
                <w:lang w:val="es-ES_tradnl"/>
              </w:rPr>
              <w:t>República Dominicana</w:t>
            </w:r>
          </w:p>
        </w:tc>
        <w:tc>
          <w:tcPr>
            <w:tcW w:w="1400" w:type="dxa"/>
            <w:tcBorders>
              <w:top w:val="nil"/>
              <w:left w:val="nil"/>
              <w:bottom w:val="single" w:sz="4" w:space="0" w:color="auto"/>
              <w:right w:val="single" w:sz="4" w:space="0" w:color="auto"/>
            </w:tcBorders>
            <w:noWrap/>
            <w:hideMark/>
          </w:tcPr>
          <w:p w14:paraId="4438DED2" w14:textId="77777777" w:rsidR="00EE35DE" w:rsidRPr="00F567E1" w:rsidRDefault="00EE35DE" w:rsidP="009A58EE">
            <w:pPr>
              <w:pStyle w:val="Normal-pool-Table"/>
              <w:jc w:val="right"/>
              <w:rPr>
                <w:szCs w:val="18"/>
                <w:lang w:val="es-ES_tradnl"/>
              </w:rPr>
            </w:pPr>
            <w:r w:rsidRPr="00F567E1">
              <w:rPr>
                <w:color w:val="000000"/>
                <w:lang w:val="es-ES_tradnl"/>
              </w:rPr>
              <w:t>0,069</w:t>
            </w:r>
          </w:p>
        </w:tc>
        <w:tc>
          <w:tcPr>
            <w:tcW w:w="1073" w:type="dxa"/>
            <w:tcBorders>
              <w:top w:val="nil"/>
              <w:left w:val="nil"/>
              <w:bottom w:val="single" w:sz="4" w:space="0" w:color="auto"/>
              <w:right w:val="single" w:sz="4" w:space="0" w:color="auto"/>
            </w:tcBorders>
            <w:noWrap/>
            <w:hideMark/>
          </w:tcPr>
          <w:p w14:paraId="54C8FA3A" w14:textId="77777777" w:rsidR="00EE35DE" w:rsidRPr="00F567E1" w:rsidRDefault="00EE35DE" w:rsidP="009A58EE">
            <w:pPr>
              <w:pStyle w:val="Normal-pool-Table"/>
              <w:jc w:val="right"/>
              <w:rPr>
                <w:szCs w:val="18"/>
                <w:lang w:val="es-ES_tradnl"/>
              </w:rPr>
            </w:pPr>
            <w:r w:rsidRPr="00F567E1">
              <w:rPr>
                <w:color w:val="000000"/>
                <w:lang w:val="es-ES_tradnl"/>
              </w:rPr>
              <w:t>0,0696</w:t>
            </w:r>
          </w:p>
        </w:tc>
        <w:tc>
          <w:tcPr>
            <w:tcW w:w="1293" w:type="dxa"/>
            <w:tcBorders>
              <w:top w:val="nil"/>
              <w:left w:val="nil"/>
              <w:bottom w:val="single" w:sz="4" w:space="0" w:color="auto"/>
              <w:right w:val="single" w:sz="4" w:space="0" w:color="auto"/>
            </w:tcBorders>
            <w:noWrap/>
            <w:hideMark/>
          </w:tcPr>
          <w:p w14:paraId="3D34580A" w14:textId="77777777" w:rsidR="00EE35DE" w:rsidRPr="00F567E1" w:rsidRDefault="00EE35DE" w:rsidP="009A58EE">
            <w:pPr>
              <w:pStyle w:val="Normal-pool-Table"/>
              <w:jc w:val="right"/>
              <w:rPr>
                <w:szCs w:val="18"/>
                <w:lang w:val="es-ES_tradnl"/>
              </w:rPr>
            </w:pPr>
            <w:r w:rsidRPr="00F567E1">
              <w:rPr>
                <w:color w:val="000000"/>
                <w:lang w:val="es-ES_tradnl"/>
              </w:rPr>
              <w:t>2 147</w:t>
            </w:r>
          </w:p>
        </w:tc>
        <w:tc>
          <w:tcPr>
            <w:tcW w:w="1293" w:type="dxa"/>
            <w:tcBorders>
              <w:top w:val="nil"/>
              <w:left w:val="nil"/>
              <w:bottom w:val="single" w:sz="4" w:space="0" w:color="auto"/>
              <w:right w:val="single" w:sz="4" w:space="0" w:color="auto"/>
            </w:tcBorders>
            <w:noWrap/>
            <w:hideMark/>
          </w:tcPr>
          <w:p w14:paraId="1C2250BA" w14:textId="77777777" w:rsidR="00EE35DE" w:rsidRPr="00F567E1" w:rsidRDefault="00EE35DE" w:rsidP="009A58EE">
            <w:pPr>
              <w:pStyle w:val="Normal-pool-Table"/>
              <w:jc w:val="right"/>
              <w:rPr>
                <w:szCs w:val="18"/>
                <w:lang w:val="es-ES_tradnl"/>
              </w:rPr>
            </w:pPr>
            <w:r w:rsidRPr="00F567E1">
              <w:rPr>
                <w:color w:val="000000"/>
                <w:lang w:val="es-ES_tradnl"/>
              </w:rPr>
              <w:t>2 834</w:t>
            </w:r>
          </w:p>
        </w:tc>
        <w:tc>
          <w:tcPr>
            <w:tcW w:w="1313" w:type="dxa"/>
            <w:tcBorders>
              <w:top w:val="nil"/>
              <w:left w:val="nil"/>
              <w:bottom w:val="single" w:sz="4" w:space="0" w:color="auto"/>
              <w:right w:val="single" w:sz="4" w:space="0" w:color="auto"/>
            </w:tcBorders>
            <w:noWrap/>
            <w:hideMark/>
          </w:tcPr>
          <w:p w14:paraId="6B7FA1EB" w14:textId="77777777" w:rsidR="00EE35DE" w:rsidRPr="00F567E1" w:rsidRDefault="00EE35DE" w:rsidP="009A58EE">
            <w:pPr>
              <w:pStyle w:val="Normal-pool-Table"/>
              <w:jc w:val="right"/>
              <w:rPr>
                <w:szCs w:val="18"/>
                <w:lang w:val="es-ES_tradnl"/>
              </w:rPr>
            </w:pPr>
            <w:r w:rsidRPr="00F567E1">
              <w:rPr>
                <w:color w:val="000000"/>
                <w:lang w:val="es-ES_tradnl"/>
              </w:rPr>
              <w:t>4 981</w:t>
            </w:r>
          </w:p>
        </w:tc>
      </w:tr>
      <w:tr w:rsidR="00EE35DE" w:rsidRPr="00F567E1" w14:paraId="1BF8831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43F3902" w14:textId="23A9CB01" w:rsidR="00EE35DE" w:rsidRPr="00F567E1" w:rsidRDefault="00EE35DE" w:rsidP="009A58EE">
            <w:pPr>
              <w:pStyle w:val="Normal-pool-Table"/>
              <w:rPr>
                <w:szCs w:val="18"/>
                <w:lang w:val="es-ES_tradnl"/>
              </w:rPr>
            </w:pPr>
            <w:r w:rsidRPr="00F567E1">
              <w:rPr>
                <w:color w:val="000000"/>
                <w:lang w:val="es-ES_tradnl"/>
              </w:rPr>
              <w:t>123</w:t>
            </w:r>
          </w:p>
        </w:tc>
        <w:tc>
          <w:tcPr>
            <w:tcW w:w="2573" w:type="dxa"/>
            <w:tcBorders>
              <w:top w:val="nil"/>
              <w:left w:val="nil"/>
              <w:bottom w:val="single" w:sz="4" w:space="0" w:color="auto"/>
              <w:right w:val="single" w:sz="4" w:space="0" w:color="auto"/>
            </w:tcBorders>
            <w:noWrap/>
            <w:hideMark/>
          </w:tcPr>
          <w:p w14:paraId="687AF7A9" w14:textId="77777777" w:rsidR="00EE35DE" w:rsidRPr="00F567E1" w:rsidRDefault="00EE35DE" w:rsidP="009A58EE">
            <w:pPr>
              <w:pStyle w:val="Normal-pool-Table"/>
              <w:rPr>
                <w:szCs w:val="18"/>
                <w:lang w:val="es-ES_tradnl"/>
              </w:rPr>
            </w:pPr>
            <w:r w:rsidRPr="00F567E1">
              <w:rPr>
                <w:color w:val="000000"/>
                <w:lang w:val="es-ES_tradnl"/>
              </w:rPr>
              <w:t>Saint Kitts y Nevis</w:t>
            </w:r>
          </w:p>
        </w:tc>
        <w:tc>
          <w:tcPr>
            <w:tcW w:w="1400" w:type="dxa"/>
            <w:tcBorders>
              <w:top w:val="nil"/>
              <w:left w:val="nil"/>
              <w:bottom w:val="single" w:sz="4" w:space="0" w:color="auto"/>
              <w:right w:val="single" w:sz="4" w:space="0" w:color="auto"/>
            </w:tcBorders>
            <w:noWrap/>
            <w:hideMark/>
          </w:tcPr>
          <w:p w14:paraId="507C0ADA"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hideMark/>
          </w:tcPr>
          <w:p w14:paraId="41B91BB8"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75694977"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63346273"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6BB1B84E"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0A28E5D2" w14:textId="77777777" w:rsidTr="00F16F39">
        <w:trPr>
          <w:trHeight w:val="300"/>
          <w:jc w:val="right"/>
        </w:trPr>
        <w:tc>
          <w:tcPr>
            <w:tcW w:w="541" w:type="dxa"/>
            <w:tcBorders>
              <w:top w:val="nil"/>
              <w:left w:val="single" w:sz="4" w:space="0" w:color="auto"/>
              <w:bottom w:val="single" w:sz="4" w:space="0" w:color="auto"/>
              <w:right w:val="single" w:sz="4" w:space="0" w:color="auto"/>
            </w:tcBorders>
            <w:noWrap/>
            <w:hideMark/>
          </w:tcPr>
          <w:p w14:paraId="27C91166" w14:textId="2C4227F8" w:rsidR="00EE35DE" w:rsidRPr="00F567E1" w:rsidRDefault="00EE35DE" w:rsidP="009A58EE">
            <w:pPr>
              <w:pStyle w:val="Normal-pool-Table"/>
              <w:rPr>
                <w:szCs w:val="18"/>
                <w:lang w:val="es-ES_tradnl"/>
              </w:rPr>
            </w:pPr>
            <w:r w:rsidRPr="00F567E1">
              <w:rPr>
                <w:color w:val="000000"/>
                <w:lang w:val="es-ES_tradnl"/>
              </w:rPr>
              <w:t>124</w:t>
            </w:r>
          </w:p>
        </w:tc>
        <w:tc>
          <w:tcPr>
            <w:tcW w:w="2573" w:type="dxa"/>
            <w:tcBorders>
              <w:top w:val="nil"/>
              <w:left w:val="nil"/>
              <w:bottom w:val="single" w:sz="4" w:space="0" w:color="auto"/>
              <w:right w:val="single" w:sz="4" w:space="0" w:color="auto"/>
            </w:tcBorders>
            <w:noWrap/>
            <w:hideMark/>
          </w:tcPr>
          <w:p w14:paraId="67AD30F2" w14:textId="77777777" w:rsidR="00EE35DE" w:rsidRPr="00F567E1" w:rsidRDefault="00EE35DE" w:rsidP="009A58EE">
            <w:pPr>
              <w:pStyle w:val="Normal-pool-Table"/>
              <w:rPr>
                <w:szCs w:val="18"/>
                <w:lang w:val="es-ES_tradnl"/>
              </w:rPr>
            </w:pPr>
            <w:hyperlink r:id="rId18" w:history="1">
              <w:r w:rsidRPr="00F567E1">
                <w:rPr>
                  <w:color w:val="000000"/>
                  <w:lang w:val="es-ES_tradnl"/>
                </w:rPr>
                <w:t>San Vicente y las Granadinas</w:t>
              </w:r>
            </w:hyperlink>
          </w:p>
        </w:tc>
        <w:tc>
          <w:tcPr>
            <w:tcW w:w="1400" w:type="dxa"/>
            <w:tcBorders>
              <w:top w:val="nil"/>
              <w:left w:val="nil"/>
              <w:bottom w:val="single" w:sz="4" w:space="0" w:color="auto"/>
              <w:right w:val="single" w:sz="4" w:space="0" w:color="auto"/>
            </w:tcBorders>
            <w:noWrap/>
            <w:vAlign w:val="bottom"/>
            <w:hideMark/>
          </w:tcPr>
          <w:p w14:paraId="7A3BAB46" w14:textId="77777777" w:rsidR="00EE35DE" w:rsidRPr="00F567E1" w:rsidRDefault="00EE35DE" w:rsidP="009A58EE">
            <w:pPr>
              <w:pStyle w:val="Normal-pool-Table"/>
              <w:jc w:val="right"/>
              <w:rPr>
                <w:szCs w:val="18"/>
                <w:lang w:val="es-ES_tradnl"/>
              </w:rPr>
            </w:pPr>
            <w:r w:rsidRPr="00F567E1">
              <w:rPr>
                <w:color w:val="000000"/>
                <w:lang w:val="es-ES_tradnl"/>
              </w:rPr>
              <w:t>0,001</w:t>
            </w:r>
          </w:p>
        </w:tc>
        <w:tc>
          <w:tcPr>
            <w:tcW w:w="1073" w:type="dxa"/>
            <w:tcBorders>
              <w:top w:val="nil"/>
              <w:left w:val="nil"/>
              <w:bottom w:val="single" w:sz="4" w:space="0" w:color="auto"/>
              <w:right w:val="single" w:sz="4" w:space="0" w:color="auto"/>
            </w:tcBorders>
            <w:noWrap/>
            <w:vAlign w:val="bottom"/>
            <w:hideMark/>
          </w:tcPr>
          <w:p w14:paraId="5E2683D4"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vAlign w:val="bottom"/>
            <w:hideMark/>
          </w:tcPr>
          <w:p w14:paraId="069C4F56"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vAlign w:val="bottom"/>
            <w:hideMark/>
          </w:tcPr>
          <w:p w14:paraId="359C3843"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vAlign w:val="bottom"/>
            <w:hideMark/>
          </w:tcPr>
          <w:p w14:paraId="452727A6"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5340EC9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E056CF3" w14:textId="185E3A70" w:rsidR="00EE35DE" w:rsidRPr="00F567E1" w:rsidRDefault="00EE35DE" w:rsidP="009A58EE">
            <w:pPr>
              <w:pStyle w:val="Normal-pool-Table"/>
              <w:rPr>
                <w:szCs w:val="18"/>
                <w:lang w:val="es-ES_tradnl"/>
              </w:rPr>
            </w:pPr>
            <w:r w:rsidRPr="00F567E1">
              <w:rPr>
                <w:color w:val="000000"/>
                <w:lang w:val="es-ES_tradnl"/>
              </w:rPr>
              <w:t>125</w:t>
            </w:r>
          </w:p>
        </w:tc>
        <w:tc>
          <w:tcPr>
            <w:tcW w:w="2573" w:type="dxa"/>
            <w:tcBorders>
              <w:top w:val="nil"/>
              <w:left w:val="nil"/>
              <w:bottom w:val="single" w:sz="4" w:space="0" w:color="auto"/>
              <w:right w:val="single" w:sz="4" w:space="0" w:color="auto"/>
            </w:tcBorders>
            <w:noWrap/>
            <w:hideMark/>
          </w:tcPr>
          <w:p w14:paraId="113180F2" w14:textId="77777777" w:rsidR="00EE35DE" w:rsidRPr="00F567E1" w:rsidRDefault="00EE35DE" w:rsidP="009A58EE">
            <w:pPr>
              <w:pStyle w:val="Normal-pool-Table"/>
              <w:rPr>
                <w:szCs w:val="18"/>
                <w:lang w:val="es-ES_tradnl"/>
              </w:rPr>
            </w:pPr>
            <w:r w:rsidRPr="00F567E1">
              <w:rPr>
                <w:color w:val="000000"/>
                <w:lang w:val="es-ES_tradnl"/>
              </w:rPr>
              <w:t>Santa Lucía</w:t>
            </w:r>
          </w:p>
        </w:tc>
        <w:tc>
          <w:tcPr>
            <w:tcW w:w="1400" w:type="dxa"/>
            <w:tcBorders>
              <w:top w:val="nil"/>
              <w:left w:val="nil"/>
              <w:bottom w:val="single" w:sz="4" w:space="0" w:color="auto"/>
              <w:right w:val="single" w:sz="4" w:space="0" w:color="auto"/>
            </w:tcBorders>
            <w:noWrap/>
            <w:hideMark/>
          </w:tcPr>
          <w:p w14:paraId="332C6F26" w14:textId="77777777" w:rsidR="00EE35DE" w:rsidRPr="00F567E1" w:rsidRDefault="00EE35DE" w:rsidP="009A58EE">
            <w:pPr>
              <w:pStyle w:val="Normal-pool-Table"/>
              <w:jc w:val="right"/>
              <w:rPr>
                <w:szCs w:val="18"/>
                <w:lang w:val="es-ES_tradnl"/>
              </w:rPr>
            </w:pPr>
            <w:r w:rsidRPr="00F567E1">
              <w:rPr>
                <w:color w:val="000000"/>
                <w:lang w:val="es-ES_tradnl"/>
              </w:rPr>
              <w:t>0,002</w:t>
            </w:r>
          </w:p>
        </w:tc>
        <w:tc>
          <w:tcPr>
            <w:tcW w:w="1073" w:type="dxa"/>
            <w:tcBorders>
              <w:top w:val="nil"/>
              <w:left w:val="nil"/>
              <w:bottom w:val="single" w:sz="4" w:space="0" w:color="auto"/>
              <w:right w:val="single" w:sz="4" w:space="0" w:color="auto"/>
            </w:tcBorders>
            <w:noWrap/>
            <w:hideMark/>
          </w:tcPr>
          <w:p w14:paraId="4AB0D73A"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7D3D9E6A"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3FF33A40"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710E78E5"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2C6E3DE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CC233F3" w14:textId="5763CEB1" w:rsidR="00EE35DE" w:rsidRPr="00F567E1" w:rsidRDefault="00EE35DE" w:rsidP="009A58EE">
            <w:pPr>
              <w:pStyle w:val="Normal-pool-Table"/>
              <w:rPr>
                <w:szCs w:val="18"/>
                <w:lang w:val="es-ES_tradnl"/>
              </w:rPr>
            </w:pPr>
            <w:r w:rsidRPr="00F567E1">
              <w:rPr>
                <w:color w:val="000000"/>
                <w:lang w:val="es-ES_tradnl"/>
              </w:rPr>
              <w:t>126</w:t>
            </w:r>
          </w:p>
        </w:tc>
        <w:tc>
          <w:tcPr>
            <w:tcW w:w="2573" w:type="dxa"/>
            <w:tcBorders>
              <w:top w:val="nil"/>
              <w:left w:val="nil"/>
              <w:bottom w:val="single" w:sz="4" w:space="0" w:color="auto"/>
              <w:right w:val="single" w:sz="4" w:space="0" w:color="auto"/>
            </w:tcBorders>
            <w:noWrap/>
            <w:hideMark/>
          </w:tcPr>
          <w:p w14:paraId="414FE737" w14:textId="77777777" w:rsidR="00EE35DE" w:rsidRPr="00F567E1" w:rsidRDefault="00EE35DE" w:rsidP="009A58EE">
            <w:pPr>
              <w:pStyle w:val="Normal-pool-Table"/>
              <w:rPr>
                <w:szCs w:val="18"/>
                <w:lang w:val="es-ES_tradnl"/>
              </w:rPr>
            </w:pPr>
            <w:r w:rsidRPr="00F567E1">
              <w:rPr>
                <w:color w:val="000000"/>
                <w:lang w:val="es-ES_tradnl"/>
              </w:rPr>
              <w:t>Suriname</w:t>
            </w:r>
          </w:p>
        </w:tc>
        <w:tc>
          <w:tcPr>
            <w:tcW w:w="1400" w:type="dxa"/>
            <w:tcBorders>
              <w:top w:val="nil"/>
              <w:left w:val="nil"/>
              <w:bottom w:val="single" w:sz="4" w:space="0" w:color="auto"/>
              <w:right w:val="single" w:sz="4" w:space="0" w:color="auto"/>
            </w:tcBorders>
            <w:noWrap/>
            <w:hideMark/>
          </w:tcPr>
          <w:p w14:paraId="3165FF39" w14:textId="77777777" w:rsidR="00EE35DE" w:rsidRPr="00F567E1" w:rsidRDefault="00EE35DE" w:rsidP="009A58EE">
            <w:pPr>
              <w:pStyle w:val="Normal-pool-Table"/>
              <w:jc w:val="right"/>
              <w:rPr>
                <w:szCs w:val="18"/>
                <w:lang w:val="es-ES_tradnl"/>
              </w:rPr>
            </w:pPr>
            <w:r w:rsidRPr="00F567E1">
              <w:rPr>
                <w:color w:val="000000"/>
                <w:lang w:val="es-ES_tradnl"/>
              </w:rPr>
              <w:t>0,002</w:t>
            </w:r>
          </w:p>
        </w:tc>
        <w:tc>
          <w:tcPr>
            <w:tcW w:w="1073" w:type="dxa"/>
            <w:tcBorders>
              <w:top w:val="nil"/>
              <w:left w:val="nil"/>
              <w:bottom w:val="single" w:sz="4" w:space="0" w:color="auto"/>
              <w:right w:val="single" w:sz="4" w:space="0" w:color="auto"/>
            </w:tcBorders>
            <w:noWrap/>
            <w:hideMark/>
          </w:tcPr>
          <w:p w14:paraId="30FD0A2B"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767BF300"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0C264FF9"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34D6B86F"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0B4488E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C49E758" w14:textId="77777777" w:rsidR="00EE35DE" w:rsidRPr="00F567E1" w:rsidRDefault="00EE35DE" w:rsidP="009A58EE">
            <w:pPr>
              <w:pStyle w:val="Normal-pool-Table"/>
              <w:rPr>
                <w:szCs w:val="18"/>
                <w:lang w:val="es-ES_tradnl"/>
              </w:rPr>
            </w:pPr>
            <w:r w:rsidRPr="00F567E1">
              <w:rPr>
                <w:color w:val="000000"/>
                <w:lang w:val="es-ES_tradnl"/>
              </w:rPr>
              <w:t>127</w:t>
            </w:r>
          </w:p>
        </w:tc>
        <w:tc>
          <w:tcPr>
            <w:tcW w:w="2573" w:type="dxa"/>
            <w:tcBorders>
              <w:top w:val="nil"/>
              <w:left w:val="nil"/>
              <w:bottom w:val="single" w:sz="4" w:space="0" w:color="auto"/>
              <w:right w:val="single" w:sz="4" w:space="0" w:color="auto"/>
            </w:tcBorders>
            <w:noWrap/>
            <w:hideMark/>
          </w:tcPr>
          <w:p w14:paraId="5A3CCA52" w14:textId="77777777" w:rsidR="00EE35DE" w:rsidRPr="00F567E1" w:rsidRDefault="00EE35DE" w:rsidP="009A58EE">
            <w:pPr>
              <w:pStyle w:val="Normal-pool-Table"/>
              <w:rPr>
                <w:szCs w:val="18"/>
                <w:lang w:val="es-ES_tradnl"/>
              </w:rPr>
            </w:pPr>
            <w:r w:rsidRPr="00F567E1">
              <w:rPr>
                <w:color w:val="000000"/>
                <w:lang w:val="es-ES_tradnl"/>
              </w:rPr>
              <w:t>Uruguay</w:t>
            </w:r>
          </w:p>
        </w:tc>
        <w:tc>
          <w:tcPr>
            <w:tcW w:w="1400" w:type="dxa"/>
            <w:tcBorders>
              <w:top w:val="nil"/>
              <w:left w:val="nil"/>
              <w:bottom w:val="single" w:sz="4" w:space="0" w:color="auto"/>
              <w:right w:val="single" w:sz="4" w:space="0" w:color="auto"/>
            </w:tcBorders>
            <w:noWrap/>
            <w:hideMark/>
          </w:tcPr>
          <w:p w14:paraId="692AA432" w14:textId="77777777" w:rsidR="00EE35DE" w:rsidRPr="00F567E1" w:rsidRDefault="00EE35DE" w:rsidP="009A58EE">
            <w:pPr>
              <w:pStyle w:val="Normal-pool-Table"/>
              <w:jc w:val="right"/>
              <w:rPr>
                <w:szCs w:val="18"/>
                <w:lang w:val="es-ES_tradnl"/>
              </w:rPr>
            </w:pPr>
            <w:r w:rsidRPr="00F567E1">
              <w:rPr>
                <w:color w:val="000000"/>
                <w:lang w:val="es-ES_tradnl"/>
              </w:rPr>
              <w:t>0,079</w:t>
            </w:r>
          </w:p>
        </w:tc>
        <w:tc>
          <w:tcPr>
            <w:tcW w:w="1073" w:type="dxa"/>
            <w:tcBorders>
              <w:top w:val="nil"/>
              <w:left w:val="nil"/>
              <w:bottom w:val="single" w:sz="4" w:space="0" w:color="auto"/>
              <w:right w:val="single" w:sz="4" w:space="0" w:color="auto"/>
            </w:tcBorders>
            <w:noWrap/>
            <w:hideMark/>
          </w:tcPr>
          <w:p w14:paraId="23EA0E66" w14:textId="77777777" w:rsidR="00EE35DE" w:rsidRPr="00F567E1" w:rsidRDefault="00EE35DE" w:rsidP="009A58EE">
            <w:pPr>
              <w:pStyle w:val="Normal-pool-Table"/>
              <w:jc w:val="right"/>
              <w:rPr>
                <w:szCs w:val="18"/>
                <w:lang w:val="es-ES_tradnl"/>
              </w:rPr>
            </w:pPr>
            <w:r w:rsidRPr="00F567E1">
              <w:rPr>
                <w:color w:val="000000"/>
                <w:lang w:val="es-ES_tradnl"/>
              </w:rPr>
              <w:t>0,0797</w:t>
            </w:r>
          </w:p>
        </w:tc>
        <w:tc>
          <w:tcPr>
            <w:tcW w:w="1293" w:type="dxa"/>
            <w:tcBorders>
              <w:top w:val="nil"/>
              <w:left w:val="nil"/>
              <w:bottom w:val="single" w:sz="4" w:space="0" w:color="auto"/>
              <w:right w:val="single" w:sz="4" w:space="0" w:color="auto"/>
            </w:tcBorders>
            <w:noWrap/>
            <w:hideMark/>
          </w:tcPr>
          <w:p w14:paraId="653718AC" w14:textId="77777777" w:rsidR="00EE35DE" w:rsidRPr="00F567E1" w:rsidRDefault="00EE35DE" w:rsidP="009A58EE">
            <w:pPr>
              <w:pStyle w:val="Normal-pool-Table"/>
              <w:jc w:val="right"/>
              <w:rPr>
                <w:szCs w:val="18"/>
                <w:lang w:val="es-ES_tradnl"/>
              </w:rPr>
            </w:pPr>
            <w:r w:rsidRPr="00F567E1">
              <w:rPr>
                <w:color w:val="000000"/>
                <w:lang w:val="es-ES_tradnl"/>
              </w:rPr>
              <w:t>2 459</w:t>
            </w:r>
          </w:p>
        </w:tc>
        <w:tc>
          <w:tcPr>
            <w:tcW w:w="1293" w:type="dxa"/>
            <w:tcBorders>
              <w:top w:val="nil"/>
              <w:left w:val="nil"/>
              <w:bottom w:val="single" w:sz="4" w:space="0" w:color="auto"/>
              <w:right w:val="single" w:sz="4" w:space="0" w:color="auto"/>
            </w:tcBorders>
            <w:noWrap/>
            <w:hideMark/>
          </w:tcPr>
          <w:p w14:paraId="0DBA727A" w14:textId="77777777" w:rsidR="00EE35DE" w:rsidRPr="00F567E1" w:rsidRDefault="00EE35DE" w:rsidP="009A58EE">
            <w:pPr>
              <w:pStyle w:val="Normal-pool-Table"/>
              <w:jc w:val="right"/>
              <w:rPr>
                <w:szCs w:val="18"/>
                <w:lang w:val="es-ES_tradnl"/>
              </w:rPr>
            </w:pPr>
            <w:r w:rsidRPr="00F567E1">
              <w:rPr>
                <w:color w:val="000000"/>
                <w:lang w:val="es-ES_tradnl"/>
              </w:rPr>
              <w:t>3 245</w:t>
            </w:r>
          </w:p>
        </w:tc>
        <w:tc>
          <w:tcPr>
            <w:tcW w:w="1313" w:type="dxa"/>
            <w:tcBorders>
              <w:top w:val="nil"/>
              <w:left w:val="nil"/>
              <w:bottom w:val="single" w:sz="4" w:space="0" w:color="auto"/>
              <w:right w:val="single" w:sz="4" w:space="0" w:color="auto"/>
            </w:tcBorders>
            <w:noWrap/>
            <w:hideMark/>
          </w:tcPr>
          <w:p w14:paraId="44C66CB1" w14:textId="77777777" w:rsidR="00EE35DE" w:rsidRPr="00F567E1" w:rsidRDefault="00EE35DE" w:rsidP="009A58EE">
            <w:pPr>
              <w:pStyle w:val="Normal-pool-Table"/>
              <w:jc w:val="right"/>
              <w:rPr>
                <w:szCs w:val="18"/>
                <w:lang w:val="es-ES_tradnl"/>
              </w:rPr>
            </w:pPr>
            <w:r w:rsidRPr="00F567E1">
              <w:rPr>
                <w:color w:val="000000"/>
                <w:lang w:val="es-ES_tradnl"/>
              </w:rPr>
              <w:t>5 703</w:t>
            </w:r>
          </w:p>
        </w:tc>
      </w:tr>
      <w:tr w:rsidR="00F234CD" w:rsidRPr="00F567E1" w14:paraId="0D9FE073" w14:textId="77777777" w:rsidTr="009A58EE">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618D87CE" w14:textId="77777777" w:rsidR="00312042" w:rsidRPr="00F567E1" w:rsidRDefault="00312042" w:rsidP="009A58EE">
            <w:pPr>
              <w:pStyle w:val="Normal-pool-Table"/>
              <w:rPr>
                <w:b/>
                <w:bCs/>
                <w:szCs w:val="18"/>
                <w:lang w:val="es-ES_tradnl"/>
              </w:rPr>
            </w:pPr>
            <w:r w:rsidRPr="00F567E1">
              <w:rPr>
                <w:b/>
                <w:bCs/>
                <w:color w:val="000000"/>
                <w:lang w:val="es-ES_tradnl"/>
              </w:rPr>
              <w:t>Estados de Europa Occidental y otros Estados (26)</w:t>
            </w:r>
          </w:p>
        </w:tc>
      </w:tr>
      <w:tr w:rsidR="00EE35DE" w:rsidRPr="00F567E1" w14:paraId="4D0363F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8FA3C0B" w14:textId="706C6F49" w:rsidR="00EE35DE" w:rsidRPr="00F567E1" w:rsidRDefault="00EE35DE" w:rsidP="009A58EE">
            <w:pPr>
              <w:pStyle w:val="Normal-pool-Table"/>
              <w:rPr>
                <w:szCs w:val="18"/>
                <w:lang w:val="es-ES_tradnl"/>
              </w:rPr>
            </w:pPr>
            <w:r w:rsidRPr="00F567E1">
              <w:rPr>
                <w:color w:val="000000"/>
                <w:lang w:val="es-ES_tradnl"/>
              </w:rPr>
              <w:t>128</w:t>
            </w:r>
          </w:p>
        </w:tc>
        <w:tc>
          <w:tcPr>
            <w:tcW w:w="2573" w:type="dxa"/>
            <w:tcBorders>
              <w:top w:val="nil"/>
              <w:left w:val="nil"/>
              <w:bottom w:val="single" w:sz="4" w:space="0" w:color="auto"/>
              <w:right w:val="single" w:sz="4" w:space="0" w:color="auto"/>
            </w:tcBorders>
            <w:noWrap/>
            <w:hideMark/>
          </w:tcPr>
          <w:p w14:paraId="22DE411F" w14:textId="77777777" w:rsidR="00EE35DE" w:rsidRPr="00F567E1" w:rsidRDefault="00EE35DE" w:rsidP="009A58EE">
            <w:pPr>
              <w:pStyle w:val="Normal-pool-Table"/>
              <w:rPr>
                <w:szCs w:val="18"/>
                <w:lang w:val="es-ES_tradnl"/>
              </w:rPr>
            </w:pPr>
            <w:r w:rsidRPr="00F567E1">
              <w:rPr>
                <w:color w:val="000000"/>
                <w:lang w:val="es-ES_tradnl"/>
              </w:rPr>
              <w:t>Alemania</w:t>
            </w:r>
          </w:p>
        </w:tc>
        <w:tc>
          <w:tcPr>
            <w:tcW w:w="1400" w:type="dxa"/>
            <w:tcBorders>
              <w:top w:val="nil"/>
              <w:left w:val="nil"/>
              <w:bottom w:val="single" w:sz="4" w:space="0" w:color="auto"/>
              <w:right w:val="single" w:sz="4" w:space="0" w:color="auto"/>
            </w:tcBorders>
            <w:noWrap/>
            <w:hideMark/>
          </w:tcPr>
          <w:p w14:paraId="437514E8" w14:textId="77777777" w:rsidR="00EE35DE" w:rsidRPr="00F567E1" w:rsidRDefault="00EE35DE" w:rsidP="009A58EE">
            <w:pPr>
              <w:pStyle w:val="Normal-pool-Table"/>
              <w:jc w:val="right"/>
              <w:rPr>
                <w:szCs w:val="18"/>
                <w:lang w:val="es-ES_tradnl"/>
              </w:rPr>
            </w:pPr>
            <w:r w:rsidRPr="00F567E1">
              <w:rPr>
                <w:color w:val="000000"/>
                <w:lang w:val="es-ES_tradnl"/>
              </w:rPr>
              <w:t>5,692</w:t>
            </w:r>
          </w:p>
        </w:tc>
        <w:tc>
          <w:tcPr>
            <w:tcW w:w="1073" w:type="dxa"/>
            <w:tcBorders>
              <w:top w:val="nil"/>
              <w:left w:val="nil"/>
              <w:bottom w:val="single" w:sz="4" w:space="0" w:color="auto"/>
              <w:right w:val="single" w:sz="4" w:space="0" w:color="auto"/>
            </w:tcBorders>
            <w:noWrap/>
            <w:hideMark/>
          </w:tcPr>
          <w:p w14:paraId="7DAFEF87" w14:textId="77777777" w:rsidR="00EE35DE" w:rsidRPr="00F567E1" w:rsidRDefault="00EE35DE" w:rsidP="009A58EE">
            <w:pPr>
              <w:pStyle w:val="Normal-pool-Table"/>
              <w:jc w:val="right"/>
              <w:rPr>
                <w:szCs w:val="18"/>
                <w:lang w:val="es-ES_tradnl"/>
              </w:rPr>
            </w:pPr>
            <w:r w:rsidRPr="00F567E1">
              <w:rPr>
                <w:color w:val="000000"/>
                <w:lang w:val="es-ES_tradnl"/>
              </w:rPr>
              <w:t>5,7450</w:t>
            </w:r>
          </w:p>
        </w:tc>
        <w:tc>
          <w:tcPr>
            <w:tcW w:w="1293" w:type="dxa"/>
            <w:tcBorders>
              <w:top w:val="nil"/>
              <w:left w:val="nil"/>
              <w:bottom w:val="single" w:sz="4" w:space="0" w:color="auto"/>
              <w:right w:val="single" w:sz="4" w:space="0" w:color="auto"/>
            </w:tcBorders>
            <w:noWrap/>
            <w:hideMark/>
          </w:tcPr>
          <w:p w14:paraId="618519C8" w14:textId="77777777" w:rsidR="00EE35DE" w:rsidRPr="00F567E1" w:rsidRDefault="00EE35DE" w:rsidP="009A58EE">
            <w:pPr>
              <w:pStyle w:val="Normal-pool-Table"/>
              <w:jc w:val="right"/>
              <w:rPr>
                <w:szCs w:val="18"/>
                <w:lang w:val="es-ES_tradnl"/>
              </w:rPr>
            </w:pPr>
            <w:r w:rsidRPr="00F567E1">
              <w:rPr>
                <w:color w:val="000000"/>
                <w:lang w:val="es-ES_tradnl"/>
              </w:rPr>
              <w:t>177 138</w:t>
            </w:r>
          </w:p>
        </w:tc>
        <w:tc>
          <w:tcPr>
            <w:tcW w:w="1293" w:type="dxa"/>
            <w:tcBorders>
              <w:top w:val="nil"/>
              <w:left w:val="nil"/>
              <w:bottom w:val="single" w:sz="4" w:space="0" w:color="auto"/>
              <w:right w:val="single" w:sz="4" w:space="0" w:color="auto"/>
            </w:tcBorders>
            <w:noWrap/>
            <w:hideMark/>
          </w:tcPr>
          <w:p w14:paraId="4A3B04B8" w14:textId="77777777" w:rsidR="00EE35DE" w:rsidRPr="00F567E1" w:rsidRDefault="00EE35DE" w:rsidP="009A58EE">
            <w:pPr>
              <w:pStyle w:val="Normal-pool-Table"/>
              <w:jc w:val="right"/>
              <w:rPr>
                <w:szCs w:val="18"/>
                <w:lang w:val="es-ES_tradnl"/>
              </w:rPr>
            </w:pPr>
            <w:r w:rsidRPr="00F567E1">
              <w:rPr>
                <w:color w:val="000000"/>
                <w:lang w:val="es-ES_tradnl"/>
              </w:rPr>
              <w:t>233 779</w:t>
            </w:r>
          </w:p>
        </w:tc>
        <w:tc>
          <w:tcPr>
            <w:tcW w:w="1313" w:type="dxa"/>
            <w:tcBorders>
              <w:top w:val="nil"/>
              <w:left w:val="nil"/>
              <w:bottom w:val="single" w:sz="4" w:space="0" w:color="auto"/>
              <w:right w:val="single" w:sz="4" w:space="0" w:color="auto"/>
            </w:tcBorders>
            <w:noWrap/>
            <w:hideMark/>
          </w:tcPr>
          <w:p w14:paraId="5530D25F" w14:textId="77777777" w:rsidR="00EE35DE" w:rsidRPr="00F567E1" w:rsidRDefault="00EE35DE" w:rsidP="009A58EE">
            <w:pPr>
              <w:pStyle w:val="Normal-pool-Table"/>
              <w:jc w:val="right"/>
              <w:rPr>
                <w:szCs w:val="18"/>
                <w:lang w:val="es-ES_tradnl"/>
              </w:rPr>
            </w:pPr>
            <w:r w:rsidRPr="00F567E1">
              <w:rPr>
                <w:color w:val="000000"/>
                <w:lang w:val="es-ES_tradnl"/>
              </w:rPr>
              <w:t>410 917</w:t>
            </w:r>
          </w:p>
        </w:tc>
      </w:tr>
      <w:tr w:rsidR="00EE35DE" w:rsidRPr="00F567E1" w14:paraId="2D2B635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61E282A" w14:textId="23744EAF" w:rsidR="00EE35DE" w:rsidRPr="00F567E1" w:rsidRDefault="00EE35DE" w:rsidP="009A58EE">
            <w:pPr>
              <w:pStyle w:val="Normal-pool-Table"/>
              <w:rPr>
                <w:szCs w:val="18"/>
                <w:lang w:val="es-ES_tradnl"/>
              </w:rPr>
            </w:pPr>
            <w:r w:rsidRPr="00F567E1">
              <w:rPr>
                <w:color w:val="000000"/>
                <w:lang w:val="es-ES_tradnl"/>
              </w:rPr>
              <w:t>129</w:t>
            </w:r>
          </w:p>
        </w:tc>
        <w:tc>
          <w:tcPr>
            <w:tcW w:w="2573" w:type="dxa"/>
            <w:tcBorders>
              <w:top w:val="nil"/>
              <w:left w:val="nil"/>
              <w:bottom w:val="single" w:sz="4" w:space="0" w:color="auto"/>
              <w:right w:val="single" w:sz="4" w:space="0" w:color="auto"/>
            </w:tcBorders>
            <w:noWrap/>
            <w:hideMark/>
          </w:tcPr>
          <w:p w14:paraId="1DF7804B" w14:textId="77777777" w:rsidR="00EE35DE" w:rsidRPr="00F567E1" w:rsidRDefault="00EE35DE" w:rsidP="009A58EE">
            <w:pPr>
              <w:pStyle w:val="Normal-pool-Table"/>
              <w:rPr>
                <w:szCs w:val="18"/>
                <w:lang w:val="es-ES_tradnl"/>
              </w:rPr>
            </w:pPr>
            <w:r w:rsidRPr="00F567E1">
              <w:rPr>
                <w:color w:val="000000"/>
                <w:lang w:val="es-ES_tradnl"/>
              </w:rPr>
              <w:t>Australia</w:t>
            </w:r>
          </w:p>
        </w:tc>
        <w:tc>
          <w:tcPr>
            <w:tcW w:w="1400" w:type="dxa"/>
            <w:tcBorders>
              <w:top w:val="nil"/>
              <w:left w:val="nil"/>
              <w:bottom w:val="single" w:sz="4" w:space="0" w:color="auto"/>
              <w:right w:val="single" w:sz="4" w:space="0" w:color="auto"/>
            </w:tcBorders>
            <w:noWrap/>
            <w:hideMark/>
          </w:tcPr>
          <w:p w14:paraId="3B017717" w14:textId="77777777" w:rsidR="00EE35DE" w:rsidRPr="00F567E1" w:rsidRDefault="00EE35DE" w:rsidP="009A58EE">
            <w:pPr>
              <w:pStyle w:val="Normal-pool-Table"/>
              <w:jc w:val="right"/>
              <w:rPr>
                <w:szCs w:val="18"/>
                <w:lang w:val="es-ES_tradnl"/>
              </w:rPr>
            </w:pPr>
            <w:r w:rsidRPr="00F567E1">
              <w:rPr>
                <w:color w:val="000000"/>
                <w:lang w:val="es-ES_tradnl"/>
              </w:rPr>
              <w:t>2,04</w:t>
            </w:r>
          </w:p>
        </w:tc>
        <w:tc>
          <w:tcPr>
            <w:tcW w:w="1073" w:type="dxa"/>
            <w:tcBorders>
              <w:top w:val="nil"/>
              <w:left w:val="nil"/>
              <w:bottom w:val="single" w:sz="4" w:space="0" w:color="auto"/>
              <w:right w:val="single" w:sz="4" w:space="0" w:color="auto"/>
            </w:tcBorders>
            <w:noWrap/>
            <w:hideMark/>
          </w:tcPr>
          <w:p w14:paraId="42428FE3" w14:textId="77777777" w:rsidR="00EE35DE" w:rsidRPr="00F567E1" w:rsidRDefault="00EE35DE" w:rsidP="009A58EE">
            <w:pPr>
              <w:pStyle w:val="Normal-pool-Table"/>
              <w:jc w:val="right"/>
              <w:rPr>
                <w:szCs w:val="18"/>
                <w:lang w:val="es-ES_tradnl"/>
              </w:rPr>
            </w:pPr>
            <w:r w:rsidRPr="00F567E1">
              <w:rPr>
                <w:color w:val="000000"/>
                <w:lang w:val="es-ES_tradnl"/>
              </w:rPr>
              <w:t>2,0590</w:t>
            </w:r>
          </w:p>
        </w:tc>
        <w:tc>
          <w:tcPr>
            <w:tcW w:w="1293" w:type="dxa"/>
            <w:tcBorders>
              <w:top w:val="nil"/>
              <w:left w:val="nil"/>
              <w:bottom w:val="single" w:sz="4" w:space="0" w:color="auto"/>
              <w:right w:val="single" w:sz="4" w:space="0" w:color="auto"/>
            </w:tcBorders>
            <w:noWrap/>
            <w:hideMark/>
          </w:tcPr>
          <w:p w14:paraId="0E96CBD6" w14:textId="77777777" w:rsidR="00EE35DE" w:rsidRPr="00F567E1" w:rsidRDefault="00EE35DE" w:rsidP="009A58EE">
            <w:pPr>
              <w:pStyle w:val="Normal-pool-Table"/>
              <w:jc w:val="right"/>
              <w:rPr>
                <w:szCs w:val="18"/>
                <w:lang w:val="es-ES_tradnl"/>
              </w:rPr>
            </w:pPr>
            <w:r w:rsidRPr="00F567E1">
              <w:rPr>
                <w:color w:val="000000"/>
                <w:lang w:val="es-ES_tradnl"/>
              </w:rPr>
              <w:t>63 486</w:t>
            </w:r>
          </w:p>
        </w:tc>
        <w:tc>
          <w:tcPr>
            <w:tcW w:w="1293" w:type="dxa"/>
            <w:tcBorders>
              <w:top w:val="nil"/>
              <w:left w:val="nil"/>
              <w:bottom w:val="single" w:sz="4" w:space="0" w:color="auto"/>
              <w:right w:val="single" w:sz="4" w:space="0" w:color="auto"/>
            </w:tcBorders>
            <w:noWrap/>
            <w:hideMark/>
          </w:tcPr>
          <w:p w14:paraId="4A169873" w14:textId="77777777" w:rsidR="00EE35DE" w:rsidRPr="00F567E1" w:rsidRDefault="00EE35DE" w:rsidP="009A58EE">
            <w:pPr>
              <w:pStyle w:val="Normal-pool-Table"/>
              <w:jc w:val="right"/>
              <w:rPr>
                <w:szCs w:val="18"/>
                <w:lang w:val="es-ES_tradnl"/>
              </w:rPr>
            </w:pPr>
            <w:r w:rsidRPr="00F567E1">
              <w:rPr>
                <w:color w:val="000000"/>
                <w:lang w:val="es-ES_tradnl"/>
              </w:rPr>
              <w:t>83 786</w:t>
            </w:r>
          </w:p>
        </w:tc>
        <w:tc>
          <w:tcPr>
            <w:tcW w:w="1313" w:type="dxa"/>
            <w:tcBorders>
              <w:top w:val="nil"/>
              <w:left w:val="nil"/>
              <w:bottom w:val="single" w:sz="4" w:space="0" w:color="auto"/>
              <w:right w:val="single" w:sz="4" w:space="0" w:color="auto"/>
            </w:tcBorders>
            <w:noWrap/>
            <w:hideMark/>
          </w:tcPr>
          <w:p w14:paraId="5FE34719" w14:textId="77777777" w:rsidR="00EE35DE" w:rsidRPr="00F567E1" w:rsidRDefault="00EE35DE" w:rsidP="009A58EE">
            <w:pPr>
              <w:pStyle w:val="Normal-pool-Table"/>
              <w:jc w:val="right"/>
              <w:rPr>
                <w:szCs w:val="18"/>
                <w:lang w:val="es-ES_tradnl"/>
              </w:rPr>
            </w:pPr>
            <w:r w:rsidRPr="00F567E1">
              <w:rPr>
                <w:color w:val="000000"/>
                <w:lang w:val="es-ES_tradnl"/>
              </w:rPr>
              <w:t>147 272</w:t>
            </w:r>
          </w:p>
        </w:tc>
      </w:tr>
      <w:tr w:rsidR="00EE35DE" w:rsidRPr="00F567E1" w14:paraId="492ED07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48E2770" w14:textId="5E46A389" w:rsidR="00EE35DE" w:rsidRPr="00F567E1" w:rsidRDefault="00EE35DE" w:rsidP="009A58EE">
            <w:pPr>
              <w:pStyle w:val="Normal-pool-Table"/>
              <w:rPr>
                <w:szCs w:val="18"/>
                <w:lang w:val="es-ES_tradnl"/>
              </w:rPr>
            </w:pPr>
            <w:r w:rsidRPr="00F567E1">
              <w:rPr>
                <w:color w:val="000000"/>
                <w:lang w:val="es-ES_tradnl"/>
              </w:rPr>
              <w:t>130</w:t>
            </w:r>
          </w:p>
        </w:tc>
        <w:tc>
          <w:tcPr>
            <w:tcW w:w="2573" w:type="dxa"/>
            <w:tcBorders>
              <w:top w:val="nil"/>
              <w:left w:val="nil"/>
              <w:bottom w:val="single" w:sz="4" w:space="0" w:color="auto"/>
              <w:right w:val="single" w:sz="4" w:space="0" w:color="auto"/>
            </w:tcBorders>
            <w:noWrap/>
            <w:hideMark/>
          </w:tcPr>
          <w:p w14:paraId="0C8BEE0D" w14:textId="77777777" w:rsidR="00EE35DE" w:rsidRPr="00F567E1" w:rsidRDefault="00EE35DE" w:rsidP="009A58EE">
            <w:pPr>
              <w:pStyle w:val="Normal-pool-Table"/>
              <w:rPr>
                <w:szCs w:val="18"/>
                <w:lang w:val="es-ES_tradnl"/>
              </w:rPr>
            </w:pPr>
            <w:r w:rsidRPr="00F567E1">
              <w:rPr>
                <w:color w:val="000000"/>
                <w:lang w:val="es-ES_tradnl"/>
              </w:rPr>
              <w:t>Austria</w:t>
            </w:r>
          </w:p>
        </w:tc>
        <w:tc>
          <w:tcPr>
            <w:tcW w:w="1400" w:type="dxa"/>
            <w:tcBorders>
              <w:top w:val="nil"/>
              <w:left w:val="nil"/>
              <w:bottom w:val="single" w:sz="4" w:space="0" w:color="auto"/>
              <w:right w:val="single" w:sz="4" w:space="0" w:color="auto"/>
            </w:tcBorders>
            <w:noWrap/>
            <w:hideMark/>
          </w:tcPr>
          <w:p w14:paraId="6F380DA9" w14:textId="77777777" w:rsidR="00EE35DE" w:rsidRPr="00F567E1" w:rsidRDefault="00EE35DE" w:rsidP="009A58EE">
            <w:pPr>
              <w:pStyle w:val="Normal-pool-Table"/>
              <w:jc w:val="right"/>
              <w:rPr>
                <w:szCs w:val="18"/>
                <w:lang w:val="es-ES_tradnl"/>
              </w:rPr>
            </w:pPr>
            <w:r w:rsidRPr="00F567E1">
              <w:rPr>
                <w:color w:val="000000"/>
                <w:lang w:val="es-ES_tradnl"/>
              </w:rPr>
              <w:t>0,626</w:t>
            </w:r>
          </w:p>
        </w:tc>
        <w:tc>
          <w:tcPr>
            <w:tcW w:w="1073" w:type="dxa"/>
            <w:tcBorders>
              <w:top w:val="nil"/>
              <w:left w:val="nil"/>
              <w:bottom w:val="single" w:sz="4" w:space="0" w:color="auto"/>
              <w:right w:val="single" w:sz="4" w:space="0" w:color="auto"/>
            </w:tcBorders>
            <w:noWrap/>
            <w:hideMark/>
          </w:tcPr>
          <w:p w14:paraId="5470FB4A" w14:textId="77777777" w:rsidR="00EE35DE" w:rsidRPr="00F567E1" w:rsidRDefault="00EE35DE" w:rsidP="009A58EE">
            <w:pPr>
              <w:pStyle w:val="Normal-pool-Table"/>
              <w:jc w:val="right"/>
              <w:rPr>
                <w:szCs w:val="18"/>
                <w:lang w:val="es-ES_tradnl"/>
              </w:rPr>
            </w:pPr>
            <w:r w:rsidRPr="00F567E1">
              <w:rPr>
                <w:color w:val="000000"/>
                <w:lang w:val="es-ES_tradnl"/>
              </w:rPr>
              <w:t>0,6318</w:t>
            </w:r>
          </w:p>
        </w:tc>
        <w:tc>
          <w:tcPr>
            <w:tcW w:w="1293" w:type="dxa"/>
            <w:tcBorders>
              <w:top w:val="nil"/>
              <w:left w:val="nil"/>
              <w:bottom w:val="single" w:sz="4" w:space="0" w:color="auto"/>
              <w:right w:val="single" w:sz="4" w:space="0" w:color="auto"/>
            </w:tcBorders>
            <w:noWrap/>
            <w:hideMark/>
          </w:tcPr>
          <w:p w14:paraId="0D651922" w14:textId="77777777" w:rsidR="00EE35DE" w:rsidRPr="00F567E1" w:rsidRDefault="00EE35DE" w:rsidP="009A58EE">
            <w:pPr>
              <w:pStyle w:val="Normal-pool-Table"/>
              <w:jc w:val="right"/>
              <w:rPr>
                <w:szCs w:val="18"/>
                <w:lang w:val="es-ES_tradnl"/>
              </w:rPr>
            </w:pPr>
            <w:r w:rsidRPr="00F567E1">
              <w:rPr>
                <w:color w:val="000000"/>
                <w:lang w:val="es-ES_tradnl"/>
              </w:rPr>
              <w:t>19 481</w:t>
            </w:r>
          </w:p>
        </w:tc>
        <w:tc>
          <w:tcPr>
            <w:tcW w:w="1293" w:type="dxa"/>
            <w:tcBorders>
              <w:top w:val="nil"/>
              <w:left w:val="nil"/>
              <w:bottom w:val="single" w:sz="4" w:space="0" w:color="auto"/>
              <w:right w:val="single" w:sz="4" w:space="0" w:color="auto"/>
            </w:tcBorders>
            <w:noWrap/>
            <w:hideMark/>
          </w:tcPr>
          <w:p w14:paraId="7A81D942" w14:textId="77777777" w:rsidR="00EE35DE" w:rsidRPr="00F567E1" w:rsidRDefault="00EE35DE" w:rsidP="009A58EE">
            <w:pPr>
              <w:pStyle w:val="Normal-pool-Table"/>
              <w:jc w:val="right"/>
              <w:rPr>
                <w:szCs w:val="18"/>
                <w:lang w:val="es-ES_tradnl"/>
              </w:rPr>
            </w:pPr>
            <w:r w:rsidRPr="00F567E1">
              <w:rPr>
                <w:color w:val="000000"/>
                <w:lang w:val="es-ES_tradnl"/>
              </w:rPr>
              <w:t>25 711</w:t>
            </w:r>
          </w:p>
        </w:tc>
        <w:tc>
          <w:tcPr>
            <w:tcW w:w="1313" w:type="dxa"/>
            <w:tcBorders>
              <w:top w:val="nil"/>
              <w:left w:val="nil"/>
              <w:bottom w:val="single" w:sz="4" w:space="0" w:color="auto"/>
              <w:right w:val="single" w:sz="4" w:space="0" w:color="auto"/>
            </w:tcBorders>
            <w:noWrap/>
            <w:hideMark/>
          </w:tcPr>
          <w:p w14:paraId="6278A3BF" w14:textId="77777777" w:rsidR="00EE35DE" w:rsidRPr="00F567E1" w:rsidRDefault="00EE35DE" w:rsidP="009A58EE">
            <w:pPr>
              <w:pStyle w:val="Normal-pool-Table"/>
              <w:jc w:val="right"/>
              <w:rPr>
                <w:szCs w:val="18"/>
                <w:lang w:val="es-ES_tradnl"/>
              </w:rPr>
            </w:pPr>
            <w:r w:rsidRPr="00F567E1">
              <w:rPr>
                <w:color w:val="000000"/>
                <w:lang w:val="es-ES_tradnl"/>
              </w:rPr>
              <w:t>45 192</w:t>
            </w:r>
          </w:p>
        </w:tc>
      </w:tr>
      <w:tr w:rsidR="00EE35DE" w:rsidRPr="00F567E1" w14:paraId="0F4C85F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3FF7B22" w14:textId="3579F332" w:rsidR="00EE35DE" w:rsidRPr="00F567E1" w:rsidRDefault="00EE35DE" w:rsidP="009A58EE">
            <w:pPr>
              <w:pStyle w:val="Normal-pool-Table"/>
              <w:rPr>
                <w:szCs w:val="18"/>
                <w:lang w:val="es-ES_tradnl"/>
              </w:rPr>
            </w:pPr>
            <w:r w:rsidRPr="00F567E1">
              <w:rPr>
                <w:color w:val="000000"/>
                <w:lang w:val="es-ES_tradnl"/>
              </w:rPr>
              <w:t>131</w:t>
            </w:r>
          </w:p>
        </w:tc>
        <w:tc>
          <w:tcPr>
            <w:tcW w:w="2573" w:type="dxa"/>
            <w:tcBorders>
              <w:top w:val="nil"/>
              <w:left w:val="nil"/>
              <w:bottom w:val="single" w:sz="4" w:space="0" w:color="auto"/>
              <w:right w:val="single" w:sz="4" w:space="0" w:color="auto"/>
            </w:tcBorders>
            <w:noWrap/>
            <w:hideMark/>
          </w:tcPr>
          <w:p w14:paraId="1B239967" w14:textId="77777777" w:rsidR="00EE35DE" w:rsidRPr="00F567E1" w:rsidRDefault="00EE35DE" w:rsidP="009A58EE">
            <w:pPr>
              <w:pStyle w:val="Normal-pool-Table"/>
              <w:rPr>
                <w:szCs w:val="18"/>
                <w:lang w:val="es-ES_tradnl"/>
              </w:rPr>
            </w:pPr>
            <w:r w:rsidRPr="00F567E1">
              <w:rPr>
                <w:color w:val="000000"/>
                <w:lang w:val="es-ES_tradnl"/>
              </w:rPr>
              <w:t>Bélgica</w:t>
            </w:r>
          </w:p>
        </w:tc>
        <w:tc>
          <w:tcPr>
            <w:tcW w:w="1400" w:type="dxa"/>
            <w:tcBorders>
              <w:top w:val="nil"/>
              <w:left w:val="nil"/>
              <w:bottom w:val="single" w:sz="4" w:space="0" w:color="auto"/>
              <w:right w:val="single" w:sz="4" w:space="0" w:color="auto"/>
            </w:tcBorders>
            <w:noWrap/>
            <w:hideMark/>
          </w:tcPr>
          <w:p w14:paraId="3FC0B3EC" w14:textId="77777777" w:rsidR="00EE35DE" w:rsidRPr="00F567E1" w:rsidRDefault="00EE35DE" w:rsidP="009A58EE">
            <w:pPr>
              <w:pStyle w:val="Normal-pool-Table"/>
              <w:jc w:val="right"/>
              <w:rPr>
                <w:szCs w:val="18"/>
                <w:lang w:val="es-ES_tradnl"/>
              </w:rPr>
            </w:pPr>
            <w:r w:rsidRPr="00F567E1">
              <w:rPr>
                <w:color w:val="000000"/>
                <w:lang w:val="es-ES_tradnl"/>
              </w:rPr>
              <w:t>0,773</w:t>
            </w:r>
          </w:p>
        </w:tc>
        <w:tc>
          <w:tcPr>
            <w:tcW w:w="1073" w:type="dxa"/>
            <w:tcBorders>
              <w:top w:val="nil"/>
              <w:left w:val="nil"/>
              <w:bottom w:val="single" w:sz="4" w:space="0" w:color="auto"/>
              <w:right w:val="single" w:sz="4" w:space="0" w:color="auto"/>
            </w:tcBorders>
            <w:noWrap/>
            <w:hideMark/>
          </w:tcPr>
          <w:p w14:paraId="5EC344B7" w14:textId="77777777" w:rsidR="00EE35DE" w:rsidRPr="00F567E1" w:rsidRDefault="00EE35DE" w:rsidP="009A58EE">
            <w:pPr>
              <w:pStyle w:val="Normal-pool-Table"/>
              <w:jc w:val="right"/>
              <w:rPr>
                <w:szCs w:val="18"/>
                <w:lang w:val="es-ES_tradnl"/>
              </w:rPr>
            </w:pPr>
            <w:r w:rsidRPr="00F567E1">
              <w:rPr>
                <w:color w:val="000000"/>
                <w:lang w:val="es-ES_tradnl"/>
              </w:rPr>
              <w:t>0,7802</w:t>
            </w:r>
          </w:p>
        </w:tc>
        <w:tc>
          <w:tcPr>
            <w:tcW w:w="1293" w:type="dxa"/>
            <w:tcBorders>
              <w:top w:val="nil"/>
              <w:left w:val="nil"/>
              <w:bottom w:val="single" w:sz="4" w:space="0" w:color="auto"/>
              <w:right w:val="single" w:sz="4" w:space="0" w:color="auto"/>
            </w:tcBorders>
            <w:noWrap/>
            <w:hideMark/>
          </w:tcPr>
          <w:p w14:paraId="04301479" w14:textId="77777777" w:rsidR="00EE35DE" w:rsidRPr="00F567E1" w:rsidRDefault="00EE35DE" w:rsidP="009A58EE">
            <w:pPr>
              <w:pStyle w:val="Normal-pool-Table"/>
              <w:jc w:val="right"/>
              <w:rPr>
                <w:szCs w:val="18"/>
                <w:lang w:val="es-ES_tradnl"/>
              </w:rPr>
            </w:pPr>
            <w:r w:rsidRPr="00F567E1">
              <w:rPr>
                <w:color w:val="000000"/>
                <w:lang w:val="es-ES_tradnl"/>
              </w:rPr>
              <w:t>24 056</w:t>
            </w:r>
          </w:p>
        </w:tc>
        <w:tc>
          <w:tcPr>
            <w:tcW w:w="1293" w:type="dxa"/>
            <w:tcBorders>
              <w:top w:val="nil"/>
              <w:left w:val="nil"/>
              <w:bottom w:val="single" w:sz="4" w:space="0" w:color="auto"/>
              <w:right w:val="single" w:sz="4" w:space="0" w:color="auto"/>
            </w:tcBorders>
            <w:noWrap/>
            <w:hideMark/>
          </w:tcPr>
          <w:p w14:paraId="438E2054" w14:textId="77777777" w:rsidR="00EE35DE" w:rsidRPr="00F567E1" w:rsidRDefault="00EE35DE" w:rsidP="009A58EE">
            <w:pPr>
              <w:pStyle w:val="Normal-pool-Table"/>
              <w:jc w:val="right"/>
              <w:rPr>
                <w:szCs w:val="18"/>
                <w:lang w:val="es-ES_tradnl"/>
              </w:rPr>
            </w:pPr>
            <w:r w:rsidRPr="00F567E1">
              <w:rPr>
                <w:color w:val="000000"/>
                <w:lang w:val="es-ES_tradnl"/>
              </w:rPr>
              <w:t>31 748</w:t>
            </w:r>
          </w:p>
        </w:tc>
        <w:tc>
          <w:tcPr>
            <w:tcW w:w="1313" w:type="dxa"/>
            <w:tcBorders>
              <w:top w:val="nil"/>
              <w:left w:val="nil"/>
              <w:bottom w:val="single" w:sz="4" w:space="0" w:color="auto"/>
              <w:right w:val="single" w:sz="4" w:space="0" w:color="auto"/>
            </w:tcBorders>
            <w:noWrap/>
            <w:hideMark/>
          </w:tcPr>
          <w:p w14:paraId="3E7AFD19" w14:textId="77777777" w:rsidR="00EE35DE" w:rsidRPr="00F567E1" w:rsidRDefault="00EE35DE" w:rsidP="009A58EE">
            <w:pPr>
              <w:pStyle w:val="Normal-pool-Table"/>
              <w:jc w:val="right"/>
              <w:rPr>
                <w:szCs w:val="18"/>
                <w:lang w:val="es-ES_tradnl"/>
              </w:rPr>
            </w:pPr>
            <w:r w:rsidRPr="00F567E1">
              <w:rPr>
                <w:color w:val="000000"/>
                <w:lang w:val="es-ES_tradnl"/>
              </w:rPr>
              <w:t>55 804</w:t>
            </w:r>
          </w:p>
        </w:tc>
      </w:tr>
      <w:tr w:rsidR="00EE35DE" w:rsidRPr="00F567E1" w14:paraId="7D6C12ED"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5BC456D" w14:textId="47462AF1" w:rsidR="00EE35DE" w:rsidRPr="00F567E1" w:rsidRDefault="00EE35DE" w:rsidP="009A58EE">
            <w:pPr>
              <w:pStyle w:val="Normal-pool-Table"/>
              <w:rPr>
                <w:szCs w:val="18"/>
                <w:lang w:val="es-ES_tradnl"/>
              </w:rPr>
            </w:pPr>
            <w:r w:rsidRPr="00F567E1">
              <w:rPr>
                <w:color w:val="000000"/>
                <w:lang w:val="es-ES_tradnl"/>
              </w:rPr>
              <w:t>132</w:t>
            </w:r>
          </w:p>
        </w:tc>
        <w:tc>
          <w:tcPr>
            <w:tcW w:w="2573" w:type="dxa"/>
            <w:tcBorders>
              <w:top w:val="nil"/>
              <w:left w:val="nil"/>
              <w:bottom w:val="single" w:sz="4" w:space="0" w:color="auto"/>
              <w:right w:val="single" w:sz="4" w:space="0" w:color="auto"/>
            </w:tcBorders>
            <w:noWrap/>
            <w:hideMark/>
          </w:tcPr>
          <w:p w14:paraId="22C02145" w14:textId="77777777" w:rsidR="00EE35DE" w:rsidRPr="00F567E1" w:rsidRDefault="00EE35DE" w:rsidP="009A58EE">
            <w:pPr>
              <w:pStyle w:val="Normal-pool-Table"/>
              <w:rPr>
                <w:szCs w:val="18"/>
                <w:lang w:val="es-ES_tradnl"/>
              </w:rPr>
            </w:pPr>
            <w:r w:rsidRPr="00F567E1">
              <w:rPr>
                <w:color w:val="000000"/>
                <w:lang w:val="es-ES_tradnl"/>
              </w:rPr>
              <w:t>Canadá</w:t>
            </w:r>
          </w:p>
        </w:tc>
        <w:tc>
          <w:tcPr>
            <w:tcW w:w="1400" w:type="dxa"/>
            <w:tcBorders>
              <w:top w:val="nil"/>
              <w:left w:val="nil"/>
              <w:bottom w:val="single" w:sz="4" w:space="0" w:color="auto"/>
              <w:right w:val="single" w:sz="4" w:space="0" w:color="auto"/>
            </w:tcBorders>
            <w:noWrap/>
            <w:hideMark/>
          </w:tcPr>
          <w:p w14:paraId="3FC91029" w14:textId="77777777" w:rsidR="00EE35DE" w:rsidRPr="00F567E1" w:rsidRDefault="00EE35DE" w:rsidP="009A58EE">
            <w:pPr>
              <w:pStyle w:val="Normal-pool-Table"/>
              <w:jc w:val="right"/>
              <w:rPr>
                <w:szCs w:val="18"/>
                <w:lang w:val="es-ES_tradnl"/>
              </w:rPr>
            </w:pPr>
            <w:r w:rsidRPr="00F567E1">
              <w:rPr>
                <w:color w:val="000000"/>
                <w:lang w:val="es-ES_tradnl"/>
              </w:rPr>
              <w:t>2,543</w:t>
            </w:r>
          </w:p>
        </w:tc>
        <w:tc>
          <w:tcPr>
            <w:tcW w:w="1073" w:type="dxa"/>
            <w:tcBorders>
              <w:top w:val="nil"/>
              <w:left w:val="nil"/>
              <w:bottom w:val="single" w:sz="4" w:space="0" w:color="auto"/>
              <w:right w:val="single" w:sz="4" w:space="0" w:color="auto"/>
            </w:tcBorders>
            <w:noWrap/>
            <w:hideMark/>
          </w:tcPr>
          <w:p w14:paraId="1F7DC24C" w14:textId="77777777" w:rsidR="00EE35DE" w:rsidRPr="00F567E1" w:rsidRDefault="00EE35DE" w:rsidP="009A58EE">
            <w:pPr>
              <w:pStyle w:val="Normal-pool-Table"/>
              <w:jc w:val="right"/>
              <w:rPr>
                <w:szCs w:val="18"/>
                <w:lang w:val="es-ES_tradnl"/>
              </w:rPr>
            </w:pPr>
            <w:r w:rsidRPr="00F567E1">
              <w:rPr>
                <w:color w:val="000000"/>
                <w:lang w:val="es-ES_tradnl"/>
              </w:rPr>
              <w:t>2,5667</w:t>
            </w:r>
          </w:p>
        </w:tc>
        <w:tc>
          <w:tcPr>
            <w:tcW w:w="1293" w:type="dxa"/>
            <w:tcBorders>
              <w:top w:val="nil"/>
              <w:left w:val="nil"/>
              <w:bottom w:val="single" w:sz="4" w:space="0" w:color="auto"/>
              <w:right w:val="single" w:sz="4" w:space="0" w:color="auto"/>
            </w:tcBorders>
            <w:noWrap/>
            <w:hideMark/>
          </w:tcPr>
          <w:p w14:paraId="3693A970" w14:textId="77777777" w:rsidR="00EE35DE" w:rsidRPr="00F567E1" w:rsidRDefault="00EE35DE" w:rsidP="009A58EE">
            <w:pPr>
              <w:pStyle w:val="Normal-pool-Table"/>
              <w:jc w:val="right"/>
              <w:rPr>
                <w:szCs w:val="18"/>
                <w:lang w:val="es-ES_tradnl"/>
              </w:rPr>
            </w:pPr>
            <w:r w:rsidRPr="00F567E1">
              <w:rPr>
                <w:color w:val="000000"/>
                <w:lang w:val="es-ES_tradnl"/>
              </w:rPr>
              <w:t>79 140</w:t>
            </w:r>
          </w:p>
        </w:tc>
        <w:tc>
          <w:tcPr>
            <w:tcW w:w="1293" w:type="dxa"/>
            <w:tcBorders>
              <w:top w:val="nil"/>
              <w:left w:val="nil"/>
              <w:bottom w:val="single" w:sz="4" w:space="0" w:color="auto"/>
              <w:right w:val="single" w:sz="4" w:space="0" w:color="auto"/>
            </w:tcBorders>
            <w:noWrap/>
            <w:hideMark/>
          </w:tcPr>
          <w:p w14:paraId="59D800A2" w14:textId="77777777" w:rsidR="00EE35DE" w:rsidRPr="00F567E1" w:rsidRDefault="00EE35DE" w:rsidP="009A58EE">
            <w:pPr>
              <w:pStyle w:val="Normal-pool-Table"/>
              <w:jc w:val="right"/>
              <w:rPr>
                <w:szCs w:val="18"/>
                <w:lang w:val="es-ES_tradnl"/>
              </w:rPr>
            </w:pPr>
            <w:r w:rsidRPr="00F567E1">
              <w:rPr>
                <w:color w:val="000000"/>
                <w:lang w:val="es-ES_tradnl"/>
              </w:rPr>
              <w:t>104 445</w:t>
            </w:r>
          </w:p>
        </w:tc>
        <w:tc>
          <w:tcPr>
            <w:tcW w:w="1313" w:type="dxa"/>
            <w:tcBorders>
              <w:top w:val="nil"/>
              <w:left w:val="nil"/>
              <w:bottom w:val="single" w:sz="4" w:space="0" w:color="auto"/>
              <w:right w:val="single" w:sz="4" w:space="0" w:color="auto"/>
            </w:tcBorders>
            <w:noWrap/>
            <w:hideMark/>
          </w:tcPr>
          <w:p w14:paraId="4E9D239D" w14:textId="77777777" w:rsidR="00EE35DE" w:rsidRPr="00F567E1" w:rsidRDefault="00EE35DE" w:rsidP="009A58EE">
            <w:pPr>
              <w:pStyle w:val="Normal-pool-Table"/>
              <w:jc w:val="right"/>
              <w:rPr>
                <w:szCs w:val="18"/>
                <w:lang w:val="es-ES_tradnl"/>
              </w:rPr>
            </w:pPr>
            <w:r w:rsidRPr="00F567E1">
              <w:rPr>
                <w:color w:val="000000"/>
                <w:lang w:val="es-ES_tradnl"/>
              </w:rPr>
              <w:t>183 584</w:t>
            </w:r>
          </w:p>
        </w:tc>
      </w:tr>
      <w:tr w:rsidR="00EE35DE" w:rsidRPr="00F567E1" w14:paraId="281789C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61F0695" w14:textId="5AD095AE" w:rsidR="00EE35DE" w:rsidRPr="00F567E1" w:rsidRDefault="00EE35DE" w:rsidP="009A58EE">
            <w:pPr>
              <w:pStyle w:val="Normal-pool-Table"/>
              <w:rPr>
                <w:szCs w:val="18"/>
                <w:lang w:val="es-ES_tradnl"/>
              </w:rPr>
            </w:pPr>
            <w:r w:rsidRPr="00F567E1">
              <w:rPr>
                <w:color w:val="000000"/>
                <w:lang w:val="es-ES_tradnl"/>
              </w:rPr>
              <w:t>133</w:t>
            </w:r>
          </w:p>
        </w:tc>
        <w:tc>
          <w:tcPr>
            <w:tcW w:w="2573" w:type="dxa"/>
            <w:tcBorders>
              <w:top w:val="nil"/>
              <w:left w:val="nil"/>
              <w:bottom w:val="single" w:sz="4" w:space="0" w:color="auto"/>
              <w:right w:val="single" w:sz="4" w:space="0" w:color="auto"/>
            </w:tcBorders>
            <w:noWrap/>
            <w:hideMark/>
          </w:tcPr>
          <w:p w14:paraId="5F4C5EF7" w14:textId="77777777" w:rsidR="00EE35DE" w:rsidRPr="00F567E1" w:rsidRDefault="00EE35DE" w:rsidP="009A58EE">
            <w:pPr>
              <w:pStyle w:val="Normal-pool-Table"/>
              <w:rPr>
                <w:szCs w:val="18"/>
                <w:lang w:val="es-ES_tradnl"/>
              </w:rPr>
            </w:pPr>
            <w:r w:rsidRPr="00F567E1">
              <w:rPr>
                <w:color w:val="000000"/>
                <w:lang w:val="es-ES_tradnl"/>
              </w:rPr>
              <w:t>Dinamarca</w:t>
            </w:r>
          </w:p>
        </w:tc>
        <w:tc>
          <w:tcPr>
            <w:tcW w:w="1400" w:type="dxa"/>
            <w:tcBorders>
              <w:top w:val="nil"/>
              <w:left w:val="nil"/>
              <w:bottom w:val="single" w:sz="4" w:space="0" w:color="auto"/>
              <w:right w:val="single" w:sz="4" w:space="0" w:color="auto"/>
            </w:tcBorders>
            <w:noWrap/>
            <w:hideMark/>
          </w:tcPr>
          <w:p w14:paraId="0FE40599" w14:textId="77777777" w:rsidR="00EE35DE" w:rsidRPr="00F567E1" w:rsidRDefault="00EE35DE" w:rsidP="009A58EE">
            <w:pPr>
              <w:pStyle w:val="Normal-pool-Table"/>
              <w:jc w:val="right"/>
              <w:rPr>
                <w:szCs w:val="18"/>
                <w:lang w:val="es-ES_tradnl"/>
              </w:rPr>
            </w:pPr>
            <w:r w:rsidRPr="00F567E1">
              <w:rPr>
                <w:color w:val="000000"/>
                <w:lang w:val="es-ES_tradnl"/>
              </w:rPr>
              <w:t>0,531</w:t>
            </w:r>
          </w:p>
        </w:tc>
        <w:tc>
          <w:tcPr>
            <w:tcW w:w="1073" w:type="dxa"/>
            <w:tcBorders>
              <w:top w:val="nil"/>
              <w:left w:val="nil"/>
              <w:bottom w:val="single" w:sz="4" w:space="0" w:color="auto"/>
              <w:right w:val="single" w:sz="4" w:space="0" w:color="auto"/>
            </w:tcBorders>
            <w:noWrap/>
            <w:hideMark/>
          </w:tcPr>
          <w:p w14:paraId="39B76638" w14:textId="77777777" w:rsidR="00EE35DE" w:rsidRPr="00F567E1" w:rsidRDefault="00EE35DE" w:rsidP="009A58EE">
            <w:pPr>
              <w:pStyle w:val="Normal-pool-Table"/>
              <w:jc w:val="right"/>
              <w:rPr>
                <w:szCs w:val="18"/>
                <w:lang w:val="es-ES_tradnl"/>
              </w:rPr>
            </w:pPr>
            <w:r w:rsidRPr="00F567E1">
              <w:rPr>
                <w:color w:val="000000"/>
                <w:lang w:val="es-ES_tradnl"/>
              </w:rPr>
              <w:t>0,5359</w:t>
            </w:r>
          </w:p>
        </w:tc>
        <w:tc>
          <w:tcPr>
            <w:tcW w:w="1293" w:type="dxa"/>
            <w:tcBorders>
              <w:top w:val="nil"/>
              <w:left w:val="nil"/>
              <w:bottom w:val="single" w:sz="4" w:space="0" w:color="auto"/>
              <w:right w:val="single" w:sz="4" w:space="0" w:color="auto"/>
            </w:tcBorders>
            <w:noWrap/>
            <w:hideMark/>
          </w:tcPr>
          <w:p w14:paraId="4BD94F8E" w14:textId="77777777" w:rsidR="00EE35DE" w:rsidRPr="00F567E1" w:rsidRDefault="00EE35DE" w:rsidP="009A58EE">
            <w:pPr>
              <w:pStyle w:val="Normal-pool-Table"/>
              <w:jc w:val="right"/>
              <w:rPr>
                <w:szCs w:val="18"/>
                <w:lang w:val="es-ES_tradnl"/>
              </w:rPr>
            </w:pPr>
            <w:r w:rsidRPr="00F567E1">
              <w:rPr>
                <w:color w:val="000000"/>
                <w:lang w:val="es-ES_tradnl"/>
              </w:rPr>
              <w:t>16 525</w:t>
            </w:r>
          </w:p>
        </w:tc>
        <w:tc>
          <w:tcPr>
            <w:tcW w:w="1293" w:type="dxa"/>
            <w:tcBorders>
              <w:top w:val="nil"/>
              <w:left w:val="nil"/>
              <w:bottom w:val="single" w:sz="4" w:space="0" w:color="auto"/>
              <w:right w:val="single" w:sz="4" w:space="0" w:color="auto"/>
            </w:tcBorders>
            <w:noWrap/>
            <w:hideMark/>
          </w:tcPr>
          <w:p w14:paraId="6ACDD2ED" w14:textId="77777777" w:rsidR="00EE35DE" w:rsidRPr="00F567E1" w:rsidRDefault="00EE35DE" w:rsidP="009A58EE">
            <w:pPr>
              <w:pStyle w:val="Normal-pool-Table"/>
              <w:jc w:val="right"/>
              <w:rPr>
                <w:szCs w:val="18"/>
                <w:lang w:val="es-ES_tradnl"/>
              </w:rPr>
            </w:pPr>
            <w:r w:rsidRPr="00F567E1">
              <w:rPr>
                <w:color w:val="000000"/>
                <w:lang w:val="es-ES_tradnl"/>
              </w:rPr>
              <w:t>21 809</w:t>
            </w:r>
          </w:p>
        </w:tc>
        <w:tc>
          <w:tcPr>
            <w:tcW w:w="1313" w:type="dxa"/>
            <w:tcBorders>
              <w:top w:val="nil"/>
              <w:left w:val="nil"/>
              <w:bottom w:val="single" w:sz="4" w:space="0" w:color="auto"/>
              <w:right w:val="single" w:sz="4" w:space="0" w:color="auto"/>
            </w:tcBorders>
            <w:noWrap/>
            <w:hideMark/>
          </w:tcPr>
          <w:p w14:paraId="7521ADDA" w14:textId="77777777" w:rsidR="00EE35DE" w:rsidRPr="00F567E1" w:rsidRDefault="00EE35DE" w:rsidP="009A58EE">
            <w:pPr>
              <w:pStyle w:val="Normal-pool-Table"/>
              <w:jc w:val="right"/>
              <w:rPr>
                <w:szCs w:val="18"/>
                <w:lang w:val="es-ES_tradnl"/>
              </w:rPr>
            </w:pPr>
            <w:r w:rsidRPr="00F567E1">
              <w:rPr>
                <w:color w:val="000000"/>
                <w:lang w:val="es-ES_tradnl"/>
              </w:rPr>
              <w:t>38 334</w:t>
            </w:r>
          </w:p>
        </w:tc>
      </w:tr>
      <w:tr w:rsidR="00EE35DE" w:rsidRPr="00F567E1" w14:paraId="0D445AA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2A0E057E" w14:textId="747571F1" w:rsidR="00EE35DE" w:rsidRPr="00F567E1" w:rsidRDefault="00EE35DE" w:rsidP="009A58EE">
            <w:pPr>
              <w:pStyle w:val="Normal-pool-Table"/>
              <w:rPr>
                <w:szCs w:val="18"/>
                <w:lang w:val="es-ES_tradnl"/>
              </w:rPr>
            </w:pPr>
            <w:r w:rsidRPr="00F567E1">
              <w:rPr>
                <w:color w:val="000000"/>
                <w:lang w:val="es-ES_tradnl"/>
              </w:rPr>
              <w:t>134</w:t>
            </w:r>
          </w:p>
        </w:tc>
        <w:tc>
          <w:tcPr>
            <w:tcW w:w="2573" w:type="dxa"/>
            <w:tcBorders>
              <w:top w:val="nil"/>
              <w:left w:val="nil"/>
              <w:bottom w:val="single" w:sz="4" w:space="0" w:color="auto"/>
              <w:right w:val="single" w:sz="4" w:space="0" w:color="auto"/>
            </w:tcBorders>
            <w:noWrap/>
            <w:hideMark/>
          </w:tcPr>
          <w:p w14:paraId="76F576F5" w14:textId="77777777" w:rsidR="00EE35DE" w:rsidRPr="00F567E1" w:rsidRDefault="00EE35DE" w:rsidP="009A58EE">
            <w:pPr>
              <w:pStyle w:val="Normal-pool-Table"/>
              <w:rPr>
                <w:szCs w:val="18"/>
                <w:lang w:val="es-ES_tradnl"/>
              </w:rPr>
            </w:pPr>
            <w:r w:rsidRPr="00F567E1">
              <w:rPr>
                <w:color w:val="000000"/>
                <w:lang w:val="es-ES_tradnl"/>
              </w:rPr>
              <w:t>España</w:t>
            </w:r>
          </w:p>
        </w:tc>
        <w:tc>
          <w:tcPr>
            <w:tcW w:w="1400" w:type="dxa"/>
            <w:tcBorders>
              <w:top w:val="nil"/>
              <w:left w:val="nil"/>
              <w:bottom w:val="single" w:sz="4" w:space="0" w:color="auto"/>
              <w:right w:val="single" w:sz="4" w:space="0" w:color="auto"/>
            </w:tcBorders>
            <w:noWrap/>
            <w:hideMark/>
          </w:tcPr>
          <w:p w14:paraId="41E17A15" w14:textId="77777777" w:rsidR="00EE35DE" w:rsidRPr="00F567E1" w:rsidRDefault="00EE35DE" w:rsidP="009A58EE">
            <w:pPr>
              <w:pStyle w:val="Normal-pool-Table"/>
              <w:jc w:val="right"/>
              <w:rPr>
                <w:szCs w:val="18"/>
                <w:lang w:val="es-ES_tradnl"/>
              </w:rPr>
            </w:pPr>
            <w:r w:rsidRPr="00F567E1">
              <w:rPr>
                <w:color w:val="000000"/>
                <w:lang w:val="es-ES_tradnl"/>
              </w:rPr>
              <w:t>1,895</w:t>
            </w:r>
          </w:p>
        </w:tc>
        <w:tc>
          <w:tcPr>
            <w:tcW w:w="1073" w:type="dxa"/>
            <w:tcBorders>
              <w:top w:val="nil"/>
              <w:left w:val="nil"/>
              <w:bottom w:val="single" w:sz="4" w:space="0" w:color="auto"/>
              <w:right w:val="single" w:sz="4" w:space="0" w:color="auto"/>
            </w:tcBorders>
            <w:noWrap/>
            <w:hideMark/>
          </w:tcPr>
          <w:p w14:paraId="021552D2" w14:textId="77777777" w:rsidR="00EE35DE" w:rsidRPr="00F567E1" w:rsidRDefault="00EE35DE" w:rsidP="009A58EE">
            <w:pPr>
              <w:pStyle w:val="Normal-pool-Table"/>
              <w:jc w:val="right"/>
              <w:rPr>
                <w:szCs w:val="18"/>
                <w:lang w:val="es-ES_tradnl"/>
              </w:rPr>
            </w:pPr>
            <w:r w:rsidRPr="00F567E1">
              <w:rPr>
                <w:color w:val="000000"/>
                <w:lang w:val="es-ES_tradnl"/>
              </w:rPr>
              <w:t>1,9126</w:t>
            </w:r>
          </w:p>
        </w:tc>
        <w:tc>
          <w:tcPr>
            <w:tcW w:w="1293" w:type="dxa"/>
            <w:tcBorders>
              <w:top w:val="nil"/>
              <w:left w:val="nil"/>
              <w:bottom w:val="single" w:sz="4" w:space="0" w:color="auto"/>
              <w:right w:val="single" w:sz="4" w:space="0" w:color="auto"/>
            </w:tcBorders>
            <w:noWrap/>
            <w:hideMark/>
          </w:tcPr>
          <w:p w14:paraId="0716F7F1" w14:textId="77777777" w:rsidR="00EE35DE" w:rsidRPr="00F567E1" w:rsidRDefault="00EE35DE" w:rsidP="009A58EE">
            <w:pPr>
              <w:pStyle w:val="Normal-pool-Table"/>
              <w:jc w:val="right"/>
              <w:rPr>
                <w:szCs w:val="18"/>
                <w:lang w:val="es-ES_tradnl"/>
              </w:rPr>
            </w:pPr>
            <w:r w:rsidRPr="00F567E1">
              <w:rPr>
                <w:color w:val="000000"/>
                <w:lang w:val="es-ES_tradnl"/>
              </w:rPr>
              <w:t>58 973</w:t>
            </w:r>
          </w:p>
        </w:tc>
        <w:tc>
          <w:tcPr>
            <w:tcW w:w="1293" w:type="dxa"/>
            <w:tcBorders>
              <w:top w:val="nil"/>
              <w:left w:val="nil"/>
              <w:bottom w:val="single" w:sz="4" w:space="0" w:color="auto"/>
              <w:right w:val="single" w:sz="4" w:space="0" w:color="auto"/>
            </w:tcBorders>
            <w:noWrap/>
            <w:hideMark/>
          </w:tcPr>
          <w:p w14:paraId="17328E21" w14:textId="77777777" w:rsidR="00EE35DE" w:rsidRPr="00F567E1" w:rsidRDefault="00EE35DE" w:rsidP="009A58EE">
            <w:pPr>
              <w:pStyle w:val="Normal-pool-Table"/>
              <w:jc w:val="right"/>
              <w:rPr>
                <w:szCs w:val="18"/>
                <w:lang w:val="es-ES_tradnl"/>
              </w:rPr>
            </w:pPr>
            <w:r w:rsidRPr="00F567E1">
              <w:rPr>
                <w:color w:val="000000"/>
                <w:lang w:val="es-ES_tradnl"/>
              </w:rPr>
              <w:t>77 831</w:t>
            </w:r>
          </w:p>
        </w:tc>
        <w:tc>
          <w:tcPr>
            <w:tcW w:w="1313" w:type="dxa"/>
            <w:tcBorders>
              <w:top w:val="nil"/>
              <w:left w:val="nil"/>
              <w:bottom w:val="single" w:sz="4" w:space="0" w:color="auto"/>
              <w:right w:val="single" w:sz="4" w:space="0" w:color="auto"/>
            </w:tcBorders>
            <w:noWrap/>
            <w:hideMark/>
          </w:tcPr>
          <w:p w14:paraId="09834D97" w14:textId="77777777" w:rsidR="00EE35DE" w:rsidRPr="00F567E1" w:rsidRDefault="00EE35DE" w:rsidP="009A58EE">
            <w:pPr>
              <w:pStyle w:val="Normal-pool-Table"/>
              <w:jc w:val="right"/>
              <w:rPr>
                <w:szCs w:val="18"/>
                <w:lang w:val="es-ES_tradnl"/>
              </w:rPr>
            </w:pPr>
            <w:r w:rsidRPr="00F567E1">
              <w:rPr>
                <w:color w:val="000000"/>
                <w:lang w:val="es-ES_tradnl"/>
              </w:rPr>
              <w:t>136 804</w:t>
            </w:r>
          </w:p>
        </w:tc>
      </w:tr>
      <w:tr w:rsidR="00EE35DE" w:rsidRPr="00F567E1" w14:paraId="7C85DFD4"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255C099" w14:textId="29AEC27C" w:rsidR="00EE35DE" w:rsidRPr="00F567E1" w:rsidRDefault="00EE35DE" w:rsidP="009A58EE">
            <w:pPr>
              <w:pStyle w:val="Normal-pool-Table"/>
              <w:rPr>
                <w:szCs w:val="18"/>
                <w:lang w:val="es-ES_tradnl"/>
              </w:rPr>
            </w:pPr>
            <w:r w:rsidRPr="00F567E1">
              <w:rPr>
                <w:color w:val="000000"/>
                <w:lang w:val="es-ES_tradnl"/>
              </w:rPr>
              <w:t>135</w:t>
            </w:r>
          </w:p>
        </w:tc>
        <w:tc>
          <w:tcPr>
            <w:tcW w:w="2573" w:type="dxa"/>
            <w:tcBorders>
              <w:top w:val="nil"/>
              <w:left w:val="nil"/>
              <w:bottom w:val="single" w:sz="4" w:space="0" w:color="auto"/>
              <w:right w:val="single" w:sz="4" w:space="0" w:color="auto"/>
            </w:tcBorders>
            <w:noWrap/>
            <w:hideMark/>
          </w:tcPr>
          <w:p w14:paraId="7ECA7134" w14:textId="77777777" w:rsidR="00EE35DE" w:rsidRPr="00F567E1" w:rsidRDefault="00EE35DE" w:rsidP="009A58EE">
            <w:pPr>
              <w:pStyle w:val="Normal-pool-Table"/>
              <w:rPr>
                <w:szCs w:val="18"/>
                <w:lang w:val="es-ES_tradnl"/>
              </w:rPr>
            </w:pPr>
            <w:r w:rsidRPr="00F567E1">
              <w:rPr>
                <w:color w:val="000000"/>
                <w:lang w:val="es-ES_tradnl"/>
              </w:rPr>
              <w:t>Estados Unidos de América</w:t>
            </w:r>
          </w:p>
        </w:tc>
        <w:tc>
          <w:tcPr>
            <w:tcW w:w="1400" w:type="dxa"/>
            <w:tcBorders>
              <w:top w:val="nil"/>
              <w:left w:val="nil"/>
              <w:bottom w:val="single" w:sz="4" w:space="0" w:color="auto"/>
              <w:right w:val="single" w:sz="4" w:space="0" w:color="auto"/>
            </w:tcBorders>
            <w:noWrap/>
            <w:hideMark/>
          </w:tcPr>
          <w:p w14:paraId="3765C241" w14:textId="77777777" w:rsidR="00EE35DE" w:rsidRPr="00F567E1" w:rsidRDefault="00EE35DE" w:rsidP="009A58EE">
            <w:pPr>
              <w:pStyle w:val="Normal-pool-Table"/>
              <w:jc w:val="right"/>
              <w:rPr>
                <w:szCs w:val="18"/>
                <w:lang w:val="es-ES_tradnl"/>
              </w:rPr>
            </w:pPr>
            <w:r w:rsidRPr="00F567E1">
              <w:rPr>
                <w:color w:val="000000"/>
                <w:lang w:val="es-ES_tradnl"/>
              </w:rPr>
              <w:t>22</w:t>
            </w:r>
          </w:p>
        </w:tc>
        <w:tc>
          <w:tcPr>
            <w:tcW w:w="1073" w:type="dxa"/>
            <w:tcBorders>
              <w:top w:val="nil"/>
              <w:left w:val="nil"/>
              <w:bottom w:val="single" w:sz="4" w:space="0" w:color="auto"/>
              <w:right w:val="single" w:sz="4" w:space="0" w:color="auto"/>
            </w:tcBorders>
            <w:noWrap/>
            <w:hideMark/>
          </w:tcPr>
          <w:p w14:paraId="55D9F820" w14:textId="77777777" w:rsidR="00EE35DE" w:rsidRPr="00F567E1" w:rsidRDefault="00EE35DE" w:rsidP="009A58EE">
            <w:pPr>
              <w:pStyle w:val="Normal-pool-Table"/>
              <w:jc w:val="right"/>
              <w:rPr>
                <w:szCs w:val="18"/>
                <w:lang w:val="es-ES_tradnl"/>
              </w:rPr>
            </w:pPr>
            <w:r w:rsidRPr="00F567E1">
              <w:rPr>
                <w:color w:val="000000"/>
                <w:lang w:val="es-ES_tradnl"/>
              </w:rPr>
              <w:t>22,0000</w:t>
            </w:r>
          </w:p>
        </w:tc>
        <w:tc>
          <w:tcPr>
            <w:tcW w:w="1293" w:type="dxa"/>
            <w:tcBorders>
              <w:top w:val="nil"/>
              <w:left w:val="nil"/>
              <w:bottom w:val="single" w:sz="4" w:space="0" w:color="auto"/>
              <w:right w:val="single" w:sz="4" w:space="0" w:color="auto"/>
            </w:tcBorders>
            <w:noWrap/>
            <w:hideMark/>
          </w:tcPr>
          <w:p w14:paraId="2610CC87" w14:textId="77777777" w:rsidR="00EE35DE" w:rsidRPr="00F567E1" w:rsidRDefault="00EE35DE" w:rsidP="009A58EE">
            <w:pPr>
              <w:pStyle w:val="Normal-pool-Table"/>
              <w:jc w:val="right"/>
              <w:rPr>
                <w:szCs w:val="18"/>
                <w:lang w:val="es-ES_tradnl"/>
              </w:rPr>
            </w:pPr>
            <w:r w:rsidRPr="00F567E1">
              <w:rPr>
                <w:color w:val="000000"/>
                <w:lang w:val="es-ES_tradnl"/>
              </w:rPr>
              <w:t>678 337</w:t>
            </w:r>
          </w:p>
        </w:tc>
        <w:tc>
          <w:tcPr>
            <w:tcW w:w="1293" w:type="dxa"/>
            <w:tcBorders>
              <w:top w:val="nil"/>
              <w:left w:val="nil"/>
              <w:bottom w:val="single" w:sz="4" w:space="0" w:color="auto"/>
              <w:right w:val="single" w:sz="4" w:space="0" w:color="auto"/>
            </w:tcBorders>
            <w:noWrap/>
            <w:hideMark/>
          </w:tcPr>
          <w:p w14:paraId="6D8315E8" w14:textId="77777777" w:rsidR="00EE35DE" w:rsidRPr="00F567E1" w:rsidRDefault="00EE35DE" w:rsidP="009A58EE">
            <w:pPr>
              <w:pStyle w:val="Normal-pool-Table"/>
              <w:jc w:val="right"/>
              <w:rPr>
                <w:szCs w:val="18"/>
                <w:lang w:val="es-ES_tradnl"/>
              </w:rPr>
            </w:pPr>
            <w:r w:rsidRPr="00F567E1">
              <w:rPr>
                <w:color w:val="000000"/>
                <w:lang w:val="es-ES_tradnl"/>
              </w:rPr>
              <w:t>895 240</w:t>
            </w:r>
          </w:p>
        </w:tc>
        <w:tc>
          <w:tcPr>
            <w:tcW w:w="1313" w:type="dxa"/>
            <w:tcBorders>
              <w:top w:val="nil"/>
              <w:left w:val="nil"/>
              <w:bottom w:val="single" w:sz="4" w:space="0" w:color="auto"/>
              <w:right w:val="single" w:sz="4" w:space="0" w:color="auto"/>
            </w:tcBorders>
            <w:noWrap/>
            <w:hideMark/>
          </w:tcPr>
          <w:p w14:paraId="58EC4E54" w14:textId="77777777" w:rsidR="00EE35DE" w:rsidRPr="00F567E1" w:rsidRDefault="00EE35DE" w:rsidP="009A58EE">
            <w:pPr>
              <w:pStyle w:val="Normal-pool-Table"/>
              <w:jc w:val="right"/>
              <w:rPr>
                <w:szCs w:val="18"/>
                <w:lang w:val="es-ES_tradnl"/>
              </w:rPr>
            </w:pPr>
            <w:r w:rsidRPr="00F567E1">
              <w:rPr>
                <w:color w:val="000000"/>
                <w:lang w:val="es-ES_tradnl"/>
              </w:rPr>
              <w:t>1 573 577</w:t>
            </w:r>
          </w:p>
        </w:tc>
      </w:tr>
      <w:tr w:rsidR="00EE35DE" w:rsidRPr="00F567E1" w14:paraId="69B9DF1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6E8B6C3" w14:textId="1A89BEBB" w:rsidR="00EE35DE" w:rsidRPr="00F567E1" w:rsidRDefault="00EE35DE" w:rsidP="009A58EE">
            <w:pPr>
              <w:pStyle w:val="Normal-pool-Table"/>
              <w:rPr>
                <w:szCs w:val="18"/>
                <w:lang w:val="es-ES_tradnl"/>
              </w:rPr>
            </w:pPr>
            <w:r w:rsidRPr="00F567E1">
              <w:rPr>
                <w:color w:val="000000"/>
                <w:lang w:val="es-ES_tradnl"/>
              </w:rPr>
              <w:t>136</w:t>
            </w:r>
          </w:p>
        </w:tc>
        <w:tc>
          <w:tcPr>
            <w:tcW w:w="2573" w:type="dxa"/>
            <w:tcBorders>
              <w:top w:val="nil"/>
              <w:left w:val="nil"/>
              <w:bottom w:val="single" w:sz="4" w:space="0" w:color="auto"/>
              <w:right w:val="single" w:sz="4" w:space="0" w:color="auto"/>
            </w:tcBorders>
            <w:noWrap/>
            <w:hideMark/>
          </w:tcPr>
          <w:p w14:paraId="18B81C4D" w14:textId="77777777" w:rsidR="00EE35DE" w:rsidRPr="00F567E1" w:rsidRDefault="00EE35DE" w:rsidP="009A58EE">
            <w:pPr>
              <w:pStyle w:val="Normal-pool-Table"/>
              <w:rPr>
                <w:szCs w:val="18"/>
                <w:lang w:val="es-ES_tradnl"/>
              </w:rPr>
            </w:pPr>
            <w:r w:rsidRPr="00F567E1">
              <w:rPr>
                <w:color w:val="000000"/>
                <w:lang w:val="es-ES_tradnl"/>
              </w:rPr>
              <w:t>Finlandia</w:t>
            </w:r>
          </w:p>
        </w:tc>
        <w:tc>
          <w:tcPr>
            <w:tcW w:w="1400" w:type="dxa"/>
            <w:tcBorders>
              <w:top w:val="nil"/>
              <w:left w:val="nil"/>
              <w:bottom w:val="single" w:sz="4" w:space="0" w:color="auto"/>
              <w:right w:val="single" w:sz="4" w:space="0" w:color="auto"/>
            </w:tcBorders>
            <w:noWrap/>
            <w:hideMark/>
          </w:tcPr>
          <w:p w14:paraId="6A22780F" w14:textId="77777777" w:rsidR="00EE35DE" w:rsidRPr="00F567E1" w:rsidRDefault="00EE35DE" w:rsidP="009A58EE">
            <w:pPr>
              <w:pStyle w:val="Normal-pool-Table"/>
              <w:jc w:val="right"/>
              <w:rPr>
                <w:szCs w:val="18"/>
                <w:lang w:val="es-ES_tradnl"/>
              </w:rPr>
            </w:pPr>
            <w:r w:rsidRPr="00F567E1">
              <w:rPr>
                <w:color w:val="000000"/>
                <w:lang w:val="es-ES_tradnl"/>
              </w:rPr>
              <w:t>0,386</w:t>
            </w:r>
          </w:p>
        </w:tc>
        <w:tc>
          <w:tcPr>
            <w:tcW w:w="1073" w:type="dxa"/>
            <w:tcBorders>
              <w:top w:val="nil"/>
              <w:left w:val="nil"/>
              <w:bottom w:val="single" w:sz="4" w:space="0" w:color="auto"/>
              <w:right w:val="single" w:sz="4" w:space="0" w:color="auto"/>
            </w:tcBorders>
            <w:noWrap/>
            <w:hideMark/>
          </w:tcPr>
          <w:p w14:paraId="4764B93B" w14:textId="77777777" w:rsidR="00EE35DE" w:rsidRPr="00F567E1" w:rsidRDefault="00EE35DE" w:rsidP="009A58EE">
            <w:pPr>
              <w:pStyle w:val="Normal-pool-Table"/>
              <w:jc w:val="right"/>
              <w:rPr>
                <w:szCs w:val="18"/>
                <w:lang w:val="es-ES_tradnl"/>
              </w:rPr>
            </w:pPr>
            <w:r w:rsidRPr="00F567E1">
              <w:rPr>
                <w:color w:val="000000"/>
                <w:lang w:val="es-ES_tradnl"/>
              </w:rPr>
              <w:t>0,3896</w:t>
            </w:r>
          </w:p>
        </w:tc>
        <w:tc>
          <w:tcPr>
            <w:tcW w:w="1293" w:type="dxa"/>
            <w:tcBorders>
              <w:top w:val="nil"/>
              <w:left w:val="nil"/>
              <w:bottom w:val="single" w:sz="4" w:space="0" w:color="auto"/>
              <w:right w:val="single" w:sz="4" w:space="0" w:color="auto"/>
            </w:tcBorders>
            <w:noWrap/>
            <w:hideMark/>
          </w:tcPr>
          <w:p w14:paraId="7E22E7D8" w14:textId="77777777" w:rsidR="00EE35DE" w:rsidRPr="00F567E1" w:rsidRDefault="00EE35DE" w:rsidP="009A58EE">
            <w:pPr>
              <w:pStyle w:val="Normal-pool-Table"/>
              <w:jc w:val="right"/>
              <w:rPr>
                <w:szCs w:val="18"/>
                <w:lang w:val="es-ES_tradnl"/>
              </w:rPr>
            </w:pPr>
            <w:r w:rsidRPr="00F567E1">
              <w:rPr>
                <w:color w:val="000000"/>
                <w:lang w:val="es-ES_tradnl"/>
              </w:rPr>
              <w:t>12 013</w:t>
            </w:r>
          </w:p>
        </w:tc>
        <w:tc>
          <w:tcPr>
            <w:tcW w:w="1293" w:type="dxa"/>
            <w:tcBorders>
              <w:top w:val="nil"/>
              <w:left w:val="nil"/>
              <w:bottom w:val="single" w:sz="4" w:space="0" w:color="auto"/>
              <w:right w:val="single" w:sz="4" w:space="0" w:color="auto"/>
            </w:tcBorders>
            <w:noWrap/>
            <w:hideMark/>
          </w:tcPr>
          <w:p w14:paraId="1C253A63" w14:textId="77777777" w:rsidR="00EE35DE" w:rsidRPr="00F567E1" w:rsidRDefault="00EE35DE" w:rsidP="009A58EE">
            <w:pPr>
              <w:pStyle w:val="Normal-pool-Table"/>
              <w:jc w:val="right"/>
              <w:rPr>
                <w:szCs w:val="18"/>
                <w:lang w:val="es-ES_tradnl"/>
              </w:rPr>
            </w:pPr>
            <w:r w:rsidRPr="00F567E1">
              <w:rPr>
                <w:color w:val="000000"/>
                <w:lang w:val="es-ES_tradnl"/>
              </w:rPr>
              <w:t>15 854</w:t>
            </w:r>
          </w:p>
        </w:tc>
        <w:tc>
          <w:tcPr>
            <w:tcW w:w="1313" w:type="dxa"/>
            <w:tcBorders>
              <w:top w:val="nil"/>
              <w:left w:val="nil"/>
              <w:bottom w:val="single" w:sz="4" w:space="0" w:color="auto"/>
              <w:right w:val="single" w:sz="4" w:space="0" w:color="auto"/>
            </w:tcBorders>
            <w:noWrap/>
            <w:hideMark/>
          </w:tcPr>
          <w:p w14:paraId="5B3DB79D" w14:textId="77777777" w:rsidR="00EE35DE" w:rsidRPr="00F567E1" w:rsidRDefault="00EE35DE" w:rsidP="009A58EE">
            <w:pPr>
              <w:pStyle w:val="Normal-pool-Table"/>
              <w:jc w:val="right"/>
              <w:rPr>
                <w:szCs w:val="18"/>
                <w:lang w:val="es-ES_tradnl"/>
              </w:rPr>
            </w:pPr>
            <w:r w:rsidRPr="00F567E1">
              <w:rPr>
                <w:color w:val="000000"/>
                <w:lang w:val="es-ES_tradnl"/>
              </w:rPr>
              <w:t>27 866</w:t>
            </w:r>
          </w:p>
        </w:tc>
      </w:tr>
      <w:tr w:rsidR="00EE35DE" w:rsidRPr="00F567E1" w14:paraId="5A71D40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AB08C7D" w14:textId="4E202CF0" w:rsidR="00EE35DE" w:rsidRPr="00F567E1" w:rsidRDefault="00EE35DE" w:rsidP="009A58EE">
            <w:pPr>
              <w:pStyle w:val="Normal-pool-Table"/>
              <w:rPr>
                <w:szCs w:val="18"/>
                <w:lang w:val="es-ES_tradnl"/>
              </w:rPr>
            </w:pPr>
            <w:r w:rsidRPr="00F567E1">
              <w:rPr>
                <w:color w:val="000000"/>
                <w:lang w:val="es-ES_tradnl"/>
              </w:rPr>
              <w:t>137</w:t>
            </w:r>
          </w:p>
        </w:tc>
        <w:tc>
          <w:tcPr>
            <w:tcW w:w="2573" w:type="dxa"/>
            <w:tcBorders>
              <w:top w:val="nil"/>
              <w:left w:val="nil"/>
              <w:bottom w:val="single" w:sz="4" w:space="0" w:color="auto"/>
              <w:right w:val="single" w:sz="4" w:space="0" w:color="auto"/>
            </w:tcBorders>
            <w:noWrap/>
            <w:hideMark/>
          </w:tcPr>
          <w:p w14:paraId="020A590D" w14:textId="77777777" w:rsidR="00EE35DE" w:rsidRPr="00F567E1" w:rsidRDefault="00EE35DE" w:rsidP="009A58EE">
            <w:pPr>
              <w:pStyle w:val="Normal-pool-Table"/>
              <w:rPr>
                <w:szCs w:val="18"/>
                <w:lang w:val="es-ES_tradnl"/>
              </w:rPr>
            </w:pPr>
            <w:r w:rsidRPr="00F567E1">
              <w:rPr>
                <w:color w:val="000000"/>
                <w:lang w:val="es-ES_tradnl"/>
              </w:rPr>
              <w:t>Francia</w:t>
            </w:r>
          </w:p>
        </w:tc>
        <w:tc>
          <w:tcPr>
            <w:tcW w:w="1400" w:type="dxa"/>
            <w:tcBorders>
              <w:top w:val="nil"/>
              <w:left w:val="nil"/>
              <w:bottom w:val="single" w:sz="4" w:space="0" w:color="auto"/>
              <w:right w:val="single" w:sz="4" w:space="0" w:color="auto"/>
            </w:tcBorders>
            <w:noWrap/>
            <w:hideMark/>
          </w:tcPr>
          <w:p w14:paraId="6206FFB1" w14:textId="77777777" w:rsidR="00EE35DE" w:rsidRPr="00F567E1" w:rsidRDefault="00EE35DE" w:rsidP="009A58EE">
            <w:pPr>
              <w:pStyle w:val="Normal-pool-Table"/>
              <w:jc w:val="right"/>
              <w:rPr>
                <w:szCs w:val="18"/>
                <w:lang w:val="es-ES_tradnl"/>
              </w:rPr>
            </w:pPr>
            <w:r w:rsidRPr="00F567E1">
              <w:rPr>
                <w:color w:val="000000"/>
                <w:lang w:val="es-ES_tradnl"/>
              </w:rPr>
              <w:t>3,858</w:t>
            </w:r>
          </w:p>
        </w:tc>
        <w:tc>
          <w:tcPr>
            <w:tcW w:w="1073" w:type="dxa"/>
            <w:tcBorders>
              <w:top w:val="nil"/>
              <w:left w:val="nil"/>
              <w:bottom w:val="single" w:sz="4" w:space="0" w:color="auto"/>
              <w:right w:val="single" w:sz="4" w:space="0" w:color="auto"/>
            </w:tcBorders>
            <w:noWrap/>
            <w:hideMark/>
          </w:tcPr>
          <w:p w14:paraId="418C1D71" w14:textId="77777777" w:rsidR="00EE35DE" w:rsidRPr="00F567E1" w:rsidRDefault="00EE35DE" w:rsidP="009A58EE">
            <w:pPr>
              <w:pStyle w:val="Normal-pool-Table"/>
              <w:jc w:val="right"/>
              <w:rPr>
                <w:szCs w:val="18"/>
                <w:lang w:val="es-ES_tradnl"/>
              </w:rPr>
            </w:pPr>
            <w:r w:rsidRPr="00F567E1">
              <w:rPr>
                <w:color w:val="000000"/>
                <w:lang w:val="es-ES_tradnl"/>
              </w:rPr>
              <w:t>3,8939</w:t>
            </w:r>
          </w:p>
        </w:tc>
        <w:tc>
          <w:tcPr>
            <w:tcW w:w="1293" w:type="dxa"/>
            <w:tcBorders>
              <w:top w:val="nil"/>
              <w:left w:val="nil"/>
              <w:bottom w:val="single" w:sz="4" w:space="0" w:color="auto"/>
              <w:right w:val="single" w:sz="4" w:space="0" w:color="auto"/>
            </w:tcBorders>
            <w:noWrap/>
            <w:hideMark/>
          </w:tcPr>
          <w:p w14:paraId="3752575C" w14:textId="77777777" w:rsidR="00EE35DE" w:rsidRPr="00F567E1" w:rsidRDefault="00EE35DE" w:rsidP="009A58EE">
            <w:pPr>
              <w:pStyle w:val="Normal-pool-Table"/>
              <w:jc w:val="right"/>
              <w:rPr>
                <w:szCs w:val="18"/>
                <w:lang w:val="es-ES_tradnl"/>
              </w:rPr>
            </w:pPr>
            <w:r w:rsidRPr="00F567E1">
              <w:rPr>
                <w:color w:val="000000"/>
                <w:lang w:val="es-ES_tradnl"/>
              </w:rPr>
              <w:t>120 063</w:t>
            </w:r>
          </w:p>
        </w:tc>
        <w:tc>
          <w:tcPr>
            <w:tcW w:w="1293" w:type="dxa"/>
            <w:tcBorders>
              <w:top w:val="nil"/>
              <w:left w:val="nil"/>
              <w:bottom w:val="single" w:sz="4" w:space="0" w:color="auto"/>
              <w:right w:val="single" w:sz="4" w:space="0" w:color="auto"/>
            </w:tcBorders>
            <w:noWrap/>
            <w:hideMark/>
          </w:tcPr>
          <w:p w14:paraId="6CEE400F" w14:textId="77777777" w:rsidR="00EE35DE" w:rsidRPr="00F567E1" w:rsidRDefault="00EE35DE" w:rsidP="009A58EE">
            <w:pPr>
              <w:pStyle w:val="Normal-pool-Table"/>
              <w:jc w:val="right"/>
              <w:rPr>
                <w:szCs w:val="18"/>
                <w:lang w:val="es-ES_tradnl"/>
              </w:rPr>
            </w:pPr>
            <w:r w:rsidRPr="00F567E1">
              <w:rPr>
                <w:color w:val="000000"/>
                <w:lang w:val="es-ES_tradnl"/>
              </w:rPr>
              <w:t>158 454</w:t>
            </w:r>
          </w:p>
        </w:tc>
        <w:tc>
          <w:tcPr>
            <w:tcW w:w="1313" w:type="dxa"/>
            <w:tcBorders>
              <w:top w:val="nil"/>
              <w:left w:val="nil"/>
              <w:bottom w:val="single" w:sz="4" w:space="0" w:color="auto"/>
              <w:right w:val="single" w:sz="4" w:space="0" w:color="auto"/>
            </w:tcBorders>
            <w:noWrap/>
            <w:hideMark/>
          </w:tcPr>
          <w:p w14:paraId="0B1C5EE9" w14:textId="77777777" w:rsidR="00EE35DE" w:rsidRPr="00F567E1" w:rsidRDefault="00EE35DE" w:rsidP="009A58EE">
            <w:pPr>
              <w:pStyle w:val="Normal-pool-Table"/>
              <w:jc w:val="right"/>
              <w:rPr>
                <w:szCs w:val="18"/>
                <w:lang w:val="es-ES_tradnl"/>
              </w:rPr>
            </w:pPr>
            <w:r w:rsidRPr="00F567E1">
              <w:rPr>
                <w:color w:val="000000"/>
                <w:lang w:val="es-ES_tradnl"/>
              </w:rPr>
              <w:t>278 517</w:t>
            </w:r>
          </w:p>
        </w:tc>
      </w:tr>
      <w:tr w:rsidR="00EE35DE" w:rsidRPr="00F567E1" w14:paraId="69C6910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BDF0F84" w14:textId="253566BC" w:rsidR="00EE35DE" w:rsidRPr="00F567E1" w:rsidRDefault="00EE35DE" w:rsidP="009A58EE">
            <w:pPr>
              <w:pStyle w:val="Normal-pool-Table"/>
              <w:rPr>
                <w:szCs w:val="18"/>
                <w:lang w:val="es-ES_tradnl"/>
              </w:rPr>
            </w:pPr>
            <w:r w:rsidRPr="00F567E1">
              <w:rPr>
                <w:color w:val="000000"/>
                <w:lang w:val="es-ES_tradnl"/>
              </w:rPr>
              <w:t>138</w:t>
            </w:r>
          </w:p>
        </w:tc>
        <w:tc>
          <w:tcPr>
            <w:tcW w:w="2573" w:type="dxa"/>
            <w:tcBorders>
              <w:top w:val="nil"/>
              <w:left w:val="nil"/>
              <w:bottom w:val="single" w:sz="4" w:space="0" w:color="auto"/>
              <w:right w:val="single" w:sz="4" w:space="0" w:color="auto"/>
            </w:tcBorders>
            <w:noWrap/>
            <w:hideMark/>
          </w:tcPr>
          <w:p w14:paraId="17631D09" w14:textId="77777777" w:rsidR="00EE35DE" w:rsidRPr="00F567E1" w:rsidRDefault="00EE35DE" w:rsidP="009A58EE">
            <w:pPr>
              <w:pStyle w:val="Normal-pool-Table"/>
              <w:rPr>
                <w:szCs w:val="18"/>
                <w:lang w:val="es-ES_tradnl"/>
              </w:rPr>
            </w:pPr>
            <w:r w:rsidRPr="00F567E1">
              <w:rPr>
                <w:color w:val="000000"/>
                <w:lang w:val="es-ES_tradnl"/>
              </w:rPr>
              <w:t>Grecia</w:t>
            </w:r>
          </w:p>
        </w:tc>
        <w:tc>
          <w:tcPr>
            <w:tcW w:w="1400" w:type="dxa"/>
            <w:tcBorders>
              <w:top w:val="nil"/>
              <w:left w:val="nil"/>
              <w:bottom w:val="single" w:sz="4" w:space="0" w:color="auto"/>
              <w:right w:val="single" w:sz="4" w:space="0" w:color="auto"/>
            </w:tcBorders>
            <w:noWrap/>
            <w:hideMark/>
          </w:tcPr>
          <w:p w14:paraId="505DB331" w14:textId="77777777" w:rsidR="00EE35DE" w:rsidRPr="00F567E1" w:rsidRDefault="00EE35DE" w:rsidP="009A58EE">
            <w:pPr>
              <w:pStyle w:val="Normal-pool-Table"/>
              <w:jc w:val="right"/>
              <w:rPr>
                <w:szCs w:val="18"/>
                <w:lang w:val="es-ES_tradnl"/>
              </w:rPr>
            </w:pPr>
            <w:r w:rsidRPr="00F567E1">
              <w:rPr>
                <w:color w:val="000000"/>
                <w:lang w:val="es-ES_tradnl"/>
              </w:rPr>
              <w:t>0,28</w:t>
            </w:r>
          </w:p>
        </w:tc>
        <w:tc>
          <w:tcPr>
            <w:tcW w:w="1073" w:type="dxa"/>
            <w:tcBorders>
              <w:top w:val="nil"/>
              <w:left w:val="nil"/>
              <w:bottom w:val="single" w:sz="4" w:space="0" w:color="auto"/>
              <w:right w:val="single" w:sz="4" w:space="0" w:color="auto"/>
            </w:tcBorders>
            <w:noWrap/>
            <w:hideMark/>
          </w:tcPr>
          <w:p w14:paraId="35B03F3C" w14:textId="77777777" w:rsidR="00EE35DE" w:rsidRPr="00F567E1" w:rsidRDefault="00EE35DE" w:rsidP="009A58EE">
            <w:pPr>
              <w:pStyle w:val="Normal-pool-Table"/>
              <w:jc w:val="right"/>
              <w:rPr>
                <w:szCs w:val="18"/>
                <w:lang w:val="es-ES_tradnl"/>
              </w:rPr>
            </w:pPr>
            <w:r w:rsidRPr="00F567E1">
              <w:rPr>
                <w:color w:val="000000"/>
                <w:lang w:val="es-ES_tradnl"/>
              </w:rPr>
              <w:t>0,2826</w:t>
            </w:r>
          </w:p>
        </w:tc>
        <w:tc>
          <w:tcPr>
            <w:tcW w:w="1293" w:type="dxa"/>
            <w:tcBorders>
              <w:top w:val="nil"/>
              <w:left w:val="nil"/>
              <w:bottom w:val="single" w:sz="4" w:space="0" w:color="auto"/>
              <w:right w:val="single" w:sz="4" w:space="0" w:color="auto"/>
            </w:tcBorders>
            <w:noWrap/>
            <w:hideMark/>
          </w:tcPr>
          <w:p w14:paraId="4576B1DF" w14:textId="77777777" w:rsidR="00EE35DE" w:rsidRPr="00F567E1" w:rsidRDefault="00EE35DE" w:rsidP="009A58EE">
            <w:pPr>
              <w:pStyle w:val="Normal-pool-Table"/>
              <w:jc w:val="right"/>
              <w:rPr>
                <w:szCs w:val="18"/>
                <w:lang w:val="es-ES_tradnl"/>
              </w:rPr>
            </w:pPr>
            <w:r w:rsidRPr="00F567E1">
              <w:rPr>
                <w:color w:val="000000"/>
                <w:lang w:val="es-ES_tradnl"/>
              </w:rPr>
              <w:t>8 714</w:t>
            </w:r>
          </w:p>
        </w:tc>
        <w:tc>
          <w:tcPr>
            <w:tcW w:w="1293" w:type="dxa"/>
            <w:tcBorders>
              <w:top w:val="nil"/>
              <w:left w:val="nil"/>
              <w:bottom w:val="single" w:sz="4" w:space="0" w:color="auto"/>
              <w:right w:val="single" w:sz="4" w:space="0" w:color="auto"/>
            </w:tcBorders>
            <w:noWrap/>
            <w:hideMark/>
          </w:tcPr>
          <w:p w14:paraId="75928004" w14:textId="77777777" w:rsidR="00EE35DE" w:rsidRPr="00F567E1" w:rsidRDefault="00EE35DE" w:rsidP="009A58EE">
            <w:pPr>
              <w:pStyle w:val="Normal-pool-Table"/>
              <w:jc w:val="right"/>
              <w:rPr>
                <w:szCs w:val="18"/>
                <w:lang w:val="es-ES_tradnl"/>
              </w:rPr>
            </w:pPr>
            <w:r w:rsidRPr="00F567E1">
              <w:rPr>
                <w:color w:val="000000"/>
                <w:lang w:val="es-ES_tradnl"/>
              </w:rPr>
              <w:t>11 500</w:t>
            </w:r>
          </w:p>
        </w:tc>
        <w:tc>
          <w:tcPr>
            <w:tcW w:w="1313" w:type="dxa"/>
            <w:tcBorders>
              <w:top w:val="nil"/>
              <w:left w:val="nil"/>
              <w:bottom w:val="single" w:sz="4" w:space="0" w:color="auto"/>
              <w:right w:val="single" w:sz="4" w:space="0" w:color="auto"/>
            </w:tcBorders>
            <w:noWrap/>
            <w:hideMark/>
          </w:tcPr>
          <w:p w14:paraId="104608A6" w14:textId="77777777" w:rsidR="00EE35DE" w:rsidRPr="00F567E1" w:rsidRDefault="00EE35DE" w:rsidP="009A58EE">
            <w:pPr>
              <w:pStyle w:val="Normal-pool-Table"/>
              <w:jc w:val="right"/>
              <w:rPr>
                <w:szCs w:val="18"/>
                <w:lang w:val="es-ES_tradnl"/>
              </w:rPr>
            </w:pPr>
            <w:r w:rsidRPr="00F567E1">
              <w:rPr>
                <w:color w:val="000000"/>
                <w:lang w:val="es-ES_tradnl"/>
              </w:rPr>
              <w:t>20 214</w:t>
            </w:r>
          </w:p>
        </w:tc>
      </w:tr>
      <w:tr w:rsidR="00EE35DE" w:rsidRPr="00F567E1" w14:paraId="53BD446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1B7D49B" w14:textId="77777777" w:rsidR="00EE35DE" w:rsidRPr="00F567E1" w:rsidRDefault="00EE35DE" w:rsidP="009A58EE">
            <w:pPr>
              <w:pStyle w:val="Normal-pool-Table"/>
              <w:rPr>
                <w:szCs w:val="18"/>
                <w:lang w:val="es-ES_tradnl"/>
              </w:rPr>
            </w:pPr>
            <w:r w:rsidRPr="00F567E1">
              <w:rPr>
                <w:color w:val="000000"/>
                <w:lang w:val="es-ES_tradnl"/>
              </w:rPr>
              <w:t>139</w:t>
            </w:r>
          </w:p>
        </w:tc>
        <w:tc>
          <w:tcPr>
            <w:tcW w:w="2573" w:type="dxa"/>
            <w:tcBorders>
              <w:top w:val="nil"/>
              <w:left w:val="nil"/>
              <w:bottom w:val="single" w:sz="4" w:space="0" w:color="auto"/>
              <w:right w:val="single" w:sz="4" w:space="0" w:color="auto"/>
            </w:tcBorders>
            <w:noWrap/>
            <w:hideMark/>
          </w:tcPr>
          <w:p w14:paraId="0463DDDB" w14:textId="77777777" w:rsidR="00EE35DE" w:rsidRPr="00F567E1" w:rsidRDefault="00EE35DE" w:rsidP="009A58EE">
            <w:pPr>
              <w:pStyle w:val="Normal-pool-Table"/>
              <w:rPr>
                <w:szCs w:val="18"/>
                <w:lang w:val="es-ES_tradnl"/>
              </w:rPr>
            </w:pPr>
            <w:r w:rsidRPr="00F567E1">
              <w:rPr>
                <w:color w:val="000000"/>
                <w:lang w:val="es-ES_tradnl"/>
              </w:rPr>
              <w:t>Irlanda</w:t>
            </w:r>
          </w:p>
        </w:tc>
        <w:tc>
          <w:tcPr>
            <w:tcW w:w="1400" w:type="dxa"/>
            <w:tcBorders>
              <w:top w:val="nil"/>
              <w:left w:val="nil"/>
              <w:bottom w:val="single" w:sz="4" w:space="0" w:color="auto"/>
              <w:right w:val="single" w:sz="4" w:space="0" w:color="auto"/>
            </w:tcBorders>
            <w:noWrap/>
            <w:hideMark/>
          </w:tcPr>
          <w:p w14:paraId="0642E019" w14:textId="77777777" w:rsidR="00EE35DE" w:rsidRPr="00F567E1" w:rsidRDefault="00EE35DE" w:rsidP="009A58EE">
            <w:pPr>
              <w:pStyle w:val="Normal-pool-Table"/>
              <w:jc w:val="right"/>
              <w:rPr>
                <w:szCs w:val="18"/>
                <w:lang w:val="es-ES_tradnl"/>
              </w:rPr>
            </w:pPr>
            <w:r w:rsidRPr="00F567E1">
              <w:rPr>
                <w:color w:val="000000"/>
                <w:lang w:val="es-ES_tradnl"/>
              </w:rPr>
              <w:t>0,472</w:t>
            </w:r>
          </w:p>
        </w:tc>
        <w:tc>
          <w:tcPr>
            <w:tcW w:w="1073" w:type="dxa"/>
            <w:tcBorders>
              <w:top w:val="nil"/>
              <w:left w:val="nil"/>
              <w:bottom w:val="single" w:sz="4" w:space="0" w:color="auto"/>
              <w:right w:val="single" w:sz="4" w:space="0" w:color="auto"/>
            </w:tcBorders>
            <w:noWrap/>
            <w:hideMark/>
          </w:tcPr>
          <w:p w14:paraId="4E9BD8C4" w14:textId="77777777" w:rsidR="00EE35DE" w:rsidRPr="00F567E1" w:rsidRDefault="00EE35DE" w:rsidP="009A58EE">
            <w:pPr>
              <w:pStyle w:val="Normal-pool-Table"/>
              <w:jc w:val="right"/>
              <w:rPr>
                <w:szCs w:val="18"/>
                <w:lang w:val="es-ES_tradnl"/>
              </w:rPr>
            </w:pPr>
            <w:r w:rsidRPr="00F567E1">
              <w:rPr>
                <w:color w:val="000000"/>
                <w:lang w:val="es-ES_tradnl"/>
              </w:rPr>
              <w:t>0,4764</w:t>
            </w:r>
          </w:p>
        </w:tc>
        <w:tc>
          <w:tcPr>
            <w:tcW w:w="1293" w:type="dxa"/>
            <w:tcBorders>
              <w:top w:val="nil"/>
              <w:left w:val="nil"/>
              <w:bottom w:val="single" w:sz="4" w:space="0" w:color="auto"/>
              <w:right w:val="single" w:sz="4" w:space="0" w:color="auto"/>
            </w:tcBorders>
            <w:noWrap/>
            <w:hideMark/>
          </w:tcPr>
          <w:p w14:paraId="4BD7C2E7" w14:textId="77777777" w:rsidR="00EE35DE" w:rsidRPr="00F567E1" w:rsidRDefault="00EE35DE" w:rsidP="009A58EE">
            <w:pPr>
              <w:pStyle w:val="Normal-pool-Table"/>
              <w:jc w:val="right"/>
              <w:rPr>
                <w:szCs w:val="18"/>
                <w:lang w:val="es-ES_tradnl"/>
              </w:rPr>
            </w:pPr>
            <w:r w:rsidRPr="00F567E1">
              <w:rPr>
                <w:color w:val="000000"/>
                <w:lang w:val="es-ES_tradnl"/>
              </w:rPr>
              <w:t>14 689</w:t>
            </w:r>
          </w:p>
        </w:tc>
        <w:tc>
          <w:tcPr>
            <w:tcW w:w="1293" w:type="dxa"/>
            <w:tcBorders>
              <w:top w:val="nil"/>
              <w:left w:val="nil"/>
              <w:bottom w:val="single" w:sz="4" w:space="0" w:color="auto"/>
              <w:right w:val="single" w:sz="4" w:space="0" w:color="auto"/>
            </w:tcBorders>
            <w:noWrap/>
            <w:hideMark/>
          </w:tcPr>
          <w:p w14:paraId="2F5CF9DA" w14:textId="77777777" w:rsidR="00EE35DE" w:rsidRPr="00F567E1" w:rsidRDefault="00EE35DE" w:rsidP="009A58EE">
            <w:pPr>
              <w:pStyle w:val="Normal-pool-Table"/>
              <w:jc w:val="right"/>
              <w:rPr>
                <w:szCs w:val="18"/>
                <w:lang w:val="es-ES_tradnl"/>
              </w:rPr>
            </w:pPr>
            <w:r w:rsidRPr="00F567E1">
              <w:rPr>
                <w:color w:val="000000"/>
                <w:lang w:val="es-ES_tradnl"/>
              </w:rPr>
              <w:t>19 386</w:t>
            </w:r>
          </w:p>
        </w:tc>
        <w:tc>
          <w:tcPr>
            <w:tcW w:w="1313" w:type="dxa"/>
            <w:tcBorders>
              <w:top w:val="nil"/>
              <w:left w:val="nil"/>
              <w:bottom w:val="single" w:sz="4" w:space="0" w:color="auto"/>
              <w:right w:val="single" w:sz="4" w:space="0" w:color="auto"/>
            </w:tcBorders>
            <w:noWrap/>
            <w:hideMark/>
          </w:tcPr>
          <w:p w14:paraId="1CE9E32F" w14:textId="77777777" w:rsidR="00EE35DE" w:rsidRPr="00F567E1" w:rsidRDefault="00EE35DE" w:rsidP="009A58EE">
            <w:pPr>
              <w:pStyle w:val="Normal-pool-Table"/>
              <w:jc w:val="right"/>
              <w:rPr>
                <w:szCs w:val="18"/>
                <w:lang w:val="es-ES_tradnl"/>
              </w:rPr>
            </w:pPr>
            <w:r w:rsidRPr="00F567E1">
              <w:rPr>
                <w:color w:val="000000"/>
                <w:lang w:val="es-ES_tradnl"/>
              </w:rPr>
              <w:t>34 075</w:t>
            </w:r>
          </w:p>
        </w:tc>
      </w:tr>
      <w:tr w:rsidR="00EE35DE" w:rsidRPr="00F567E1" w14:paraId="46172638"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EF55A4A" w14:textId="6DC58BB6" w:rsidR="00EE35DE" w:rsidRPr="00F567E1" w:rsidRDefault="00EE35DE" w:rsidP="009A58EE">
            <w:pPr>
              <w:pStyle w:val="Normal-pool-Table"/>
              <w:rPr>
                <w:szCs w:val="18"/>
                <w:lang w:val="es-ES_tradnl"/>
              </w:rPr>
            </w:pPr>
            <w:r w:rsidRPr="00F567E1">
              <w:rPr>
                <w:color w:val="000000"/>
                <w:lang w:val="es-ES_tradnl"/>
              </w:rPr>
              <w:t>140</w:t>
            </w:r>
          </w:p>
        </w:tc>
        <w:tc>
          <w:tcPr>
            <w:tcW w:w="2573" w:type="dxa"/>
            <w:tcBorders>
              <w:top w:val="nil"/>
              <w:left w:val="nil"/>
              <w:bottom w:val="single" w:sz="4" w:space="0" w:color="auto"/>
              <w:right w:val="single" w:sz="4" w:space="0" w:color="auto"/>
            </w:tcBorders>
            <w:noWrap/>
            <w:hideMark/>
          </w:tcPr>
          <w:p w14:paraId="459597EF" w14:textId="77777777" w:rsidR="00EE35DE" w:rsidRPr="00F567E1" w:rsidRDefault="00EE35DE" w:rsidP="009A58EE">
            <w:pPr>
              <w:pStyle w:val="Normal-pool-Table"/>
              <w:rPr>
                <w:szCs w:val="18"/>
                <w:lang w:val="es-ES_tradnl"/>
              </w:rPr>
            </w:pPr>
            <w:r w:rsidRPr="00F567E1">
              <w:rPr>
                <w:color w:val="000000"/>
                <w:lang w:val="es-ES_tradnl"/>
              </w:rPr>
              <w:t>Islandia</w:t>
            </w:r>
          </w:p>
        </w:tc>
        <w:tc>
          <w:tcPr>
            <w:tcW w:w="1400" w:type="dxa"/>
            <w:tcBorders>
              <w:top w:val="nil"/>
              <w:left w:val="nil"/>
              <w:bottom w:val="single" w:sz="4" w:space="0" w:color="auto"/>
              <w:right w:val="single" w:sz="4" w:space="0" w:color="auto"/>
            </w:tcBorders>
            <w:noWrap/>
            <w:hideMark/>
          </w:tcPr>
          <w:p w14:paraId="16F27781" w14:textId="77777777" w:rsidR="00EE35DE" w:rsidRPr="00F567E1" w:rsidRDefault="00EE35DE" w:rsidP="009A58EE">
            <w:pPr>
              <w:pStyle w:val="Normal-pool-Table"/>
              <w:jc w:val="right"/>
              <w:rPr>
                <w:szCs w:val="18"/>
                <w:lang w:val="es-ES_tradnl"/>
              </w:rPr>
            </w:pPr>
            <w:r w:rsidRPr="00F567E1">
              <w:rPr>
                <w:color w:val="000000"/>
                <w:lang w:val="es-ES_tradnl"/>
              </w:rPr>
              <w:t>0,035</w:t>
            </w:r>
          </w:p>
        </w:tc>
        <w:tc>
          <w:tcPr>
            <w:tcW w:w="1073" w:type="dxa"/>
            <w:tcBorders>
              <w:top w:val="nil"/>
              <w:left w:val="nil"/>
              <w:bottom w:val="single" w:sz="4" w:space="0" w:color="auto"/>
              <w:right w:val="single" w:sz="4" w:space="0" w:color="auto"/>
            </w:tcBorders>
            <w:noWrap/>
            <w:hideMark/>
          </w:tcPr>
          <w:p w14:paraId="6EDF54DF" w14:textId="77777777" w:rsidR="00EE35DE" w:rsidRPr="00F567E1" w:rsidRDefault="00EE35DE" w:rsidP="009A58EE">
            <w:pPr>
              <w:pStyle w:val="Normal-pool-Table"/>
              <w:jc w:val="right"/>
              <w:rPr>
                <w:szCs w:val="18"/>
                <w:lang w:val="es-ES_tradnl"/>
              </w:rPr>
            </w:pPr>
            <w:r w:rsidRPr="00F567E1">
              <w:rPr>
                <w:color w:val="000000"/>
                <w:lang w:val="es-ES_tradnl"/>
              </w:rPr>
              <w:t>0,0353</w:t>
            </w:r>
          </w:p>
        </w:tc>
        <w:tc>
          <w:tcPr>
            <w:tcW w:w="1293" w:type="dxa"/>
            <w:tcBorders>
              <w:top w:val="nil"/>
              <w:left w:val="nil"/>
              <w:bottom w:val="single" w:sz="4" w:space="0" w:color="auto"/>
              <w:right w:val="single" w:sz="4" w:space="0" w:color="auto"/>
            </w:tcBorders>
            <w:noWrap/>
            <w:hideMark/>
          </w:tcPr>
          <w:p w14:paraId="08C7D405" w14:textId="77777777" w:rsidR="00EE35DE" w:rsidRPr="00F567E1" w:rsidRDefault="00EE35DE" w:rsidP="009A58EE">
            <w:pPr>
              <w:pStyle w:val="Normal-pool-Table"/>
              <w:jc w:val="right"/>
              <w:rPr>
                <w:szCs w:val="18"/>
                <w:lang w:val="es-ES_tradnl"/>
              </w:rPr>
            </w:pPr>
            <w:r w:rsidRPr="00F567E1">
              <w:rPr>
                <w:color w:val="000000"/>
                <w:lang w:val="es-ES_tradnl"/>
              </w:rPr>
              <w:t>1 089</w:t>
            </w:r>
          </w:p>
        </w:tc>
        <w:tc>
          <w:tcPr>
            <w:tcW w:w="1293" w:type="dxa"/>
            <w:tcBorders>
              <w:top w:val="nil"/>
              <w:left w:val="nil"/>
              <w:bottom w:val="single" w:sz="4" w:space="0" w:color="auto"/>
              <w:right w:val="single" w:sz="4" w:space="0" w:color="auto"/>
            </w:tcBorders>
            <w:noWrap/>
            <w:hideMark/>
          </w:tcPr>
          <w:p w14:paraId="751D7198" w14:textId="77777777" w:rsidR="00EE35DE" w:rsidRPr="00F567E1" w:rsidRDefault="00EE35DE" w:rsidP="009A58EE">
            <w:pPr>
              <w:pStyle w:val="Normal-pool-Table"/>
              <w:jc w:val="right"/>
              <w:rPr>
                <w:szCs w:val="18"/>
                <w:lang w:val="es-ES_tradnl"/>
              </w:rPr>
            </w:pPr>
            <w:r w:rsidRPr="00F567E1">
              <w:rPr>
                <w:color w:val="000000"/>
                <w:lang w:val="es-ES_tradnl"/>
              </w:rPr>
              <w:t>1 438</w:t>
            </w:r>
          </w:p>
        </w:tc>
        <w:tc>
          <w:tcPr>
            <w:tcW w:w="1313" w:type="dxa"/>
            <w:tcBorders>
              <w:top w:val="nil"/>
              <w:left w:val="nil"/>
              <w:bottom w:val="single" w:sz="4" w:space="0" w:color="auto"/>
              <w:right w:val="single" w:sz="4" w:space="0" w:color="auto"/>
            </w:tcBorders>
            <w:noWrap/>
            <w:hideMark/>
          </w:tcPr>
          <w:p w14:paraId="059BD3C0" w14:textId="77777777" w:rsidR="00EE35DE" w:rsidRPr="00F567E1" w:rsidRDefault="00EE35DE" w:rsidP="009A58EE">
            <w:pPr>
              <w:pStyle w:val="Normal-pool-Table"/>
              <w:jc w:val="right"/>
              <w:rPr>
                <w:szCs w:val="18"/>
                <w:lang w:val="es-ES_tradnl"/>
              </w:rPr>
            </w:pPr>
            <w:r w:rsidRPr="00F567E1">
              <w:rPr>
                <w:color w:val="000000"/>
                <w:lang w:val="es-ES_tradnl"/>
              </w:rPr>
              <w:t>2 527</w:t>
            </w:r>
          </w:p>
        </w:tc>
      </w:tr>
      <w:tr w:rsidR="00EE35DE" w:rsidRPr="00F567E1" w14:paraId="1F4C76A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1221866" w14:textId="2BF51949" w:rsidR="00EE35DE" w:rsidRPr="00F567E1" w:rsidRDefault="00EE35DE" w:rsidP="009A58EE">
            <w:pPr>
              <w:pStyle w:val="Normal-pool-Table"/>
              <w:rPr>
                <w:szCs w:val="18"/>
                <w:lang w:val="es-ES_tradnl"/>
              </w:rPr>
            </w:pPr>
            <w:r w:rsidRPr="00F567E1">
              <w:rPr>
                <w:color w:val="000000"/>
                <w:lang w:val="es-ES_tradnl"/>
              </w:rPr>
              <w:t>141</w:t>
            </w:r>
          </w:p>
        </w:tc>
        <w:tc>
          <w:tcPr>
            <w:tcW w:w="2573" w:type="dxa"/>
            <w:tcBorders>
              <w:top w:val="nil"/>
              <w:left w:val="nil"/>
              <w:bottom w:val="single" w:sz="4" w:space="0" w:color="auto"/>
              <w:right w:val="single" w:sz="4" w:space="0" w:color="auto"/>
            </w:tcBorders>
            <w:noWrap/>
            <w:hideMark/>
          </w:tcPr>
          <w:p w14:paraId="140EC3AB" w14:textId="77777777" w:rsidR="00EE35DE" w:rsidRPr="00F567E1" w:rsidRDefault="00EE35DE" w:rsidP="009A58EE">
            <w:pPr>
              <w:pStyle w:val="Normal-pool-Table"/>
              <w:rPr>
                <w:szCs w:val="18"/>
                <w:lang w:val="es-ES_tradnl"/>
              </w:rPr>
            </w:pPr>
            <w:r w:rsidRPr="00F567E1">
              <w:rPr>
                <w:color w:val="000000"/>
                <w:lang w:val="es-ES_tradnl"/>
              </w:rPr>
              <w:t>Italia</w:t>
            </w:r>
          </w:p>
        </w:tc>
        <w:tc>
          <w:tcPr>
            <w:tcW w:w="1400" w:type="dxa"/>
            <w:tcBorders>
              <w:top w:val="nil"/>
              <w:left w:val="nil"/>
              <w:bottom w:val="single" w:sz="4" w:space="0" w:color="auto"/>
              <w:right w:val="single" w:sz="4" w:space="0" w:color="auto"/>
            </w:tcBorders>
            <w:noWrap/>
            <w:hideMark/>
          </w:tcPr>
          <w:p w14:paraId="15753CF5" w14:textId="77777777" w:rsidR="00EE35DE" w:rsidRPr="00F567E1" w:rsidRDefault="00EE35DE" w:rsidP="009A58EE">
            <w:pPr>
              <w:pStyle w:val="Normal-pool-Table"/>
              <w:jc w:val="right"/>
              <w:rPr>
                <w:szCs w:val="18"/>
                <w:lang w:val="es-ES_tradnl"/>
              </w:rPr>
            </w:pPr>
            <w:r w:rsidRPr="00F567E1">
              <w:rPr>
                <w:color w:val="000000"/>
                <w:lang w:val="es-ES_tradnl"/>
              </w:rPr>
              <w:t>2,813</w:t>
            </w:r>
          </w:p>
        </w:tc>
        <w:tc>
          <w:tcPr>
            <w:tcW w:w="1073" w:type="dxa"/>
            <w:tcBorders>
              <w:top w:val="nil"/>
              <w:left w:val="nil"/>
              <w:bottom w:val="single" w:sz="4" w:space="0" w:color="auto"/>
              <w:right w:val="single" w:sz="4" w:space="0" w:color="auto"/>
            </w:tcBorders>
            <w:noWrap/>
            <w:hideMark/>
          </w:tcPr>
          <w:p w14:paraId="4DB04D12" w14:textId="77777777" w:rsidR="00EE35DE" w:rsidRPr="00F567E1" w:rsidRDefault="00EE35DE" w:rsidP="009A58EE">
            <w:pPr>
              <w:pStyle w:val="Normal-pool-Table"/>
              <w:jc w:val="right"/>
              <w:rPr>
                <w:szCs w:val="18"/>
                <w:lang w:val="es-ES_tradnl"/>
              </w:rPr>
            </w:pPr>
            <w:r w:rsidRPr="00F567E1">
              <w:rPr>
                <w:color w:val="000000"/>
                <w:lang w:val="es-ES_tradnl"/>
              </w:rPr>
              <w:t>2,8392</w:t>
            </w:r>
          </w:p>
        </w:tc>
        <w:tc>
          <w:tcPr>
            <w:tcW w:w="1293" w:type="dxa"/>
            <w:tcBorders>
              <w:top w:val="nil"/>
              <w:left w:val="nil"/>
              <w:bottom w:val="single" w:sz="4" w:space="0" w:color="auto"/>
              <w:right w:val="single" w:sz="4" w:space="0" w:color="auto"/>
            </w:tcBorders>
            <w:noWrap/>
            <w:hideMark/>
          </w:tcPr>
          <w:p w14:paraId="7F89875C" w14:textId="77777777" w:rsidR="00EE35DE" w:rsidRPr="00F567E1" w:rsidRDefault="00EE35DE" w:rsidP="009A58EE">
            <w:pPr>
              <w:pStyle w:val="Normal-pool-Table"/>
              <w:jc w:val="right"/>
              <w:rPr>
                <w:szCs w:val="18"/>
                <w:lang w:val="es-ES_tradnl"/>
              </w:rPr>
            </w:pPr>
            <w:r w:rsidRPr="00F567E1">
              <w:rPr>
                <w:color w:val="000000"/>
                <w:lang w:val="es-ES_tradnl"/>
              </w:rPr>
              <w:t>87 542</w:t>
            </w:r>
          </w:p>
        </w:tc>
        <w:tc>
          <w:tcPr>
            <w:tcW w:w="1293" w:type="dxa"/>
            <w:tcBorders>
              <w:top w:val="nil"/>
              <w:left w:val="nil"/>
              <w:bottom w:val="single" w:sz="4" w:space="0" w:color="auto"/>
              <w:right w:val="single" w:sz="4" w:space="0" w:color="auto"/>
            </w:tcBorders>
            <w:noWrap/>
            <w:hideMark/>
          </w:tcPr>
          <w:p w14:paraId="5A1AD872" w14:textId="77777777" w:rsidR="00EE35DE" w:rsidRPr="00F567E1" w:rsidRDefault="00EE35DE" w:rsidP="009A58EE">
            <w:pPr>
              <w:pStyle w:val="Normal-pool-Table"/>
              <w:jc w:val="right"/>
              <w:rPr>
                <w:szCs w:val="18"/>
                <w:lang w:val="es-ES_tradnl"/>
              </w:rPr>
            </w:pPr>
            <w:r w:rsidRPr="00F567E1">
              <w:rPr>
                <w:color w:val="000000"/>
                <w:lang w:val="es-ES_tradnl"/>
              </w:rPr>
              <w:t>115 534</w:t>
            </w:r>
          </w:p>
        </w:tc>
        <w:tc>
          <w:tcPr>
            <w:tcW w:w="1313" w:type="dxa"/>
            <w:tcBorders>
              <w:top w:val="nil"/>
              <w:left w:val="nil"/>
              <w:bottom w:val="single" w:sz="4" w:space="0" w:color="auto"/>
              <w:right w:val="single" w:sz="4" w:space="0" w:color="auto"/>
            </w:tcBorders>
            <w:noWrap/>
            <w:hideMark/>
          </w:tcPr>
          <w:p w14:paraId="52EE695A" w14:textId="77777777" w:rsidR="00EE35DE" w:rsidRPr="00F567E1" w:rsidRDefault="00EE35DE" w:rsidP="009A58EE">
            <w:pPr>
              <w:pStyle w:val="Normal-pool-Table"/>
              <w:jc w:val="right"/>
              <w:rPr>
                <w:szCs w:val="18"/>
                <w:lang w:val="es-ES_tradnl"/>
              </w:rPr>
            </w:pPr>
            <w:r w:rsidRPr="00F567E1">
              <w:rPr>
                <w:color w:val="000000"/>
                <w:lang w:val="es-ES_tradnl"/>
              </w:rPr>
              <w:t>203 076</w:t>
            </w:r>
          </w:p>
        </w:tc>
      </w:tr>
      <w:tr w:rsidR="00EE35DE" w:rsidRPr="00F567E1" w14:paraId="7F6AB4CC"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537130D9" w14:textId="14D229F0" w:rsidR="00EE35DE" w:rsidRPr="00F567E1" w:rsidRDefault="00EE35DE" w:rsidP="009A58EE">
            <w:pPr>
              <w:pStyle w:val="Normal-pool-Table"/>
              <w:rPr>
                <w:szCs w:val="18"/>
                <w:lang w:val="es-ES_tradnl"/>
              </w:rPr>
            </w:pPr>
            <w:r w:rsidRPr="00F567E1">
              <w:rPr>
                <w:color w:val="000000"/>
                <w:lang w:val="es-ES_tradnl"/>
              </w:rPr>
              <w:t>142</w:t>
            </w:r>
          </w:p>
        </w:tc>
        <w:tc>
          <w:tcPr>
            <w:tcW w:w="2573" w:type="dxa"/>
            <w:tcBorders>
              <w:top w:val="nil"/>
              <w:left w:val="nil"/>
              <w:bottom w:val="single" w:sz="4" w:space="0" w:color="auto"/>
              <w:right w:val="single" w:sz="4" w:space="0" w:color="auto"/>
            </w:tcBorders>
            <w:noWrap/>
            <w:hideMark/>
          </w:tcPr>
          <w:p w14:paraId="386BCD8C" w14:textId="77777777" w:rsidR="00EE35DE" w:rsidRPr="00F567E1" w:rsidRDefault="00EE35DE" w:rsidP="009A58EE">
            <w:pPr>
              <w:pStyle w:val="Normal-pool-Table"/>
              <w:rPr>
                <w:szCs w:val="18"/>
                <w:lang w:val="es-ES_tradnl"/>
              </w:rPr>
            </w:pPr>
            <w:r w:rsidRPr="00F567E1">
              <w:rPr>
                <w:color w:val="000000"/>
                <w:lang w:val="es-ES_tradnl"/>
              </w:rPr>
              <w:t>Liechtenstein</w:t>
            </w:r>
          </w:p>
        </w:tc>
        <w:tc>
          <w:tcPr>
            <w:tcW w:w="1400" w:type="dxa"/>
            <w:tcBorders>
              <w:top w:val="nil"/>
              <w:left w:val="nil"/>
              <w:bottom w:val="single" w:sz="4" w:space="0" w:color="auto"/>
              <w:right w:val="single" w:sz="4" w:space="0" w:color="auto"/>
            </w:tcBorders>
            <w:noWrap/>
            <w:hideMark/>
          </w:tcPr>
          <w:p w14:paraId="1AB95019" w14:textId="77777777" w:rsidR="00EE35DE" w:rsidRPr="00F567E1" w:rsidRDefault="00EE35DE" w:rsidP="009A58EE">
            <w:pPr>
              <w:pStyle w:val="Normal-pool-Table"/>
              <w:jc w:val="right"/>
              <w:rPr>
                <w:szCs w:val="18"/>
                <w:lang w:val="es-ES_tradnl"/>
              </w:rPr>
            </w:pPr>
            <w:r w:rsidRPr="00F567E1">
              <w:rPr>
                <w:color w:val="000000"/>
                <w:lang w:val="es-ES_tradnl"/>
              </w:rPr>
              <w:t>0,009</w:t>
            </w:r>
          </w:p>
        </w:tc>
        <w:tc>
          <w:tcPr>
            <w:tcW w:w="1073" w:type="dxa"/>
            <w:tcBorders>
              <w:top w:val="nil"/>
              <w:left w:val="nil"/>
              <w:bottom w:val="single" w:sz="4" w:space="0" w:color="auto"/>
              <w:right w:val="single" w:sz="4" w:space="0" w:color="auto"/>
            </w:tcBorders>
            <w:noWrap/>
            <w:hideMark/>
          </w:tcPr>
          <w:p w14:paraId="5242998F" w14:textId="77777777" w:rsidR="00EE35DE" w:rsidRPr="00F567E1" w:rsidRDefault="00EE35DE" w:rsidP="009A58EE">
            <w:pPr>
              <w:pStyle w:val="Normal-pool-Table"/>
              <w:jc w:val="right"/>
              <w:rPr>
                <w:szCs w:val="18"/>
                <w:lang w:val="es-ES_tradnl"/>
              </w:rPr>
            </w:pPr>
            <w:r w:rsidRPr="00F567E1">
              <w:rPr>
                <w:color w:val="000000"/>
                <w:lang w:val="es-ES_tradnl"/>
              </w:rPr>
              <w:t>0,0100</w:t>
            </w:r>
          </w:p>
        </w:tc>
        <w:tc>
          <w:tcPr>
            <w:tcW w:w="1293" w:type="dxa"/>
            <w:tcBorders>
              <w:top w:val="nil"/>
              <w:left w:val="nil"/>
              <w:bottom w:val="single" w:sz="4" w:space="0" w:color="auto"/>
              <w:right w:val="single" w:sz="4" w:space="0" w:color="auto"/>
            </w:tcBorders>
            <w:noWrap/>
            <w:hideMark/>
          </w:tcPr>
          <w:p w14:paraId="6009F1EB" w14:textId="77777777" w:rsidR="00EE35DE" w:rsidRPr="00F567E1" w:rsidRDefault="00EE35DE" w:rsidP="009A58EE">
            <w:pPr>
              <w:pStyle w:val="Normal-pool-Table"/>
              <w:jc w:val="right"/>
              <w:rPr>
                <w:szCs w:val="18"/>
                <w:lang w:val="es-ES_tradnl"/>
              </w:rPr>
            </w:pPr>
            <w:r w:rsidRPr="00F567E1">
              <w:rPr>
                <w:color w:val="000000"/>
                <w:lang w:val="es-ES_tradnl"/>
              </w:rPr>
              <w:t>308</w:t>
            </w:r>
          </w:p>
        </w:tc>
        <w:tc>
          <w:tcPr>
            <w:tcW w:w="1293" w:type="dxa"/>
            <w:tcBorders>
              <w:top w:val="nil"/>
              <w:left w:val="nil"/>
              <w:bottom w:val="single" w:sz="4" w:space="0" w:color="auto"/>
              <w:right w:val="single" w:sz="4" w:space="0" w:color="auto"/>
            </w:tcBorders>
            <w:noWrap/>
            <w:hideMark/>
          </w:tcPr>
          <w:p w14:paraId="78929E95" w14:textId="77777777" w:rsidR="00EE35DE" w:rsidRPr="00F567E1" w:rsidRDefault="00EE35DE" w:rsidP="009A58EE">
            <w:pPr>
              <w:pStyle w:val="Normal-pool-Table"/>
              <w:jc w:val="right"/>
              <w:rPr>
                <w:szCs w:val="18"/>
                <w:lang w:val="es-ES_tradnl"/>
              </w:rPr>
            </w:pPr>
            <w:r w:rsidRPr="00F567E1">
              <w:rPr>
                <w:color w:val="000000"/>
                <w:lang w:val="es-ES_tradnl"/>
              </w:rPr>
              <w:t>407</w:t>
            </w:r>
          </w:p>
        </w:tc>
        <w:tc>
          <w:tcPr>
            <w:tcW w:w="1313" w:type="dxa"/>
            <w:tcBorders>
              <w:top w:val="nil"/>
              <w:left w:val="nil"/>
              <w:bottom w:val="single" w:sz="4" w:space="0" w:color="auto"/>
              <w:right w:val="single" w:sz="4" w:space="0" w:color="auto"/>
            </w:tcBorders>
            <w:noWrap/>
            <w:hideMark/>
          </w:tcPr>
          <w:p w14:paraId="2BDAAEA5" w14:textId="77777777" w:rsidR="00EE35DE" w:rsidRPr="00F567E1" w:rsidRDefault="00EE35DE" w:rsidP="009A58EE">
            <w:pPr>
              <w:pStyle w:val="Normal-pool-Table"/>
              <w:jc w:val="right"/>
              <w:rPr>
                <w:szCs w:val="18"/>
                <w:lang w:val="es-ES_tradnl"/>
              </w:rPr>
            </w:pPr>
            <w:r w:rsidRPr="00F567E1">
              <w:rPr>
                <w:color w:val="000000"/>
                <w:lang w:val="es-ES_tradnl"/>
              </w:rPr>
              <w:t>715</w:t>
            </w:r>
          </w:p>
        </w:tc>
      </w:tr>
      <w:tr w:rsidR="00EE35DE" w:rsidRPr="00F567E1" w14:paraId="598A941F"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BA6F38A" w14:textId="4FAD2387" w:rsidR="00EE35DE" w:rsidRPr="00F567E1" w:rsidRDefault="00EE35DE" w:rsidP="009A58EE">
            <w:pPr>
              <w:pStyle w:val="Normal-pool-Table"/>
              <w:rPr>
                <w:szCs w:val="18"/>
                <w:lang w:val="es-ES_tradnl"/>
              </w:rPr>
            </w:pPr>
            <w:r w:rsidRPr="00F567E1">
              <w:rPr>
                <w:color w:val="000000"/>
                <w:lang w:val="es-ES_tradnl"/>
              </w:rPr>
              <w:t>143</w:t>
            </w:r>
          </w:p>
        </w:tc>
        <w:tc>
          <w:tcPr>
            <w:tcW w:w="2573" w:type="dxa"/>
            <w:tcBorders>
              <w:top w:val="nil"/>
              <w:left w:val="nil"/>
              <w:bottom w:val="single" w:sz="4" w:space="0" w:color="auto"/>
              <w:right w:val="single" w:sz="4" w:space="0" w:color="auto"/>
            </w:tcBorders>
            <w:noWrap/>
            <w:hideMark/>
          </w:tcPr>
          <w:p w14:paraId="0ED9D1AC" w14:textId="77777777" w:rsidR="00EE35DE" w:rsidRPr="00F567E1" w:rsidRDefault="00EE35DE" w:rsidP="009A58EE">
            <w:pPr>
              <w:pStyle w:val="Normal-pool-Table"/>
              <w:rPr>
                <w:szCs w:val="18"/>
                <w:lang w:val="es-ES_tradnl"/>
              </w:rPr>
            </w:pPr>
            <w:r w:rsidRPr="00F567E1">
              <w:rPr>
                <w:color w:val="000000"/>
                <w:lang w:val="es-ES_tradnl"/>
              </w:rPr>
              <w:t>Luxemburgo</w:t>
            </w:r>
          </w:p>
        </w:tc>
        <w:tc>
          <w:tcPr>
            <w:tcW w:w="1400" w:type="dxa"/>
            <w:tcBorders>
              <w:top w:val="nil"/>
              <w:left w:val="nil"/>
              <w:bottom w:val="single" w:sz="4" w:space="0" w:color="auto"/>
              <w:right w:val="single" w:sz="4" w:space="0" w:color="auto"/>
            </w:tcBorders>
            <w:noWrap/>
            <w:hideMark/>
          </w:tcPr>
          <w:p w14:paraId="554D7379" w14:textId="77777777" w:rsidR="00EE35DE" w:rsidRPr="00F567E1" w:rsidRDefault="00EE35DE" w:rsidP="009A58EE">
            <w:pPr>
              <w:pStyle w:val="Normal-pool-Table"/>
              <w:jc w:val="right"/>
              <w:rPr>
                <w:szCs w:val="18"/>
                <w:lang w:val="es-ES_tradnl"/>
              </w:rPr>
            </w:pPr>
            <w:r w:rsidRPr="00F567E1">
              <w:rPr>
                <w:color w:val="000000"/>
                <w:lang w:val="es-ES_tradnl"/>
              </w:rPr>
              <w:t>0,073</w:t>
            </w:r>
          </w:p>
        </w:tc>
        <w:tc>
          <w:tcPr>
            <w:tcW w:w="1073" w:type="dxa"/>
            <w:tcBorders>
              <w:top w:val="nil"/>
              <w:left w:val="nil"/>
              <w:bottom w:val="single" w:sz="4" w:space="0" w:color="auto"/>
              <w:right w:val="single" w:sz="4" w:space="0" w:color="auto"/>
            </w:tcBorders>
            <w:noWrap/>
            <w:hideMark/>
          </w:tcPr>
          <w:p w14:paraId="1753C772" w14:textId="77777777" w:rsidR="00EE35DE" w:rsidRPr="00F567E1" w:rsidRDefault="00EE35DE" w:rsidP="009A58EE">
            <w:pPr>
              <w:pStyle w:val="Normal-pool-Table"/>
              <w:jc w:val="right"/>
              <w:rPr>
                <w:szCs w:val="18"/>
                <w:lang w:val="es-ES_tradnl"/>
              </w:rPr>
            </w:pPr>
            <w:r w:rsidRPr="00F567E1">
              <w:rPr>
                <w:color w:val="000000"/>
                <w:lang w:val="es-ES_tradnl"/>
              </w:rPr>
              <w:t>0,0737</w:t>
            </w:r>
          </w:p>
        </w:tc>
        <w:tc>
          <w:tcPr>
            <w:tcW w:w="1293" w:type="dxa"/>
            <w:tcBorders>
              <w:top w:val="nil"/>
              <w:left w:val="nil"/>
              <w:bottom w:val="single" w:sz="4" w:space="0" w:color="auto"/>
              <w:right w:val="single" w:sz="4" w:space="0" w:color="auto"/>
            </w:tcBorders>
            <w:noWrap/>
            <w:hideMark/>
          </w:tcPr>
          <w:p w14:paraId="041715C4" w14:textId="77777777" w:rsidR="00EE35DE" w:rsidRPr="00F567E1" w:rsidRDefault="00EE35DE" w:rsidP="009A58EE">
            <w:pPr>
              <w:pStyle w:val="Normal-pool-Table"/>
              <w:jc w:val="right"/>
              <w:rPr>
                <w:szCs w:val="18"/>
                <w:lang w:val="es-ES_tradnl"/>
              </w:rPr>
            </w:pPr>
            <w:r w:rsidRPr="00F567E1">
              <w:rPr>
                <w:color w:val="000000"/>
                <w:lang w:val="es-ES_tradnl"/>
              </w:rPr>
              <w:t>2 272</w:t>
            </w:r>
          </w:p>
        </w:tc>
        <w:tc>
          <w:tcPr>
            <w:tcW w:w="1293" w:type="dxa"/>
            <w:tcBorders>
              <w:top w:val="nil"/>
              <w:left w:val="nil"/>
              <w:bottom w:val="single" w:sz="4" w:space="0" w:color="auto"/>
              <w:right w:val="single" w:sz="4" w:space="0" w:color="auto"/>
            </w:tcBorders>
            <w:noWrap/>
            <w:hideMark/>
          </w:tcPr>
          <w:p w14:paraId="04AAC045" w14:textId="77777777" w:rsidR="00EE35DE" w:rsidRPr="00F567E1" w:rsidRDefault="00EE35DE" w:rsidP="009A58EE">
            <w:pPr>
              <w:pStyle w:val="Normal-pool-Table"/>
              <w:jc w:val="right"/>
              <w:rPr>
                <w:szCs w:val="18"/>
                <w:lang w:val="es-ES_tradnl"/>
              </w:rPr>
            </w:pPr>
            <w:r w:rsidRPr="00F567E1">
              <w:rPr>
                <w:color w:val="000000"/>
                <w:lang w:val="es-ES_tradnl"/>
              </w:rPr>
              <w:t>2 998</w:t>
            </w:r>
          </w:p>
        </w:tc>
        <w:tc>
          <w:tcPr>
            <w:tcW w:w="1313" w:type="dxa"/>
            <w:tcBorders>
              <w:top w:val="nil"/>
              <w:left w:val="nil"/>
              <w:bottom w:val="single" w:sz="4" w:space="0" w:color="auto"/>
              <w:right w:val="single" w:sz="4" w:space="0" w:color="auto"/>
            </w:tcBorders>
            <w:noWrap/>
            <w:hideMark/>
          </w:tcPr>
          <w:p w14:paraId="259ED628" w14:textId="77777777" w:rsidR="00EE35DE" w:rsidRPr="00F567E1" w:rsidRDefault="00EE35DE" w:rsidP="009A58EE">
            <w:pPr>
              <w:pStyle w:val="Normal-pool-Table"/>
              <w:jc w:val="right"/>
              <w:rPr>
                <w:szCs w:val="18"/>
                <w:lang w:val="es-ES_tradnl"/>
              </w:rPr>
            </w:pPr>
            <w:r w:rsidRPr="00F567E1">
              <w:rPr>
                <w:color w:val="000000"/>
                <w:lang w:val="es-ES_tradnl"/>
              </w:rPr>
              <w:t>5 270</w:t>
            </w:r>
          </w:p>
        </w:tc>
      </w:tr>
      <w:tr w:rsidR="00EE35DE" w:rsidRPr="00F567E1" w14:paraId="1A37906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4615010" w14:textId="61A70418" w:rsidR="00EE35DE" w:rsidRPr="00F567E1" w:rsidRDefault="00EE35DE" w:rsidP="009A58EE">
            <w:pPr>
              <w:pStyle w:val="Normal-pool-Table"/>
              <w:rPr>
                <w:szCs w:val="18"/>
                <w:lang w:val="es-ES_tradnl"/>
              </w:rPr>
            </w:pPr>
            <w:r w:rsidRPr="00F567E1">
              <w:rPr>
                <w:color w:val="000000"/>
                <w:lang w:val="es-ES_tradnl"/>
              </w:rPr>
              <w:t>144</w:t>
            </w:r>
          </w:p>
        </w:tc>
        <w:tc>
          <w:tcPr>
            <w:tcW w:w="2573" w:type="dxa"/>
            <w:tcBorders>
              <w:top w:val="nil"/>
              <w:left w:val="nil"/>
              <w:bottom w:val="single" w:sz="4" w:space="0" w:color="auto"/>
              <w:right w:val="single" w:sz="4" w:space="0" w:color="auto"/>
            </w:tcBorders>
            <w:noWrap/>
            <w:hideMark/>
          </w:tcPr>
          <w:p w14:paraId="144957BF" w14:textId="77777777" w:rsidR="00EE35DE" w:rsidRPr="00F567E1" w:rsidRDefault="00EE35DE" w:rsidP="009A58EE">
            <w:pPr>
              <w:pStyle w:val="Normal-pool-Table"/>
              <w:rPr>
                <w:szCs w:val="18"/>
                <w:lang w:val="es-ES_tradnl"/>
              </w:rPr>
            </w:pPr>
            <w:r w:rsidRPr="00F567E1">
              <w:rPr>
                <w:color w:val="000000"/>
                <w:lang w:val="es-ES_tradnl"/>
              </w:rPr>
              <w:t>Malta</w:t>
            </w:r>
          </w:p>
        </w:tc>
        <w:tc>
          <w:tcPr>
            <w:tcW w:w="1400" w:type="dxa"/>
            <w:tcBorders>
              <w:top w:val="nil"/>
              <w:left w:val="nil"/>
              <w:bottom w:val="single" w:sz="4" w:space="0" w:color="auto"/>
              <w:right w:val="single" w:sz="4" w:space="0" w:color="auto"/>
            </w:tcBorders>
            <w:noWrap/>
            <w:hideMark/>
          </w:tcPr>
          <w:p w14:paraId="5CB7FD5F" w14:textId="77777777" w:rsidR="00EE35DE" w:rsidRPr="00F567E1" w:rsidRDefault="00EE35DE" w:rsidP="009A58EE">
            <w:pPr>
              <w:pStyle w:val="Normal-pool-Table"/>
              <w:jc w:val="right"/>
              <w:rPr>
                <w:szCs w:val="18"/>
                <w:lang w:val="es-ES_tradnl"/>
              </w:rPr>
            </w:pPr>
            <w:r w:rsidRPr="00F567E1">
              <w:rPr>
                <w:color w:val="000000"/>
                <w:lang w:val="es-ES_tradnl"/>
              </w:rPr>
              <w:t>0,02</w:t>
            </w:r>
          </w:p>
        </w:tc>
        <w:tc>
          <w:tcPr>
            <w:tcW w:w="1073" w:type="dxa"/>
            <w:tcBorders>
              <w:top w:val="nil"/>
              <w:left w:val="nil"/>
              <w:bottom w:val="single" w:sz="4" w:space="0" w:color="auto"/>
              <w:right w:val="single" w:sz="4" w:space="0" w:color="auto"/>
            </w:tcBorders>
            <w:noWrap/>
            <w:hideMark/>
          </w:tcPr>
          <w:p w14:paraId="19800E30" w14:textId="77777777" w:rsidR="00EE35DE" w:rsidRPr="00F567E1" w:rsidRDefault="00EE35DE" w:rsidP="009A58EE">
            <w:pPr>
              <w:pStyle w:val="Normal-pool-Table"/>
              <w:jc w:val="right"/>
              <w:rPr>
                <w:szCs w:val="18"/>
                <w:lang w:val="es-ES_tradnl"/>
              </w:rPr>
            </w:pPr>
            <w:r w:rsidRPr="00F567E1">
              <w:rPr>
                <w:color w:val="000000"/>
                <w:lang w:val="es-ES_tradnl"/>
              </w:rPr>
              <w:t>0,0202</w:t>
            </w:r>
          </w:p>
        </w:tc>
        <w:tc>
          <w:tcPr>
            <w:tcW w:w="1293" w:type="dxa"/>
            <w:tcBorders>
              <w:top w:val="nil"/>
              <w:left w:val="nil"/>
              <w:bottom w:val="single" w:sz="4" w:space="0" w:color="auto"/>
              <w:right w:val="single" w:sz="4" w:space="0" w:color="auto"/>
            </w:tcBorders>
            <w:noWrap/>
            <w:hideMark/>
          </w:tcPr>
          <w:p w14:paraId="60AD17C2" w14:textId="77777777" w:rsidR="00EE35DE" w:rsidRPr="00F567E1" w:rsidRDefault="00EE35DE" w:rsidP="009A58EE">
            <w:pPr>
              <w:pStyle w:val="Normal-pool-Table"/>
              <w:jc w:val="right"/>
              <w:rPr>
                <w:szCs w:val="18"/>
                <w:lang w:val="es-ES_tradnl"/>
              </w:rPr>
            </w:pPr>
            <w:r w:rsidRPr="00F567E1">
              <w:rPr>
                <w:color w:val="000000"/>
                <w:lang w:val="es-ES_tradnl"/>
              </w:rPr>
              <w:t>622</w:t>
            </w:r>
          </w:p>
        </w:tc>
        <w:tc>
          <w:tcPr>
            <w:tcW w:w="1293" w:type="dxa"/>
            <w:tcBorders>
              <w:top w:val="nil"/>
              <w:left w:val="nil"/>
              <w:bottom w:val="single" w:sz="4" w:space="0" w:color="auto"/>
              <w:right w:val="single" w:sz="4" w:space="0" w:color="auto"/>
            </w:tcBorders>
            <w:noWrap/>
            <w:hideMark/>
          </w:tcPr>
          <w:p w14:paraId="6B7562E3" w14:textId="77777777" w:rsidR="00EE35DE" w:rsidRPr="00F567E1" w:rsidRDefault="00EE35DE" w:rsidP="009A58EE">
            <w:pPr>
              <w:pStyle w:val="Normal-pool-Table"/>
              <w:jc w:val="right"/>
              <w:rPr>
                <w:szCs w:val="18"/>
                <w:lang w:val="es-ES_tradnl"/>
              </w:rPr>
            </w:pPr>
            <w:r w:rsidRPr="00F567E1">
              <w:rPr>
                <w:color w:val="000000"/>
                <w:lang w:val="es-ES_tradnl"/>
              </w:rPr>
              <w:t>821</w:t>
            </w:r>
          </w:p>
        </w:tc>
        <w:tc>
          <w:tcPr>
            <w:tcW w:w="1313" w:type="dxa"/>
            <w:tcBorders>
              <w:top w:val="nil"/>
              <w:left w:val="nil"/>
              <w:bottom w:val="single" w:sz="4" w:space="0" w:color="auto"/>
              <w:right w:val="single" w:sz="4" w:space="0" w:color="auto"/>
            </w:tcBorders>
            <w:noWrap/>
            <w:hideMark/>
          </w:tcPr>
          <w:p w14:paraId="115F9082" w14:textId="77777777" w:rsidR="00EE35DE" w:rsidRPr="00F567E1" w:rsidRDefault="00EE35DE" w:rsidP="009A58EE">
            <w:pPr>
              <w:pStyle w:val="Normal-pool-Table"/>
              <w:jc w:val="right"/>
              <w:rPr>
                <w:szCs w:val="18"/>
                <w:lang w:val="es-ES_tradnl"/>
              </w:rPr>
            </w:pPr>
            <w:r w:rsidRPr="00F567E1">
              <w:rPr>
                <w:color w:val="000000"/>
                <w:lang w:val="es-ES_tradnl"/>
              </w:rPr>
              <w:t>1 444</w:t>
            </w:r>
          </w:p>
        </w:tc>
      </w:tr>
      <w:tr w:rsidR="00EE35DE" w:rsidRPr="00F567E1" w14:paraId="0C140BC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0AAF28A" w14:textId="5A3729ED" w:rsidR="00EE35DE" w:rsidRPr="00F567E1" w:rsidRDefault="00EE35DE" w:rsidP="009A58EE">
            <w:pPr>
              <w:pStyle w:val="Normal-pool-Table"/>
              <w:rPr>
                <w:szCs w:val="18"/>
                <w:lang w:val="es-ES_tradnl"/>
              </w:rPr>
            </w:pPr>
            <w:r w:rsidRPr="00F567E1">
              <w:rPr>
                <w:color w:val="000000"/>
                <w:lang w:val="es-ES_tradnl"/>
              </w:rPr>
              <w:t>145</w:t>
            </w:r>
          </w:p>
        </w:tc>
        <w:tc>
          <w:tcPr>
            <w:tcW w:w="2573" w:type="dxa"/>
            <w:tcBorders>
              <w:top w:val="nil"/>
              <w:left w:val="nil"/>
              <w:bottom w:val="single" w:sz="4" w:space="0" w:color="auto"/>
              <w:right w:val="single" w:sz="4" w:space="0" w:color="auto"/>
            </w:tcBorders>
            <w:noWrap/>
            <w:hideMark/>
          </w:tcPr>
          <w:p w14:paraId="19278A67" w14:textId="77777777" w:rsidR="00EE35DE" w:rsidRPr="00F567E1" w:rsidRDefault="00EE35DE" w:rsidP="009A58EE">
            <w:pPr>
              <w:pStyle w:val="Normal-pool-Table"/>
              <w:rPr>
                <w:szCs w:val="18"/>
                <w:lang w:val="es-ES_tradnl"/>
              </w:rPr>
            </w:pPr>
            <w:r w:rsidRPr="00F567E1">
              <w:rPr>
                <w:color w:val="000000"/>
                <w:lang w:val="es-ES_tradnl"/>
              </w:rPr>
              <w:t>Mónaco</w:t>
            </w:r>
          </w:p>
        </w:tc>
        <w:tc>
          <w:tcPr>
            <w:tcW w:w="1400" w:type="dxa"/>
            <w:tcBorders>
              <w:top w:val="nil"/>
              <w:left w:val="nil"/>
              <w:bottom w:val="single" w:sz="4" w:space="0" w:color="auto"/>
              <w:right w:val="single" w:sz="4" w:space="0" w:color="auto"/>
            </w:tcBorders>
            <w:noWrap/>
            <w:hideMark/>
          </w:tcPr>
          <w:p w14:paraId="1CF544F9" w14:textId="77777777" w:rsidR="00EE35DE" w:rsidRPr="00F567E1" w:rsidRDefault="00EE35DE" w:rsidP="009A58EE">
            <w:pPr>
              <w:pStyle w:val="Normal-pool-Table"/>
              <w:jc w:val="right"/>
              <w:rPr>
                <w:szCs w:val="18"/>
                <w:lang w:val="es-ES_tradnl"/>
              </w:rPr>
            </w:pPr>
            <w:r w:rsidRPr="00F567E1">
              <w:rPr>
                <w:color w:val="000000"/>
                <w:lang w:val="es-ES_tradnl"/>
              </w:rPr>
              <w:t>0,011</w:t>
            </w:r>
          </w:p>
        </w:tc>
        <w:tc>
          <w:tcPr>
            <w:tcW w:w="1073" w:type="dxa"/>
            <w:tcBorders>
              <w:top w:val="nil"/>
              <w:left w:val="nil"/>
              <w:bottom w:val="single" w:sz="4" w:space="0" w:color="auto"/>
              <w:right w:val="single" w:sz="4" w:space="0" w:color="auto"/>
            </w:tcBorders>
            <w:noWrap/>
            <w:hideMark/>
          </w:tcPr>
          <w:p w14:paraId="0863B6BD" w14:textId="77777777" w:rsidR="00EE35DE" w:rsidRPr="00F567E1" w:rsidRDefault="00EE35DE" w:rsidP="009A58EE">
            <w:pPr>
              <w:pStyle w:val="Normal-pool-Table"/>
              <w:jc w:val="right"/>
              <w:rPr>
                <w:szCs w:val="18"/>
                <w:lang w:val="es-ES_tradnl"/>
              </w:rPr>
            </w:pPr>
            <w:r w:rsidRPr="00F567E1">
              <w:rPr>
                <w:color w:val="000000"/>
                <w:lang w:val="es-ES_tradnl"/>
              </w:rPr>
              <w:t>0,0111</w:t>
            </w:r>
          </w:p>
        </w:tc>
        <w:tc>
          <w:tcPr>
            <w:tcW w:w="1293" w:type="dxa"/>
            <w:tcBorders>
              <w:top w:val="nil"/>
              <w:left w:val="nil"/>
              <w:bottom w:val="single" w:sz="4" w:space="0" w:color="auto"/>
              <w:right w:val="single" w:sz="4" w:space="0" w:color="auto"/>
            </w:tcBorders>
            <w:noWrap/>
            <w:hideMark/>
          </w:tcPr>
          <w:p w14:paraId="74661F90" w14:textId="77777777" w:rsidR="00EE35DE" w:rsidRPr="00F567E1" w:rsidRDefault="00EE35DE" w:rsidP="009A58EE">
            <w:pPr>
              <w:pStyle w:val="Normal-pool-Table"/>
              <w:jc w:val="right"/>
              <w:rPr>
                <w:szCs w:val="18"/>
                <w:lang w:val="es-ES_tradnl"/>
              </w:rPr>
            </w:pPr>
            <w:r w:rsidRPr="00F567E1">
              <w:rPr>
                <w:color w:val="000000"/>
                <w:lang w:val="es-ES_tradnl"/>
              </w:rPr>
              <w:t>342</w:t>
            </w:r>
          </w:p>
        </w:tc>
        <w:tc>
          <w:tcPr>
            <w:tcW w:w="1293" w:type="dxa"/>
            <w:tcBorders>
              <w:top w:val="nil"/>
              <w:left w:val="nil"/>
              <w:bottom w:val="single" w:sz="4" w:space="0" w:color="auto"/>
              <w:right w:val="single" w:sz="4" w:space="0" w:color="auto"/>
            </w:tcBorders>
            <w:noWrap/>
            <w:hideMark/>
          </w:tcPr>
          <w:p w14:paraId="0CD5CC47" w14:textId="77777777" w:rsidR="00EE35DE" w:rsidRPr="00F567E1" w:rsidRDefault="00EE35DE" w:rsidP="009A58EE">
            <w:pPr>
              <w:pStyle w:val="Normal-pool-Table"/>
              <w:jc w:val="right"/>
              <w:rPr>
                <w:szCs w:val="18"/>
                <w:lang w:val="es-ES_tradnl"/>
              </w:rPr>
            </w:pPr>
            <w:r w:rsidRPr="00F567E1">
              <w:rPr>
                <w:color w:val="000000"/>
                <w:lang w:val="es-ES_tradnl"/>
              </w:rPr>
              <w:t>452</w:t>
            </w:r>
          </w:p>
        </w:tc>
        <w:tc>
          <w:tcPr>
            <w:tcW w:w="1313" w:type="dxa"/>
            <w:tcBorders>
              <w:top w:val="nil"/>
              <w:left w:val="nil"/>
              <w:bottom w:val="single" w:sz="4" w:space="0" w:color="auto"/>
              <w:right w:val="single" w:sz="4" w:space="0" w:color="auto"/>
            </w:tcBorders>
            <w:noWrap/>
            <w:hideMark/>
          </w:tcPr>
          <w:p w14:paraId="010A881A" w14:textId="77777777" w:rsidR="00EE35DE" w:rsidRPr="00F567E1" w:rsidRDefault="00EE35DE" w:rsidP="009A58EE">
            <w:pPr>
              <w:pStyle w:val="Normal-pool-Table"/>
              <w:jc w:val="right"/>
              <w:rPr>
                <w:szCs w:val="18"/>
                <w:lang w:val="es-ES_tradnl"/>
              </w:rPr>
            </w:pPr>
            <w:r w:rsidRPr="00F567E1">
              <w:rPr>
                <w:color w:val="000000"/>
                <w:lang w:val="es-ES_tradnl"/>
              </w:rPr>
              <w:t>794</w:t>
            </w:r>
          </w:p>
        </w:tc>
      </w:tr>
      <w:tr w:rsidR="00EE35DE" w:rsidRPr="00F567E1" w14:paraId="0B34FAB2"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7814FCA7" w14:textId="77777777" w:rsidR="00EE35DE" w:rsidRPr="00F567E1" w:rsidRDefault="00EE35DE" w:rsidP="009A58EE">
            <w:pPr>
              <w:pStyle w:val="Normal-pool-Table"/>
              <w:rPr>
                <w:szCs w:val="18"/>
                <w:lang w:val="es-ES_tradnl"/>
              </w:rPr>
            </w:pPr>
            <w:r w:rsidRPr="00F567E1">
              <w:rPr>
                <w:color w:val="000000"/>
                <w:lang w:val="es-ES_tradnl"/>
              </w:rPr>
              <w:t>146</w:t>
            </w:r>
          </w:p>
        </w:tc>
        <w:tc>
          <w:tcPr>
            <w:tcW w:w="2573" w:type="dxa"/>
            <w:tcBorders>
              <w:top w:val="nil"/>
              <w:left w:val="nil"/>
              <w:bottom w:val="single" w:sz="4" w:space="0" w:color="auto"/>
              <w:right w:val="single" w:sz="4" w:space="0" w:color="auto"/>
            </w:tcBorders>
            <w:noWrap/>
            <w:hideMark/>
          </w:tcPr>
          <w:p w14:paraId="582D87D1" w14:textId="77777777" w:rsidR="00EE35DE" w:rsidRPr="00F567E1" w:rsidRDefault="00EE35DE" w:rsidP="009A58EE">
            <w:pPr>
              <w:pStyle w:val="Normal-pool-Table"/>
              <w:rPr>
                <w:szCs w:val="18"/>
                <w:lang w:val="es-ES_tradnl"/>
              </w:rPr>
            </w:pPr>
            <w:r w:rsidRPr="00F567E1">
              <w:rPr>
                <w:color w:val="000000"/>
                <w:lang w:val="es-ES_tradnl"/>
              </w:rPr>
              <w:t>Noruega</w:t>
            </w:r>
          </w:p>
        </w:tc>
        <w:tc>
          <w:tcPr>
            <w:tcW w:w="1400" w:type="dxa"/>
            <w:tcBorders>
              <w:top w:val="nil"/>
              <w:left w:val="nil"/>
              <w:bottom w:val="single" w:sz="4" w:space="0" w:color="auto"/>
              <w:right w:val="single" w:sz="4" w:space="0" w:color="auto"/>
            </w:tcBorders>
            <w:noWrap/>
            <w:hideMark/>
          </w:tcPr>
          <w:p w14:paraId="65C049CB" w14:textId="77777777" w:rsidR="00EE35DE" w:rsidRPr="00F567E1" w:rsidRDefault="00EE35DE" w:rsidP="009A58EE">
            <w:pPr>
              <w:pStyle w:val="Normal-pool-Table"/>
              <w:jc w:val="right"/>
              <w:rPr>
                <w:szCs w:val="18"/>
                <w:lang w:val="es-ES_tradnl"/>
              </w:rPr>
            </w:pPr>
            <w:r w:rsidRPr="00F567E1">
              <w:rPr>
                <w:color w:val="000000"/>
                <w:lang w:val="es-ES_tradnl"/>
              </w:rPr>
              <w:t>0,653</w:t>
            </w:r>
          </w:p>
        </w:tc>
        <w:tc>
          <w:tcPr>
            <w:tcW w:w="1073" w:type="dxa"/>
            <w:tcBorders>
              <w:top w:val="nil"/>
              <w:left w:val="nil"/>
              <w:bottom w:val="single" w:sz="4" w:space="0" w:color="auto"/>
              <w:right w:val="single" w:sz="4" w:space="0" w:color="auto"/>
            </w:tcBorders>
            <w:noWrap/>
            <w:hideMark/>
          </w:tcPr>
          <w:p w14:paraId="1CDBEE07" w14:textId="77777777" w:rsidR="00EE35DE" w:rsidRPr="00F567E1" w:rsidRDefault="00EE35DE" w:rsidP="009A58EE">
            <w:pPr>
              <w:pStyle w:val="Normal-pool-Table"/>
              <w:jc w:val="right"/>
              <w:rPr>
                <w:szCs w:val="18"/>
                <w:lang w:val="es-ES_tradnl"/>
              </w:rPr>
            </w:pPr>
            <w:r w:rsidRPr="00F567E1">
              <w:rPr>
                <w:color w:val="000000"/>
                <w:lang w:val="es-ES_tradnl"/>
              </w:rPr>
              <w:t>0,6591</w:t>
            </w:r>
          </w:p>
        </w:tc>
        <w:tc>
          <w:tcPr>
            <w:tcW w:w="1293" w:type="dxa"/>
            <w:tcBorders>
              <w:top w:val="nil"/>
              <w:left w:val="nil"/>
              <w:bottom w:val="single" w:sz="4" w:space="0" w:color="auto"/>
              <w:right w:val="single" w:sz="4" w:space="0" w:color="auto"/>
            </w:tcBorders>
            <w:noWrap/>
            <w:hideMark/>
          </w:tcPr>
          <w:p w14:paraId="3C4750FE" w14:textId="77777777" w:rsidR="00EE35DE" w:rsidRPr="00F567E1" w:rsidRDefault="00EE35DE" w:rsidP="009A58EE">
            <w:pPr>
              <w:pStyle w:val="Normal-pool-Table"/>
              <w:jc w:val="right"/>
              <w:rPr>
                <w:szCs w:val="18"/>
                <w:lang w:val="es-ES_tradnl"/>
              </w:rPr>
            </w:pPr>
            <w:r w:rsidRPr="00F567E1">
              <w:rPr>
                <w:color w:val="000000"/>
                <w:lang w:val="es-ES_tradnl"/>
              </w:rPr>
              <w:t>20 322</w:t>
            </w:r>
          </w:p>
        </w:tc>
        <w:tc>
          <w:tcPr>
            <w:tcW w:w="1293" w:type="dxa"/>
            <w:tcBorders>
              <w:top w:val="nil"/>
              <w:left w:val="nil"/>
              <w:bottom w:val="single" w:sz="4" w:space="0" w:color="auto"/>
              <w:right w:val="single" w:sz="4" w:space="0" w:color="auto"/>
            </w:tcBorders>
            <w:noWrap/>
            <w:hideMark/>
          </w:tcPr>
          <w:p w14:paraId="16FB00EF" w14:textId="77777777" w:rsidR="00EE35DE" w:rsidRPr="00F567E1" w:rsidRDefault="00EE35DE" w:rsidP="009A58EE">
            <w:pPr>
              <w:pStyle w:val="Normal-pool-Table"/>
              <w:jc w:val="right"/>
              <w:rPr>
                <w:szCs w:val="18"/>
                <w:lang w:val="es-ES_tradnl"/>
              </w:rPr>
            </w:pPr>
            <w:r w:rsidRPr="00F567E1">
              <w:rPr>
                <w:color w:val="000000"/>
                <w:lang w:val="es-ES_tradnl"/>
              </w:rPr>
              <w:t>26 820</w:t>
            </w:r>
          </w:p>
        </w:tc>
        <w:tc>
          <w:tcPr>
            <w:tcW w:w="1313" w:type="dxa"/>
            <w:tcBorders>
              <w:top w:val="nil"/>
              <w:left w:val="nil"/>
              <w:bottom w:val="single" w:sz="4" w:space="0" w:color="auto"/>
              <w:right w:val="single" w:sz="4" w:space="0" w:color="auto"/>
            </w:tcBorders>
            <w:noWrap/>
            <w:hideMark/>
          </w:tcPr>
          <w:p w14:paraId="365F9070" w14:textId="77777777" w:rsidR="00EE35DE" w:rsidRPr="00F567E1" w:rsidRDefault="00EE35DE" w:rsidP="009A58EE">
            <w:pPr>
              <w:pStyle w:val="Normal-pool-Table"/>
              <w:jc w:val="right"/>
              <w:rPr>
                <w:szCs w:val="18"/>
                <w:lang w:val="es-ES_tradnl"/>
              </w:rPr>
            </w:pPr>
            <w:r w:rsidRPr="00F567E1">
              <w:rPr>
                <w:color w:val="000000"/>
                <w:lang w:val="es-ES_tradnl"/>
              </w:rPr>
              <w:t>47 141</w:t>
            </w:r>
          </w:p>
        </w:tc>
      </w:tr>
      <w:tr w:rsidR="00EE35DE" w:rsidRPr="00F567E1" w14:paraId="30760B4B"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A82489F" w14:textId="5118EC5B" w:rsidR="00EE35DE" w:rsidRPr="00F567E1" w:rsidRDefault="00EE35DE" w:rsidP="009A58EE">
            <w:pPr>
              <w:pStyle w:val="Normal-pool-Table"/>
              <w:rPr>
                <w:szCs w:val="18"/>
                <w:lang w:val="es-ES_tradnl"/>
              </w:rPr>
            </w:pPr>
            <w:r w:rsidRPr="00F567E1">
              <w:rPr>
                <w:color w:val="000000"/>
                <w:lang w:val="es-ES_tradnl"/>
              </w:rPr>
              <w:t>147</w:t>
            </w:r>
          </w:p>
        </w:tc>
        <w:tc>
          <w:tcPr>
            <w:tcW w:w="2573" w:type="dxa"/>
            <w:tcBorders>
              <w:top w:val="nil"/>
              <w:left w:val="nil"/>
              <w:bottom w:val="single" w:sz="4" w:space="0" w:color="auto"/>
              <w:right w:val="single" w:sz="4" w:space="0" w:color="auto"/>
            </w:tcBorders>
            <w:noWrap/>
            <w:hideMark/>
          </w:tcPr>
          <w:p w14:paraId="4328B9F4" w14:textId="77777777" w:rsidR="00EE35DE" w:rsidRPr="00F567E1" w:rsidRDefault="00EE35DE" w:rsidP="009A58EE">
            <w:pPr>
              <w:pStyle w:val="Normal-pool-Table"/>
              <w:rPr>
                <w:szCs w:val="18"/>
                <w:lang w:val="es-ES_tradnl"/>
              </w:rPr>
            </w:pPr>
            <w:r w:rsidRPr="00F567E1">
              <w:rPr>
                <w:color w:val="000000"/>
                <w:lang w:val="es-ES_tradnl"/>
              </w:rPr>
              <w:t>Países Bajos (Reino de los)</w:t>
            </w:r>
          </w:p>
        </w:tc>
        <w:tc>
          <w:tcPr>
            <w:tcW w:w="1400" w:type="dxa"/>
            <w:tcBorders>
              <w:top w:val="nil"/>
              <w:left w:val="nil"/>
              <w:bottom w:val="single" w:sz="4" w:space="0" w:color="auto"/>
              <w:right w:val="single" w:sz="4" w:space="0" w:color="auto"/>
            </w:tcBorders>
            <w:noWrap/>
            <w:hideMark/>
          </w:tcPr>
          <w:p w14:paraId="0C729658" w14:textId="77777777" w:rsidR="00EE35DE" w:rsidRPr="00F567E1" w:rsidRDefault="00EE35DE" w:rsidP="009A58EE">
            <w:pPr>
              <w:pStyle w:val="Normal-pool-Table"/>
              <w:jc w:val="right"/>
              <w:rPr>
                <w:szCs w:val="18"/>
                <w:lang w:val="es-ES_tradnl"/>
              </w:rPr>
            </w:pPr>
            <w:r w:rsidRPr="00F567E1">
              <w:rPr>
                <w:color w:val="000000"/>
                <w:lang w:val="es-ES_tradnl"/>
              </w:rPr>
              <w:t>1,298</w:t>
            </w:r>
          </w:p>
        </w:tc>
        <w:tc>
          <w:tcPr>
            <w:tcW w:w="1073" w:type="dxa"/>
            <w:tcBorders>
              <w:top w:val="nil"/>
              <w:left w:val="nil"/>
              <w:bottom w:val="single" w:sz="4" w:space="0" w:color="auto"/>
              <w:right w:val="single" w:sz="4" w:space="0" w:color="auto"/>
            </w:tcBorders>
            <w:noWrap/>
            <w:hideMark/>
          </w:tcPr>
          <w:p w14:paraId="22FE5323" w14:textId="77777777" w:rsidR="00EE35DE" w:rsidRPr="00F567E1" w:rsidRDefault="00EE35DE" w:rsidP="009A58EE">
            <w:pPr>
              <w:pStyle w:val="Normal-pool-Table"/>
              <w:jc w:val="right"/>
              <w:rPr>
                <w:szCs w:val="18"/>
                <w:lang w:val="es-ES_tradnl"/>
              </w:rPr>
            </w:pPr>
            <w:r w:rsidRPr="00F567E1">
              <w:rPr>
                <w:color w:val="000000"/>
                <w:lang w:val="es-ES_tradnl"/>
              </w:rPr>
              <w:t>1,3101</w:t>
            </w:r>
          </w:p>
        </w:tc>
        <w:tc>
          <w:tcPr>
            <w:tcW w:w="1293" w:type="dxa"/>
            <w:tcBorders>
              <w:top w:val="nil"/>
              <w:left w:val="nil"/>
              <w:bottom w:val="single" w:sz="4" w:space="0" w:color="auto"/>
              <w:right w:val="single" w:sz="4" w:space="0" w:color="auto"/>
            </w:tcBorders>
            <w:noWrap/>
            <w:hideMark/>
          </w:tcPr>
          <w:p w14:paraId="11C81CCA" w14:textId="77777777" w:rsidR="00EE35DE" w:rsidRPr="00F567E1" w:rsidRDefault="00EE35DE" w:rsidP="009A58EE">
            <w:pPr>
              <w:pStyle w:val="Normal-pool-Table"/>
              <w:jc w:val="right"/>
              <w:rPr>
                <w:szCs w:val="18"/>
                <w:lang w:val="es-ES_tradnl"/>
              </w:rPr>
            </w:pPr>
            <w:r w:rsidRPr="00F567E1">
              <w:rPr>
                <w:color w:val="000000"/>
                <w:lang w:val="es-ES_tradnl"/>
              </w:rPr>
              <w:t>40 394</w:t>
            </w:r>
          </w:p>
        </w:tc>
        <w:tc>
          <w:tcPr>
            <w:tcW w:w="1293" w:type="dxa"/>
            <w:tcBorders>
              <w:top w:val="nil"/>
              <w:left w:val="nil"/>
              <w:bottom w:val="single" w:sz="4" w:space="0" w:color="auto"/>
              <w:right w:val="single" w:sz="4" w:space="0" w:color="auto"/>
            </w:tcBorders>
            <w:noWrap/>
            <w:hideMark/>
          </w:tcPr>
          <w:p w14:paraId="45053844" w14:textId="77777777" w:rsidR="00EE35DE" w:rsidRPr="00F567E1" w:rsidRDefault="00EE35DE" w:rsidP="009A58EE">
            <w:pPr>
              <w:pStyle w:val="Normal-pool-Table"/>
              <w:jc w:val="right"/>
              <w:rPr>
                <w:szCs w:val="18"/>
                <w:lang w:val="es-ES_tradnl"/>
              </w:rPr>
            </w:pPr>
            <w:r w:rsidRPr="00F567E1">
              <w:rPr>
                <w:color w:val="000000"/>
                <w:lang w:val="es-ES_tradnl"/>
              </w:rPr>
              <w:t>53 311</w:t>
            </w:r>
          </w:p>
        </w:tc>
        <w:tc>
          <w:tcPr>
            <w:tcW w:w="1313" w:type="dxa"/>
            <w:tcBorders>
              <w:top w:val="nil"/>
              <w:left w:val="nil"/>
              <w:bottom w:val="single" w:sz="4" w:space="0" w:color="auto"/>
              <w:right w:val="single" w:sz="4" w:space="0" w:color="auto"/>
            </w:tcBorders>
            <w:noWrap/>
            <w:hideMark/>
          </w:tcPr>
          <w:p w14:paraId="744C5C18" w14:textId="77777777" w:rsidR="00EE35DE" w:rsidRPr="00F567E1" w:rsidRDefault="00EE35DE" w:rsidP="009A58EE">
            <w:pPr>
              <w:pStyle w:val="Normal-pool-Table"/>
              <w:jc w:val="right"/>
              <w:rPr>
                <w:szCs w:val="18"/>
                <w:lang w:val="es-ES_tradnl"/>
              </w:rPr>
            </w:pPr>
            <w:r w:rsidRPr="00F567E1">
              <w:rPr>
                <w:color w:val="000000"/>
                <w:lang w:val="es-ES_tradnl"/>
              </w:rPr>
              <w:t>93 705</w:t>
            </w:r>
          </w:p>
        </w:tc>
      </w:tr>
      <w:tr w:rsidR="00EE35DE" w:rsidRPr="00F567E1" w14:paraId="5D4F49A9"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3B9BF86A" w14:textId="0AB88D93" w:rsidR="00EE35DE" w:rsidRPr="00F567E1" w:rsidRDefault="00EE35DE" w:rsidP="009A58EE">
            <w:pPr>
              <w:pStyle w:val="Normal-pool-Table"/>
              <w:rPr>
                <w:szCs w:val="18"/>
                <w:lang w:val="es-ES_tradnl"/>
              </w:rPr>
            </w:pPr>
            <w:r w:rsidRPr="00F567E1">
              <w:rPr>
                <w:color w:val="000000"/>
                <w:lang w:val="es-ES_tradnl"/>
              </w:rPr>
              <w:t>148</w:t>
            </w:r>
          </w:p>
        </w:tc>
        <w:tc>
          <w:tcPr>
            <w:tcW w:w="2573" w:type="dxa"/>
            <w:tcBorders>
              <w:top w:val="nil"/>
              <w:left w:val="nil"/>
              <w:bottom w:val="single" w:sz="4" w:space="0" w:color="auto"/>
              <w:right w:val="single" w:sz="4" w:space="0" w:color="auto"/>
            </w:tcBorders>
            <w:noWrap/>
            <w:hideMark/>
          </w:tcPr>
          <w:p w14:paraId="6995CEE0" w14:textId="77777777" w:rsidR="00EE35DE" w:rsidRPr="00F567E1" w:rsidRDefault="00EE35DE" w:rsidP="009A58EE">
            <w:pPr>
              <w:pStyle w:val="Normal-pool-Table"/>
              <w:rPr>
                <w:szCs w:val="18"/>
                <w:lang w:val="es-ES_tradnl"/>
              </w:rPr>
            </w:pPr>
            <w:r w:rsidRPr="00F567E1">
              <w:rPr>
                <w:color w:val="000000"/>
                <w:lang w:val="es-ES_tradnl"/>
              </w:rPr>
              <w:t>Portugal</w:t>
            </w:r>
          </w:p>
        </w:tc>
        <w:tc>
          <w:tcPr>
            <w:tcW w:w="1400" w:type="dxa"/>
            <w:tcBorders>
              <w:top w:val="nil"/>
              <w:left w:val="nil"/>
              <w:bottom w:val="single" w:sz="4" w:space="0" w:color="auto"/>
              <w:right w:val="single" w:sz="4" w:space="0" w:color="auto"/>
            </w:tcBorders>
            <w:noWrap/>
            <w:hideMark/>
          </w:tcPr>
          <w:p w14:paraId="332E5572" w14:textId="77777777" w:rsidR="00EE35DE" w:rsidRPr="00F567E1" w:rsidRDefault="00EE35DE" w:rsidP="009A58EE">
            <w:pPr>
              <w:pStyle w:val="Normal-pool-Table"/>
              <w:jc w:val="right"/>
              <w:rPr>
                <w:szCs w:val="18"/>
                <w:lang w:val="es-ES_tradnl"/>
              </w:rPr>
            </w:pPr>
            <w:r w:rsidRPr="00F567E1">
              <w:rPr>
                <w:color w:val="000000"/>
                <w:lang w:val="es-ES_tradnl"/>
              </w:rPr>
              <w:t>0,328</w:t>
            </w:r>
          </w:p>
        </w:tc>
        <w:tc>
          <w:tcPr>
            <w:tcW w:w="1073" w:type="dxa"/>
            <w:tcBorders>
              <w:top w:val="nil"/>
              <w:left w:val="nil"/>
              <w:bottom w:val="single" w:sz="4" w:space="0" w:color="auto"/>
              <w:right w:val="single" w:sz="4" w:space="0" w:color="auto"/>
            </w:tcBorders>
            <w:noWrap/>
            <w:hideMark/>
          </w:tcPr>
          <w:p w14:paraId="1390C9BD" w14:textId="77777777" w:rsidR="00EE35DE" w:rsidRPr="00F567E1" w:rsidRDefault="00EE35DE" w:rsidP="009A58EE">
            <w:pPr>
              <w:pStyle w:val="Normal-pool-Table"/>
              <w:jc w:val="right"/>
              <w:rPr>
                <w:szCs w:val="18"/>
                <w:lang w:val="es-ES_tradnl"/>
              </w:rPr>
            </w:pPr>
            <w:r w:rsidRPr="00F567E1">
              <w:rPr>
                <w:color w:val="000000"/>
                <w:lang w:val="es-ES_tradnl"/>
              </w:rPr>
              <w:t>0,3311</w:t>
            </w:r>
          </w:p>
        </w:tc>
        <w:tc>
          <w:tcPr>
            <w:tcW w:w="1293" w:type="dxa"/>
            <w:tcBorders>
              <w:top w:val="nil"/>
              <w:left w:val="nil"/>
              <w:bottom w:val="single" w:sz="4" w:space="0" w:color="auto"/>
              <w:right w:val="single" w:sz="4" w:space="0" w:color="auto"/>
            </w:tcBorders>
            <w:noWrap/>
            <w:hideMark/>
          </w:tcPr>
          <w:p w14:paraId="34980A8A" w14:textId="77777777" w:rsidR="00EE35DE" w:rsidRPr="00F567E1" w:rsidRDefault="00EE35DE" w:rsidP="009A58EE">
            <w:pPr>
              <w:pStyle w:val="Normal-pool-Table"/>
              <w:jc w:val="right"/>
              <w:rPr>
                <w:szCs w:val="18"/>
                <w:lang w:val="es-ES_tradnl"/>
              </w:rPr>
            </w:pPr>
            <w:r w:rsidRPr="00F567E1">
              <w:rPr>
                <w:color w:val="000000"/>
                <w:lang w:val="es-ES_tradnl"/>
              </w:rPr>
              <w:t>10 208</w:t>
            </w:r>
          </w:p>
        </w:tc>
        <w:tc>
          <w:tcPr>
            <w:tcW w:w="1293" w:type="dxa"/>
            <w:tcBorders>
              <w:top w:val="nil"/>
              <w:left w:val="nil"/>
              <w:bottom w:val="single" w:sz="4" w:space="0" w:color="auto"/>
              <w:right w:val="single" w:sz="4" w:space="0" w:color="auto"/>
            </w:tcBorders>
            <w:noWrap/>
            <w:hideMark/>
          </w:tcPr>
          <w:p w14:paraId="47D9106C" w14:textId="77777777" w:rsidR="00EE35DE" w:rsidRPr="00F567E1" w:rsidRDefault="00EE35DE" w:rsidP="009A58EE">
            <w:pPr>
              <w:pStyle w:val="Normal-pool-Table"/>
              <w:jc w:val="right"/>
              <w:rPr>
                <w:szCs w:val="18"/>
                <w:lang w:val="es-ES_tradnl"/>
              </w:rPr>
            </w:pPr>
            <w:r w:rsidRPr="00F567E1">
              <w:rPr>
                <w:color w:val="000000"/>
                <w:lang w:val="es-ES_tradnl"/>
              </w:rPr>
              <w:t>13 471</w:t>
            </w:r>
          </w:p>
        </w:tc>
        <w:tc>
          <w:tcPr>
            <w:tcW w:w="1313" w:type="dxa"/>
            <w:tcBorders>
              <w:top w:val="nil"/>
              <w:left w:val="nil"/>
              <w:bottom w:val="single" w:sz="4" w:space="0" w:color="auto"/>
              <w:right w:val="single" w:sz="4" w:space="0" w:color="auto"/>
            </w:tcBorders>
            <w:noWrap/>
            <w:hideMark/>
          </w:tcPr>
          <w:p w14:paraId="6D57D33A" w14:textId="77777777" w:rsidR="00EE35DE" w:rsidRPr="00F567E1" w:rsidRDefault="00EE35DE" w:rsidP="009A58EE">
            <w:pPr>
              <w:pStyle w:val="Normal-pool-Table"/>
              <w:jc w:val="right"/>
              <w:rPr>
                <w:szCs w:val="18"/>
                <w:lang w:val="es-ES_tradnl"/>
              </w:rPr>
            </w:pPr>
            <w:r w:rsidRPr="00F567E1">
              <w:rPr>
                <w:color w:val="000000"/>
                <w:lang w:val="es-ES_tradnl"/>
              </w:rPr>
              <w:t>23 679</w:t>
            </w:r>
          </w:p>
        </w:tc>
      </w:tr>
      <w:tr w:rsidR="00EE35DE" w:rsidRPr="00F567E1" w14:paraId="2AFF4DDF" w14:textId="77777777" w:rsidTr="00415218">
        <w:trPr>
          <w:trHeight w:val="300"/>
          <w:jc w:val="right"/>
        </w:trPr>
        <w:tc>
          <w:tcPr>
            <w:tcW w:w="541" w:type="dxa"/>
            <w:tcBorders>
              <w:top w:val="nil"/>
              <w:left w:val="single" w:sz="4" w:space="0" w:color="auto"/>
              <w:bottom w:val="single" w:sz="4" w:space="0" w:color="auto"/>
              <w:right w:val="single" w:sz="4" w:space="0" w:color="auto"/>
            </w:tcBorders>
            <w:noWrap/>
            <w:hideMark/>
          </w:tcPr>
          <w:p w14:paraId="45C9C052" w14:textId="76D543C9" w:rsidR="00EE35DE" w:rsidRPr="00F567E1" w:rsidRDefault="00EE35DE" w:rsidP="009A58EE">
            <w:pPr>
              <w:pStyle w:val="Normal-pool-Table"/>
              <w:rPr>
                <w:szCs w:val="18"/>
                <w:lang w:val="es-ES_tradnl"/>
              </w:rPr>
            </w:pPr>
            <w:r w:rsidRPr="00F567E1">
              <w:rPr>
                <w:color w:val="000000"/>
                <w:lang w:val="es-ES_tradnl"/>
              </w:rPr>
              <w:t>149</w:t>
            </w:r>
          </w:p>
        </w:tc>
        <w:tc>
          <w:tcPr>
            <w:tcW w:w="2573" w:type="dxa"/>
            <w:tcBorders>
              <w:top w:val="nil"/>
              <w:left w:val="nil"/>
              <w:bottom w:val="single" w:sz="4" w:space="0" w:color="auto"/>
              <w:right w:val="single" w:sz="4" w:space="0" w:color="auto"/>
            </w:tcBorders>
            <w:noWrap/>
            <w:hideMark/>
          </w:tcPr>
          <w:p w14:paraId="67E3E127" w14:textId="77777777" w:rsidR="00EE35DE" w:rsidRPr="00F567E1" w:rsidRDefault="00EE35DE" w:rsidP="009A58EE">
            <w:pPr>
              <w:pStyle w:val="Normal-pool-Table"/>
              <w:rPr>
                <w:szCs w:val="18"/>
                <w:lang w:val="es-ES_tradnl"/>
              </w:rPr>
            </w:pPr>
            <w:r w:rsidRPr="00F567E1">
              <w:rPr>
                <w:color w:val="000000"/>
                <w:lang w:val="es-ES_tradnl"/>
              </w:rPr>
              <w:t>Reino Unido de Gran Bretaña e Irlanda del Norte</w:t>
            </w:r>
          </w:p>
        </w:tc>
        <w:tc>
          <w:tcPr>
            <w:tcW w:w="1400" w:type="dxa"/>
            <w:tcBorders>
              <w:top w:val="nil"/>
              <w:left w:val="nil"/>
              <w:bottom w:val="single" w:sz="4" w:space="0" w:color="auto"/>
              <w:right w:val="single" w:sz="4" w:space="0" w:color="auto"/>
            </w:tcBorders>
            <w:noWrap/>
            <w:vAlign w:val="bottom"/>
            <w:hideMark/>
          </w:tcPr>
          <w:p w14:paraId="2C418D6E" w14:textId="77777777" w:rsidR="00EE35DE" w:rsidRPr="00F567E1" w:rsidRDefault="00EE35DE" w:rsidP="009A58EE">
            <w:pPr>
              <w:pStyle w:val="Normal-pool-Table"/>
              <w:jc w:val="right"/>
              <w:rPr>
                <w:szCs w:val="18"/>
                <w:lang w:val="es-ES_tradnl"/>
              </w:rPr>
            </w:pPr>
            <w:r w:rsidRPr="00F567E1">
              <w:rPr>
                <w:color w:val="000000"/>
                <w:lang w:val="es-ES_tradnl"/>
              </w:rPr>
              <w:t>3,991</w:t>
            </w:r>
          </w:p>
        </w:tc>
        <w:tc>
          <w:tcPr>
            <w:tcW w:w="1073" w:type="dxa"/>
            <w:tcBorders>
              <w:top w:val="nil"/>
              <w:left w:val="nil"/>
              <w:bottom w:val="single" w:sz="4" w:space="0" w:color="auto"/>
              <w:right w:val="single" w:sz="4" w:space="0" w:color="auto"/>
            </w:tcBorders>
            <w:noWrap/>
            <w:vAlign w:val="bottom"/>
            <w:hideMark/>
          </w:tcPr>
          <w:p w14:paraId="69DB7CE4" w14:textId="77777777" w:rsidR="00EE35DE" w:rsidRPr="00F567E1" w:rsidRDefault="00EE35DE" w:rsidP="009A58EE">
            <w:pPr>
              <w:pStyle w:val="Normal-pool-Table"/>
              <w:jc w:val="right"/>
              <w:rPr>
                <w:szCs w:val="18"/>
                <w:lang w:val="es-ES_tradnl"/>
              </w:rPr>
            </w:pPr>
            <w:r w:rsidRPr="00F567E1">
              <w:rPr>
                <w:color w:val="000000"/>
                <w:lang w:val="es-ES_tradnl"/>
              </w:rPr>
              <w:t>4,0282</w:t>
            </w:r>
          </w:p>
        </w:tc>
        <w:tc>
          <w:tcPr>
            <w:tcW w:w="1293" w:type="dxa"/>
            <w:tcBorders>
              <w:top w:val="nil"/>
              <w:left w:val="nil"/>
              <w:bottom w:val="single" w:sz="4" w:space="0" w:color="auto"/>
              <w:right w:val="single" w:sz="4" w:space="0" w:color="auto"/>
            </w:tcBorders>
            <w:noWrap/>
            <w:vAlign w:val="bottom"/>
            <w:hideMark/>
          </w:tcPr>
          <w:p w14:paraId="24531F0E" w14:textId="77777777" w:rsidR="00EE35DE" w:rsidRPr="00F567E1" w:rsidRDefault="00EE35DE" w:rsidP="009A58EE">
            <w:pPr>
              <w:pStyle w:val="Normal-pool-Table"/>
              <w:jc w:val="right"/>
              <w:rPr>
                <w:szCs w:val="18"/>
                <w:lang w:val="es-ES_tradnl"/>
              </w:rPr>
            </w:pPr>
            <w:r w:rsidRPr="00F567E1">
              <w:rPr>
                <w:color w:val="000000"/>
                <w:lang w:val="es-ES_tradnl"/>
              </w:rPr>
              <w:t>124 202</w:t>
            </w:r>
          </w:p>
        </w:tc>
        <w:tc>
          <w:tcPr>
            <w:tcW w:w="1293" w:type="dxa"/>
            <w:tcBorders>
              <w:top w:val="nil"/>
              <w:left w:val="nil"/>
              <w:bottom w:val="single" w:sz="4" w:space="0" w:color="auto"/>
              <w:right w:val="single" w:sz="4" w:space="0" w:color="auto"/>
            </w:tcBorders>
            <w:noWrap/>
            <w:vAlign w:val="bottom"/>
            <w:hideMark/>
          </w:tcPr>
          <w:p w14:paraId="23DB28F7" w14:textId="77777777" w:rsidR="00EE35DE" w:rsidRPr="00F567E1" w:rsidRDefault="00EE35DE" w:rsidP="009A58EE">
            <w:pPr>
              <w:pStyle w:val="Normal-pool-Table"/>
              <w:jc w:val="right"/>
              <w:rPr>
                <w:szCs w:val="18"/>
                <w:lang w:val="es-ES_tradnl"/>
              </w:rPr>
            </w:pPr>
            <w:r w:rsidRPr="00F567E1">
              <w:rPr>
                <w:color w:val="000000"/>
                <w:lang w:val="es-ES_tradnl"/>
              </w:rPr>
              <w:t>163 917</w:t>
            </w:r>
          </w:p>
        </w:tc>
        <w:tc>
          <w:tcPr>
            <w:tcW w:w="1313" w:type="dxa"/>
            <w:tcBorders>
              <w:top w:val="nil"/>
              <w:left w:val="nil"/>
              <w:bottom w:val="single" w:sz="4" w:space="0" w:color="auto"/>
              <w:right w:val="single" w:sz="4" w:space="0" w:color="auto"/>
            </w:tcBorders>
            <w:noWrap/>
            <w:vAlign w:val="bottom"/>
            <w:hideMark/>
          </w:tcPr>
          <w:p w14:paraId="29BF4D25" w14:textId="77777777" w:rsidR="00EE35DE" w:rsidRPr="00F567E1" w:rsidRDefault="00EE35DE" w:rsidP="009A58EE">
            <w:pPr>
              <w:pStyle w:val="Normal-pool-Table"/>
              <w:jc w:val="right"/>
              <w:rPr>
                <w:szCs w:val="18"/>
                <w:lang w:val="es-ES_tradnl"/>
              </w:rPr>
            </w:pPr>
            <w:r w:rsidRPr="00F567E1">
              <w:rPr>
                <w:color w:val="000000"/>
                <w:lang w:val="es-ES_tradnl"/>
              </w:rPr>
              <w:t>288 119</w:t>
            </w:r>
          </w:p>
        </w:tc>
      </w:tr>
      <w:tr w:rsidR="00EE35DE" w:rsidRPr="00F567E1" w14:paraId="0607A407"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F5B3E27" w14:textId="4E3AC5EA" w:rsidR="00EE35DE" w:rsidRPr="00F567E1" w:rsidRDefault="00EE35DE" w:rsidP="009A58EE">
            <w:pPr>
              <w:pStyle w:val="Normal-pool-Table"/>
              <w:rPr>
                <w:szCs w:val="18"/>
                <w:lang w:val="es-ES_tradnl"/>
              </w:rPr>
            </w:pPr>
            <w:r w:rsidRPr="00F567E1">
              <w:rPr>
                <w:color w:val="000000"/>
                <w:lang w:val="es-ES_tradnl"/>
              </w:rPr>
              <w:t>150</w:t>
            </w:r>
          </w:p>
        </w:tc>
        <w:tc>
          <w:tcPr>
            <w:tcW w:w="2573" w:type="dxa"/>
            <w:tcBorders>
              <w:top w:val="nil"/>
              <w:left w:val="nil"/>
              <w:bottom w:val="single" w:sz="4" w:space="0" w:color="auto"/>
              <w:right w:val="single" w:sz="4" w:space="0" w:color="auto"/>
            </w:tcBorders>
            <w:noWrap/>
            <w:hideMark/>
          </w:tcPr>
          <w:p w14:paraId="0A6C255A" w14:textId="77777777" w:rsidR="00EE35DE" w:rsidRPr="00F567E1" w:rsidRDefault="00EE35DE" w:rsidP="009A58EE">
            <w:pPr>
              <w:pStyle w:val="Normal-pool-Table"/>
              <w:rPr>
                <w:szCs w:val="18"/>
                <w:lang w:val="es-ES_tradnl"/>
              </w:rPr>
            </w:pPr>
            <w:r w:rsidRPr="00F567E1">
              <w:rPr>
                <w:color w:val="000000"/>
                <w:lang w:val="es-ES_tradnl"/>
              </w:rPr>
              <w:t>Suecia</w:t>
            </w:r>
          </w:p>
        </w:tc>
        <w:tc>
          <w:tcPr>
            <w:tcW w:w="1400" w:type="dxa"/>
            <w:tcBorders>
              <w:top w:val="nil"/>
              <w:left w:val="nil"/>
              <w:bottom w:val="single" w:sz="4" w:space="0" w:color="auto"/>
              <w:right w:val="single" w:sz="4" w:space="0" w:color="auto"/>
            </w:tcBorders>
            <w:noWrap/>
            <w:hideMark/>
          </w:tcPr>
          <w:p w14:paraId="71E1B699" w14:textId="77777777" w:rsidR="00EE35DE" w:rsidRPr="00F567E1" w:rsidRDefault="00EE35DE" w:rsidP="009A58EE">
            <w:pPr>
              <w:pStyle w:val="Normal-pool-Table"/>
              <w:jc w:val="right"/>
              <w:rPr>
                <w:szCs w:val="18"/>
                <w:lang w:val="es-ES_tradnl"/>
              </w:rPr>
            </w:pPr>
            <w:r w:rsidRPr="00F567E1">
              <w:rPr>
                <w:color w:val="000000"/>
                <w:lang w:val="es-ES_tradnl"/>
              </w:rPr>
              <w:t>0,822</w:t>
            </w:r>
          </w:p>
        </w:tc>
        <w:tc>
          <w:tcPr>
            <w:tcW w:w="1073" w:type="dxa"/>
            <w:tcBorders>
              <w:top w:val="nil"/>
              <w:left w:val="nil"/>
              <w:bottom w:val="single" w:sz="4" w:space="0" w:color="auto"/>
              <w:right w:val="single" w:sz="4" w:space="0" w:color="auto"/>
            </w:tcBorders>
            <w:noWrap/>
            <w:hideMark/>
          </w:tcPr>
          <w:p w14:paraId="7B2701AA" w14:textId="77777777" w:rsidR="00EE35DE" w:rsidRPr="00F567E1" w:rsidRDefault="00EE35DE" w:rsidP="009A58EE">
            <w:pPr>
              <w:pStyle w:val="Normal-pool-Table"/>
              <w:jc w:val="right"/>
              <w:rPr>
                <w:szCs w:val="18"/>
                <w:lang w:val="es-ES_tradnl"/>
              </w:rPr>
            </w:pPr>
            <w:r w:rsidRPr="00F567E1">
              <w:rPr>
                <w:color w:val="000000"/>
                <w:lang w:val="es-ES_tradnl"/>
              </w:rPr>
              <w:t>0,8297</w:t>
            </w:r>
          </w:p>
        </w:tc>
        <w:tc>
          <w:tcPr>
            <w:tcW w:w="1293" w:type="dxa"/>
            <w:tcBorders>
              <w:top w:val="nil"/>
              <w:left w:val="nil"/>
              <w:bottom w:val="single" w:sz="4" w:space="0" w:color="auto"/>
              <w:right w:val="single" w:sz="4" w:space="0" w:color="auto"/>
            </w:tcBorders>
            <w:noWrap/>
            <w:hideMark/>
          </w:tcPr>
          <w:p w14:paraId="2277E127" w14:textId="77777777" w:rsidR="00EE35DE" w:rsidRPr="00F567E1" w:rsidRDefault="00EE35DE" w:rsidP="009A58EE">
            <w:pPr>
              <w:pStyle w:val="Normal-pool-Table"/>
              <w:jc w:val="right"/>
              <w:rPr>
                <w:szCs w:val="18"/>
                <w:lang w:val="es-ES_tradnl"/>
              </w:rPr>
            </w:pPr>
            <w:r w:rsidRPr="00F567E1">
              <w:rPr>
                <w:color w:val="000000"/>
                <w:lang w:val="es-ES_tradnl"/>
              </w:rPr>
              <w:t>25 581</w:t>
            </w:r>
          </w:p>
        </w:tc>
        <w:tc>
          <w:tcPr>
            <w:tcW w:w="1293" w:type="dxa"/>
            <w:tcBorders>
              <w:top w:val="nil"/>
              <w:left w:val="nil"/>
              <w:bottom w:val="single" w:sz="4" w:space="0" w:color="auto"/>
              <w:right w:val="single" w:sz="4" w:space="0" w:color="auto"/>
            </w:tcBorders>
            <w:noWrap/>
            <w:hideMark/>
          </w:tcPr>
          <w:p w14:paraId="6C055B86" w14:textId="77777777" w:rsidR="00EE35DE" w:rsidRPr="00F567E1" w:rsidRDefault="00EE35DE" w:rsidP="009A58EE">
            <w:pPr>
              <w:pStyle w:val="Normal-pool-Table"/>
              <w:jc w:val="right"/>
              <w:rPr>
                <w:szCs w:val="18"/>
                <w:lang w:val="es-ES_tradnl"/>
              </w:rPr>
            </w:pPr>
            <w:r w:rsidRPr="00F567E1">
              <w:rPr>
                <w:color w:val="000000"/>
                <w:lang w:val="es-ES_tradnl"/>
              </w:rPr>
              <w:t>33 761</w:t>
            </w:r>
          </w:p>
        </w:tc>
        <w:tc>
          <w:tcPr>
            <w:tcW w:w="1313" w:type="dxa"/>
            <w:tcBorders>
              <w:top w:val="nil"/>
              <w:left w:val="nil"/>
              <w:bottom w:val="single" w:sz="4" w:space="0" w:color="auto"/>
              <w:right w:val="single" w:sz="4" w:space="0" w:color="auto"/>
            </w:tcBorders>
            <w:noWrap/>
            <w:hideMark/>
          </w:tcPr>
          <w:p w14:paraId="24951306" w14:textId="77777777" w:rsidR="00EE35DE" w:rsidRPr="00F567E1" w:rsidRDefault="00EE35DE" w:rsidP="009A58EE">
            <w:pPr>
              <w:pStyle w:val="Normal-pool-Table"/>
              <w:jc w:val="right"/>
              <w:rPr>
                <w:szCs w:val="18"/>
                <w:lang w:val="es-ES_tradnl"/>
              </w:rPr>
            </w:pPr>
            <w:r w:rsidRPr="00F567E1">
              <w:rPr>
                <w:color w:val="000000"/>
                <w:lang w:val="es-ES_tradnl"/>
              </w:rPr>
              <w:t>59 342</w:t>
            </w:r>
          </w:p>
        </w:tc>
      </w:tr>
      <w:tr w:rsidR="00EE35DE" w:rsidRPr="00F567E1" w14:paraId="41AFAB53"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6E2C41A9" w14:textId="612699AD" w:rsidR="00EE35DE" w:rsidRPr="00F567E1" w:rsidRDefault="00EE35DE" w:rsidP="009A58EE">
            <w:pPr>
              <w:pStyle w:val="Normal-pool-Table"/>
              <w:rPr>
                <w:szCs w:val="18"/>
                <w:lang w:val="es-ES_tradnl"/>
              </w:rPr>
            </w:pPr>
            <w:r w:rsidRPr="00F567E1">
              <w:rPr>
                <w:color w:val="000000"/>
                <w:lang w:val="es-ES_tradnl"/>
              </w:rPr>
              <w:t>151</w:t>
            </w:r>
          </w:p>
        </w:tc>
        <w:tc>
          <w:tcPr>
            <w:tcW w:w="2573" w:type="dxa"/>
            <w:tcBorders>
              <w:top w:val="nil"/>
              <w:left w:val="nil"/>
              <w:bottom w:val="single" w:sz="4" w:space="0" w:color="auto"/>
              <w:right w:val="single" w:sz="4" w:space="0" w:color="auto"/>
            </w:tcBorders>
            <w:noWrap/>
            <w:hideMark/>
          </w:tcPr>
          <w:p w14:paraId="32DFD52D" w14:textId="77777777" w:rsidR="00EE35DE" w:rsidRPr="00F567E1" w:rsidRDefault="00EE35DE" w:rsidP="009A58EE">
            <w:pPr>
              <w:pStyle w:val="Normal-pool-Table"/>
              <w:rPr>
                <w:szCs w:val="18"/>
                <w:lang w:val="es-ES_tradnl"/>
              </w:rPr>
            </w:pPr>
            <w:r w:rsidRPr="00F567E1">
              <w:rPr>
                <w:color w:val="000000"/>
                <w:lang w:val="es-ES_tradnl"/>
              </w:rPr>
              <w:t>Suiza</w:t>
            </w:r>
          </w:p>
        </w:tc>
        <w:tc>
          <w:tcPr>
            <w:tcW w:w="1400" w:type="dxa"/>
            <w:tcBorders>
              <w:top w:val="nil"/>
              <w:left w:val="nil"/>
              <w:bottom w:val="single" w:sz="4" w:space="0" w:color="auto"/>
              <w:right w:val="single" w:sz="4" w:space="0" w:color="auto"/>
            </w:tcBorders>
            <w:noWrap/>
            <w:hideMark/>
          </w:tcPr>
          <w:p w14:paraId="5001DEA9" w14:textId="77777777" w:rsidR="00EE35DE" w:rsidRPr="00F567E1" w:rsidRDefault="00EE35DE" w:rsidP="009A58EE">
            <w:pPr>
              <w:pStyle w:val="Normal-pool-Table"/>
              <w:jc w:val="right"/>
              <w:rPr>
                <w:szCs w:val="18"/>
                <w:lang w:val="es-ES_tradnl"/>
              </w:rPr>
            </w:pPr>
            <w:r w:rsidRPr="00F567E1">
              <w:rPr>
                <w:color w:val="000000"/>
                <w:lang w:val="es-ES_tradnl"/>
              </w:rPr>
              <w:t>1,029</w:t>
            </w:r>
          </w:p>
        </w:tc>
        <w:tc>
          <w:tcPr>
            <w:tcW w:w="1073" w:type="dxa"/>
            <w:tcBorders>
              <w:top w:val="nil"/>
              <w:left w:val="nil"/>
              <w:bottom w:val="single" w:sz="4" w:space="0" w:color="auto"/>
              <w:right w:val="single" w:sz="4" w:space="0" w:color="auto"/>
            </w:tcBorders>
            <w:noWrap/>
            <w:hideMark/>
          </w:tcPr>
          <w:p w14:paraId="72C7E5E3" w14:textId="77777777" w:rsidR="00EE35DE" w:rsidRPr="00F567E1" w:rsidRDefault="00EE35DE" w:rsidP="009A58EE">
            <w:pPr>
              <w:pStyle w:val="Normal-pool-Table"/>
              <w:jc w:val="right"/>
              <w:rPr>
                <w:szCs w:val="18"/>
                <w:lang w:val="es-ES_tradnl"/>
              </w:rPr>
            </w:pPr>
            <w:r w:rsidRPr="00F567E1">
              <w:rPr>
                <w:color w:val="000000"/>
                <w:lang w:val="es-ES_tradnl"/>
              </w:rPr>
              <w:t>1,0386</w:t>
            </w:r>
          </w:p>
        </w:tc>
        <w:tc>
          <w:tcPr>
            <w:tcW w:w="1293" w:type="dxa"/>
            <w:tcBorders>
              <w:top w:val="nil"/>
              <w:left w:val="nil"/>
              <w:bottom w:val="single" w:sz="4" w:space="0" w:color="auto"/>
              <w:right w:val="single" w:sz="4" w:space="0" w:color="auto"/>
            </w:tcBorders>
            <w:noWrap/>
            <w:hideMark/>
          </w:tcPr>
          <w:p w14:paraId="79CB3643" w14:textId="77777777" w:rsidR="00EE35DE" w:rsidRPr="00F567E1" w:rsidRDefault="00EE35DE" w:rsidP="009A58EE">
            <w:pPr>
              <w:pStyle w:val="Normal-pool-Table"/>
              <w:jc w:val="right"/>
              <w:rPr>
                <w:szCs w:val="18"/>
                <w:lang w:val="es-ES_tradnl"/>
              </w:rPr>
            </w:pPr>
            <w:r w:rsidRPr="00F567E1">
              <w:rPr>
                <w:color w:val="000000"/>
                <w:lang w:val="es-ES_tradnl"/>
              </w:rPr>
              <w:t>32 023</w:t>
            </w:r>
          </w:p>
        </w:tc>
        <w:tc>
          <w:tcPr>
            <w:tcW w:w="1293" w:type="dxa"/>
            <w:tcBorders>
              <w:top w:val="nil"/>
              <w:left w:val="nil"/>
              <w:bottom w:val="single" w:sz="4" w:space="0" w:color="auto"/>
              <w:right w:val="single" w:sz="4" w:space="0" w:color="auto"/>
            </w:tcBorders>
            <w:noWrap/>
            <w:hideMark/>
          </w:tcPr>
          <w:p w14:paraId="03EDB1D6" w14:textId="77777777" w:rsidR="00EE35DE" w:rsidRPr="00F567E1" w:rsidRDefault="00EE35DE" w:rsidP="009A58EE">
            <w:pPr>
              <w:pStyle w:val="Normal-pool-Table"/>
              <w:jc w:val="right"/>
              <w:rPr>
                <w:szCs w:val="18"/>
                <w:lang w:val="es-ES_tradnl"/>
              </w:rPr>
            </w:pPr>
            <w:r w:rsidRPr="00F567E1">
              <w:rPr>
                <w:color w:val="000000"/>
                <w:lang w:val="es-ES_tradnl"/>
              </w:rPr>
              <w:t>42 263</w:t>
            </w:r>
          </w:p>
        </w:tc>
        <w:tc>
          <w:tcPr>
            <w:tcW w:w="1313" w:type="dxa"/>
            <w:tcBorders>
              <w:top w:val="nil"/>
              <w:left w:val="nil"/>
              <w:bottom w:val="single" w:sz="4" w:space="0" w:color="auto"/>
              <w:right w:val="single" w:sz="4" w:space="0" w:color="auto"/>
            </w:tcBorders>
            <w:noWrap/>
            <w:hideMark/>
          </w:tcPr>
          <w:p w14:paraId="50CC1E35" w14:textId="77777777" w:rsidR="00EE35DE" w:rsidRPr="00F567E1" w:rsidRDefault="00EE35DE" w:rsidP="009A58EE">
            <w:pPr>
              <w:pStyle w:val="Normal-pool-Table"/>
              <w:jc w:val="right"/>
              <w:rPr>
                <w:szCs w:val="18"/>
                <w:lang w:val="es-ES_tradnl"/>
              </w:rPr>
            </w:pPr>
            <w:r w:rsidRPr="00F567E1">
              <w:rPr>
                <w:color w:val="000000"/>
                <w:lang w:val="es-ES_tradnl"/>
              </w:rPr>
              <w:t>74 286</w:t>
            </w:r>
          </w:p>
        </w:tc>
      </w:tr>
      <w:tr w:rsidR="00EE35DE" w:rsidRPr="00F567E1" w14:paraId="26F4E691"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0B4C615A" w14:textId="2B2E4F35" w:rsidR="00EE35DE" w:rsidRPr="00F567E1" w:rsidRDefault="00EE35DE" w:rsidP="009A58EE">
            <w:pPr>
              <w:pStyle w:val="Normal-pool-Table"/>
              <w:rPr>
                <w:szCs w:val="18"/>
                <w:lang w:val="es-ES_tradnl"/>
              </w:rPr>
            </w:pPr>
            <w:r w:rsidRPr="00F567E1">
              <w:rPr>
                <w:color w:val="000000"/>
                <w:lang w:val="es-ES_tradnl"/>
              </w:rPr>
              <w:t>152</w:t>
            </w:r>
          </w:p>
        </w:tc>
        <w:tc>
          <w:tcPr>
            <w:tcW w:w="2573" w:type="dxa"/>
            <w:tcBorders>
              <w:top w:val="nil"/>
              <w:left w:val="nil"/>
              <w:bottom w:val="single" w:sz="4" w:space="0" w:color="auto"/>
              <w:right w:val="single" w:sz="4" w:space="0" w:color="auto"/>
            </w:tcBorders>
            <w:noWrap/>
            <w:hideMark/>
          </w:tcPr>
          <w:p w14:paraId="0C3F7724" w14:textId="77777777" w:rsidR="00EE35DE" w:rsidRPr="00F567E1" w:rsidRDefault="00EE35DE" w:rsidP="009A58EE">
            <w:pPr>
              <w:pStyle w:val="Normal-pool-Table"/>
              <w:rPr>
                <w:szCs w:val="18"/>
                <w:lang w:val="es-ES_tradnl"/>
              </w:rPr>
            </w:pPr>
            <w:proofErr w:type="spellStart"/>
            <w:r w:rsidRPr="00F567E1">
              <w:rPr>
                <w:color w:val="000000"/>
                <w:lang w:val="es-ES_tradnl"/>
              </w:rPr>
              <w:t>Türkiye</w:t>
            </w:r>
            <w:proofErr w:type="spellEnd"/>
          </w:p>
        </w:tc>
        <w:tc>
          <w:tcPr>
            <w:tcW w:w="1400" w:type="dxa"/>
            <w:tcBorders>
              <w:top w:val="nil"/>
              <w:left w:val="nil"/>
              <w:bottom w:val="single" w:sz="4" w:space="0" w:color="auto"/>
              <w:right w:val="single" w:sz="4" w:space="0" w:color="auto"/>
            </w:tcBorders>
            <w:noWrap/>
            <w:hideMark/>
          </w:tcPr>
          <w:p w14:paraId="79CA5174" w14:textId="77777777" w:rsidR="00EE35DE" w:rsidRPr="00F567E1" w:rsidRDefault="00EE35DE" w:rsidP="009A58EE">
            <w:pPr>
              <w:pStyle w:val="Normal-pool-Table"/>
              <w:jc w:val="right"/>
              <w:rPr>
                <w:szCs w:val="18"/>
                <w:lang w:val="es-ES_tradnl"/>
              </w:rPr>
            </w:pPr>
            <w:r w:rsidRPr="00F567E1">
              <w:rPr>
                <w:color w:val="000000"/>
                <w:lang w:val="es-ES_tradnl"/>
              </w:rPr>
              <w:t>0,685</w:t>
            </w:r>
          </w:p>
        </w:tc>
        <w:tc>
          <w:tcPr>
            <w:tcW w:w="1073" w:type="dxa"/>
            <w:tcBorders>
              <w:top w:val="nil"/>
              <w:left w:val="nil"/>
              <w:bottom w:val="single" w:sz="4" w:space="0" w:color="auto"/>
              <w:right w:val="single" w:sz="4" w:space="0" w:color="auto"/>
            </w:tcBorders>
            <w:noWrap/>
            <w:hideMark/>
          </w:tcPr>
          <w:p w14:paraId="61A3C3E1" w14:textId="77777777" w:rsidR="00EE35DE" w:rsidRPr="00F567E1" w:rsidRDefault="00EE35DE" w:rsidP="009A58EE">
            <w:pPr>
              <w:pStyle w:val="Normal-pool-Table"/>
              <w:jc w:val="right"/>
              <w:rPr>
                <w:szCs w:val="18"/>
                <w:lang w:val="es-ES_tradnl"/>
              </w:rPr>
            </w:pPr>
            <w:r w:rsidRPr="00F567E1">
              <w:rPr>
                <w:color w:val="000000"/>
                <w:lang w:val="es-ES_tradnl"/>
              </w:rPr>
              <w:t>0,6914</w:t>
            </w:r>
          </w:p>
        </w:tc>
        <w:tc>
          <w:tcPr>
            <w:tcW w:w="1293" w:type="dxa"/>
            <w:tcBorders>
              <w:top w:val="nil"/>
              <w:left w:val="nil"/>
              <w:bottom w:val="single" w:sz="4" w:space="0" w:color="auto"/>
              <w:right w:val="single" w:sz="4" w:space="0" w:color="auto"/>
            </w:tcBorders>
            <w:noWrap/>
            <w:hideMark/>
          </w:tcPr>
          <w:p w14:paraId="629E6893" w14:textId="77777777" w:rsidR="00EE35DE" w:rsidRPr="00F567E1" w:rsidRDefault="00EE35DE" w:rsidP="009A58EE">
            <w:pPr>
              <w:pStyle w:val="Normal-pool-Table"/>
              <w:jc w:val="right"/>
              <w:rPr>
                <w:szCs w:val="18"/>
                <w:lang w:val="es-ES_tradnl"/>
              </w:rPr>
            </w:pPr>
            <w:r w:rsidRPr="00F567E1">
              <w:rPr>
                <w:color w:val="000000"/>
                <w:lang w:val="es-ES_tradnl"/>
              </w:rPr>
              <w:t>21 318</w:t>
            </w:r>
          </w:p>
        </w:tc>
        <w:tc>
          <w:tcPr>
            <w:tcW w:w="1293" w:type="dxa"/>
            <w:tcBorders>
              <w:top w:val="nil"/>
              <w:left w:val="nil"/>
              <w:bottom w:val="single" w:sz="4" w:space="0" w:color="auto"/>
              <w:right w:val="single" w:sz="4" w:space="0" w:color="auto"/>
            </w:tcBorders>
            <w:noWrap/>
            <w:hideMark/>
          </w:tcPr>
          <w:p w14:paraId="721EC76F" w14:textId="77777777" w:rsidR="00EE35DE" w:rsidRPr="00F567E1" w:rsidRDefault="00EE35DE" w:rsidP="009A58EE">
            <w:pPr>
              <w:pStyle w:val="Normal-pool-Table"/>
              <w:jc w:val="right"/>
              <w:rPr>
                <w:szCs w:val="18"/>
                <w:lang w:val="es-ES_tradnl"/>
              </w:rPr>
            </w:pPr>
            <w:r w:rsidRPr="00F567E1">
              <w:rPr>
                <w:color w:val="000000"/>
                <w:lang w:val="es-ES_tradnl"/>
              </w:rPr>
              <w:t>28 134</w:t>
            </w:r>
          </w:p>
        </w:tc>
        <w:tc>
          <w:tcPr>
            <w:tcW w:w="1313" w:type="dxa"/>
            <w:tcBorders>
              <w:top w:val="nil"/>
              <w:left w:val="nil"/>
              <w:bottom w:val="single" w:sz="4" w:space="0" w:color="auto"/>
              <w:right w:val="single" w:sz="4" w:space="0" w:color="auto"/>
            </w:tcBorders>
            <w:noWrap/>
            <w:hideMark/>
          </w:tcPr>
          <w:p w14:paraId="21D5ED14" w14:textId="77777777" w:rsidR="00EE35DE" w:rsidRPr="00F567E1" w:rsidRDefault="00EE35DE" w:rsidP="009A58EE">
            <w:pPr>
              <w:pStyle w:val="Normal-pool-Table"/>
              <w:jc w:val="right"/>
              <w:rPr>
                <w:szCs w:val="18"/>
                <w:lang w:val="es-ES_tradnl"/>
              </w:rPr>
            </w:pPr>
            <w:r w:rsidRPr="00F567E1">
              <w:rPr>
                <w:color w:val="000000"/>
                <w:lang w:val="es-ES_tradnl"/>
              </w:rPr>
              <w:t>49 452</w:t>
            </w:r>
          </w:p>
        </w:tc>
      </w:tr>
      <w:tr w:rsidR="00EE35DE" w:rsidRPr="00F567E1" w14:paraId="62DE928A" w14:textId="77777777" w:rsidTr="009A58EE">
        <w:trPr>
          <w:trHeight w:val="300"/>
          <w:jc w:val="right"/>
        </w:trPr>
        <w:tc>
          <w:tcPr>
            <w:tcW w:w="541" w:type="dxa"/>
            <w:tcBorders>
              <w:top w:val="nil"/>
              <w:left w:val="single" w:sz="4" w:space="0" w:color="auto"/>
              <w:bottom w:val="single" w:sz="4" w:space="0" w:color="auto"/>
              <w:right w:val="single" w:sz="4" w:space="0" w:color="auto"/>
            </w:tcBorders>
            <w:noWrap/>
            <w:hideMark/>
          </w:tcPr>
          <w:p w14:paraId="1C3E1B66" w14:textId="131FF5B7" w:rsidR="00EE35DE" w:rsidRPr="00F567E1" w:rsidRDefault="00EE35DE" w:rsidP="009A58EE">
            <w:pPr>
              <w:pStyle w:val="Normal-pool-Table"/>
              <w:rPr>
                <w:szCs w:val="18"/>
                <w:lang w:val="es-ES_tradnl"/>
              </w:rPr>
            </w:pPr>
            <w:r w:rsidRPr="00F567E1">
              <w:rPr>
                <w:color w:val="000000"/>
                <w:lang w:val="es-ES_tradnl"/>
              </w:rPr>
              <w:t>1</w:t>
            </w:r>
            <w:r w:rsidR="00E7477A" w:rsidRPr="00F567E1">
              <w:rPr>
                <w:color w:val="000000"/>
                <w:lang w:val="es-ES_tradnl"/>
              </w:rPr>
              <w:t>5</w:t>
            </w:r>
            <w:r w:rsidRPr="00F567E1">
              <w:rPr>
                <w:color w:val="000000"/>
                <w:lang w:val="es-ES_tradnl"/>
              </w:rPr>
              <w:t>3</w:t>
            </w:r>
          </w:p>
        </w:tc>
        <w:tc>
          <w:tcPr>
            <w:tcW w:w="2573" w:type="dxa"/>
            <w:tcBorders>
              <w:top w:val="nil"/>
              <w:left w:val="nil"/>
              <w:bottom w:val="single" w:sz="4" w:space="0" w:color="auto"/>
              <w:right w:val="single" w:sz="4" w:space="0" w:color="auto"/>
            </w:tcBorders>
            <w:noWrap/>
            <w:hideMark/>
          </w:tcPr>
          <w:p w14:paraId="15ADDFEA" w14:textId="77777777" w:rsidR="00EE35DE" w:rsidRPr="00F567E1" w:rsidRDefault="00EE35DE" w:rsidP="009A58EE">
            <w:pPr>
              <w:pStyle w:val="Normal-pool-Table"/>
              <w:rPr>
                <w:szCs w:val="18"/>
                <w:lang w:val="es-ES_tradnl"/>
              </w:rPr>
            </w:pPr>
            <w:r w:rsidRPr="00F567E1">
              <w:rPr>
                <w:color w:val="000000"/>
                <w:lang w:val="es-ES_tradnl"/>
              </w:rPr>
              <w:t>Unión Europea</w:t>
            </w:r>
          </w:p>
        </w:tc>
        <w:tc>
          <w:tcPr>
            <w:tcW w:w="1400" w:type="dxa"/>
            <w:tcBorders>
              <w:top w:val="nil"/>
              <w:left w:val="nil"/>
              <w:bottom w:val="single" w:sz="4" w:space="0" w:color="auto"/>
              <w:right w:val="single" w:sz="4" w:space="0" w:color="auto"/>
            </w:tcBorders>
            <w:noWrap/>
            <w:hideMark/>
          </w:tcPr>
          <w:p w14:paraId="4A73CEE7" w14:textId="77777777" w:rsidR="00EE35DE" w:rsidRPr="00F567E1" w:rsidRDefault="00EE35DE" w:rsidP="009A58EE">
            <w:pPr>
              <w:pStyle w:val="Normal-pool-Table"/>
              <w:jc w:val="right"/>
              <w:rPr>
                <w:szCs w:val="18"/>
                <w:lang w:val="es-ES_tradnl"/>
              </w:rPr>
            </w:pPr>
            <w:r w:rsidRPr="00F567E1">
              <w:rPr>
                <w:color w:val="000000"/>
                <w:lang w:val="es-ES_tradnl"/>
              </w:rPr>
              <w:t>2,5</w:t>
            </w:r>
          </w:p>
        </w:tc>
        <w:tc>
          <w:tcPr>
            <w:tcW w:w="1073" w:type="dxa"/>
            <w:tcBorders>
              <w:top w:val="nil"/>
              <w:left w:val="nil"/>
              <w:bottom w:val="single" w:sz="4" w:space="0" w:color="auto"/>
              <w:right w:val="single" w:sz="4" w:space="0" w:color="auto"/>
            </w:tcBorders>
            <w:noWrap/>
            <w:hideMark/>
          </w:tcPr>
          <w:p w14:paraId="57D544EA" w14:textId="77777777" w:rsidR="00EE35DE" w:rsidRPr="00F567E1" w:rsidRDefault="00EE35DE" w:rsidP="009A58EE">
            <w:pPr>
              <w:pStyle w:val="Normal-pool-Table"/>
              <w:jc w:val="right"/>
              <w:rPr>
                <w:szCs w:val="18"/>
                <w:lang w:val="es-ES_tradnl"/>
              </w:rPr>
            </w:pPr>
            <w:r w:rsidRPr="00F567E1">
              <w:rPr>
                <w:color w:val="000000"/>
                <w:lang w:val="es-ES_tradnl"/>
              </w:rPr>
              <w:t>2,5000</w:t>
            </w:r>
          </w:p>
        </w:tc>
        <w:tc>
          <w:tcPr>
            <w:tcW w:w="1293" w:type="dxa"/>
            <w:tcBorders>
              <w:top w:val="nil"/>
              <w:left w:val="nil"/>
              <w:bottom w:val="single" w:sz="4" w:space="0" w:color="auto"/>
              <w:right w:val="single" w:sz="4" w:space="0" w:color="auto"/>
            </w:tcBorders>
            <w:noWrap/>
            <w:hideMark/>
          </w:tcPr>
          <w:p w14:paraId="2BC1AC69" w14:textId="77777777" w:rsidR="00EE35DE" w:rsidRPr="00F567E1" w:rsidRDefault="00EE35DE" w:rsidP="009A58EE">
            <w:pPr>
              <w:pStyle w:val="Normal-pool-Table"/>
              <w:jc w:val="right"/>
              <w:rPr>
                <w:szCs w:val="18"/>
                <w:lang w:val="es-ES_tradnl"/>
              </w:rPr>
            </w:pPr>
            <w:r w:rsidRPr="00F567E1">
              <w:rPr>
                <w:color w:val="000000"/>
                <w:lang w:val="es-ES_tradnl"/>
              </w:rPr>
              <w:t>77 084</w:t>
            </w:r>
          </w:p>
        </w:tc>
        <w:tc>
          <w:tcPr>
            <w:tcW w:w="1293" w:type="dxa"/>
            <w:tcBorders>
              <w:top w:val="nil"/>
              <w:left w:val="nil"/>
              <w:bottom w:val="single" w:sz="4" w:space="0" w:color="auto"/>
              <w:right w:val="single" w:sz="4" w:space="0" w:color="auto"/>
            </w:tcBorders>
            <w:noWrap/>
            <w:hideMark/>
          </w:tcPr>
          <w:p w14:paraId="40000519" w14:textId="77777777" w:rsidR="00EE35DE" w:rsidRPr="00F567E1" w:rsidRDefault="00EE35DE" w:rsidP="009A58EE">
            <w:pPr>
              <w:pStyle w:val="Normal-pool-Table"/>
              <w:jc w:val="right"/>
              <w:rPr>
                <w:szCs w:val="18"/>
                <w:lang w:val="es-ES_tradnl"/>
              </w:rPr>
            </w:pPr>
            <w:r w:rsidRPr="00F567E1">
              <w:rPr>
                <w:color w:val="000000"/>
                <w:lang w:val="es-ES_tradnl"/>
              </w:rPr>
              <w:t>101 732</w:t>
            </w:r>
          </w:p>
        </w:tc>
        <w:tc>
          <w:tcPr>
            <w:tcW w:w="1313" w:type="dxa"/>
            <w:tcBorders>
              <w:top w:val="nil"/>
              <w:left w:val="nil"/>
              <w:bottom w:val="single" w:sz="4" w:space="0" w:color="auto"/>
              <w:right w:val="single" w:sz="4" w:space="0" w:color="auto"/>
            </w:tcBorders>
            <w:noWrap/>
            <w:hideMark/>
          </w:tcPr>
          <w:p w14:paraId="5BD05876" w14:textId="77777777" w:rsidR="00EE35DE" w:rsidRPr="00F567E1" w:rsidRDefault="00EE35DE" w:rsidP="009A58EE">
            <w:pPr>
              <w:pStyle w:val="Normal-pool-Table"/>
              <w:jc w:val="right"/>
              <w:rPr>
                <w:szCs w:val="18"/>
                <w:lang w:val="es-ES_tradnl"/>
              </w:rPr>
            </w:pPr>
            <w:r w:rsidRPr="00F567E1">
              <w:rPr>
                <w:color w:val="000000"/>
                <w:lang w:val="es-ES_tradnl"/>
              </w:rPr>
              <w:t>178 816</w:t>
            </w:r>
          </w:p>
        </w:tc>
      </w:tr>
      <w:tr w:rsidR="00F234CD" w:rsidRPr="00F567E1" w14:paraId="73B2B035" w14:textId="77777777" w:rsidTr="00246C31">
        <w:trPr>
          <w:trHeight w:val="300"/>
          <w:jc w:val="right"/>
        </w:trPr>
        <w:tc>
          <w:tcPr>
            <w:tcW w:w="541" w:type="dxa"/>
            <w:tcBorders>
              <w:top w:val="nil"/>
              <w:left w:val="single" w:sz="4" w:space="0" w:color="auto"/>
              <w:bottom w:val="single" w:sz="4" w:space="0" w:color="auto"/>
              <w:right w:val="single" w:sz="4" w:space="0" w:color="auto"/>
            </w:tcBorders>
            <w:noWrap/>
            <w:hideMark/>
          </w:tcPr>
          <w:p w14:paraId="244BB7E3" w14:textId="77777777" w:rsidR="00312042" w:rsidRPr="00F567E1" w:rsidRDefault="00312042" w:rsidP="009A58EE">
            <w:pPr>
              <w:pStyle w:val="Normal-pool-Table"/>
              <w:rPr>
                <w:szCs w:val="18"/>
                <w:lang w:val="es-ES_tradnl"/>
              </w:rPr>
            </w:pPr>
            <w:r w:rsidRPr="00F567E1">
              <w:rPr>
                <w:color w:val="000000"/>
                <w:szCs w:val="18"/>
                <w:lang w:val="es-ES_tradnl"/>
              </w:rPr>
              <w:t> </w:t>
            </w:r>
          </w:p>
        </w:tc>
        <w:tc>
          <w:tcPr>
            <w:tcW w:w="2573" w:type="dxa"/>
            <w:tcBorders>
              <w:top w:val="nil"/>
              <w:left w:val="nil"/>
              <w:bottom w:val="single" w:sz="4" w:space="0" w:color="auto"/>
              <w:right w:val="single" w:sz="4" w:space="0" w:color="auto"/>
            </w:tcBorders>
            <w:shd w:val="clear" w:color="000000" w:fill="DBB731"/>
            <w:noWrap/>
            <w:hideMark/>
          </w:tcPr>
          <w:p w14:paraId="07DA41B5" w14:textId="77777777" w:rsidR="00312042" w:rsidRPr="00F567E1" w:rsidRDefault="00312042" w:rsidP="009A58EE">
            <w:pPr>
              <w:pStyle w:val="Normal-pool-Table"/>
              <w:rPr>
                <w:b/>
                <w:bCs/>
                <w:szCs w:val="18"/>
                <w:lang w:val="es-ES_tradnl"/>
              </w:rPr>
            </w:pPr>
            <w:r w:rsidRPr="00F567E1">
              <w:rPr>
                <w:b/>
                <w:bCs/>
                <w:color w:val="000000"/>
                <w:lang w:val="es-ES_tradnl"/>
              </w:rPr>
              <w:t>Total de cuotas</w:t>
            </w:r>
          </w:p>
        </w:tc>
        <w:tc>
          <w:tcPr>
            <w:tcW w:w="1400" w:type="dxa"/>
            <w:tcBorders>
              <w:top w:val="nil"/>
              <w:left w:val="nil"/>
              <w:bottom w:val="single" w:sz="4" w:space="0" w:color="auto"/>
              <w:right w:val="single" w:sz="4" w:space="0" w:color="auto"/>
            </w:tcBorders>
            <w:shd w:val="clear" w:color="000000" w:fill="DBB731"/>
            <w:noWrap/>
            <w:vAlign w:val="bottom"/>
            <w:hideMark/>
          </w:tcPr>
          <w:p w14:paraId="5B175FBE" w14:textId="77777777" w:rsidR="00312042" w:rsidRPr="00F567E1" w:rsidRDefault="00312042" w:rsidP="009A58EE">
            <w:pPr>
              <w:pStyle w:val="Normal-pool-Table"/>
              <w:rPr>
                <w:szCs w:val="18"/>
                <w:lang w:val="es-ES_tradnl"/>
              </w:rPr>
            </w:pPr>
          </w:p>
        </w:tc>
        <w:tc>
          <w:tcPr>
            <w:tcW w:w="1073" w:type="dxa"/>
            <w:tcBorders>
              <w:top w:val="nil"/>
              <w:left w:val="nil"/>
              <w:bottom w:val="single" w:sz="4" w:space="0" w:color="auto"/>
              <w:right w:val="single" w:sz="4" w:space="0" w:color="auto"/>
            </w:tcBorders>
            <w:shd w:val="clear" w:color="000000" w:fill="DBB731"/>
            <w:noWrap/>
            <w:vAlign w:val="bottom"/>
            <w:hideMark/>
          </w:tcPr>
          <w:p w14:paraId="2AC0F58F" w14:textId="77777777" w:rsidR="00312042" w:rsidRPr="00F567E1" w:rsidRDefault="00312042" w:rsidP="009A58EE">
            <w:pPr>
              <w:pStyle w:val="Normal-pool-Table"/>
              <w:rPr>
                <w:b/>
                <w:bCs/>
                <w:szCs w:val="18"/>
                <w:lang w:val="es-ES_tradnl"/>
              </w:rPr>
            </w:pPr>
            <w:r w:rsidRPr="00F567E1">
              <w:rPr>
                <w:b/>
                <w:bCs/>
                <w:color w:val="000000"/>
                <w:lang w:val="es-ES_tradnl"/>
              </w:rPr>
              <w:t>100</w:t>
            </w:r>
          </w:p>
        </w:tc>
        <w:tc>
          <w:tcPr>
            <w:tcW w:w="1293" w:type="dxa"/>
            <w:tcBorders>
              <w:top w:val="nil"/>
              <w:left w:val="nil"/>
              <w:bottom w:val="single" w:sz="4" w:space="0" w:color="auto"/>
              <w:right w:val="single" w:sz="4" w:space="0" w:color="auto"/>
            </w:tcBorders>
            <w:shd w:val="clear" w:color="000000" w:fill="DBB731"/>
            <w:noWrap/>
            <w:vAlign w:val="bottom"/>
            <w:hideMark/>
          </w:tcPr>
          <w:p w14:paraId="47993A41" w14:textId="5D58E6F4" w:rsidR="00312042" w:rsidRPr="00F567E1" w:rsidRDefault="00312042" w:rsidP="009A58EE">
            <w:pPr>
              <w:pStyle w:val="Normal-pool-Table"/>
              <w:rPr>
                <w:b/>
                <w:bCs/>
                <w:szCs w:val="18"/>
                <w:lang w:val="es-ES_tradnl"/>
              </w:rPr>
            </w:pPr>
            <w:r w:rsidRPr="00F567E1">
              <w:rPr>
                <w:b/>
                <w:bCs/>
                <w:color w:val="000000"/>
                <w:lang w:val="es-ES_tradnl"/>
              </w:rPr>
              <w:t>3</w:t>
            </w:r>
            <w:r w:rsidR="00241FED" w:rsidRPr="00F567E1">
              <w:rPr>
                <w:b/>
                <w:bCs/>
                <w:color w:val="000000"/>
                <w:lang w:val="es-ES_tradnl"/>
              </w:rPr>
              <w:t> </w:t>
            </w:r>
            <w:r w:rsidRPr="00F567E1">
              <w:rPr>
                <w:b/>
                <w:bCs/>
                <w:color w:val="000000"/>
                <w:lang w:val="es-ES_tradnl"/>
              </w:rPr>
              <w:t>083</w:t>
            </w:r>
            <w:r w:rsidR="00241FED" w:rsidRPr="00F567E1">
              <w:rPr>
                <w:b/>
                <w:bCs/>
                <w:color w:val="000000"/>
                <w:lang w:val="es-ES_tradnl"/>
              </w:rPr>
              <w:t> </w:t>
            </w:r>
            <w:r w:rsidRPr="00F567E1">
              <w:rPr>
                <w:b/>
                <w:bCs/>
                <w:color w:val="000000"/>
                <w:lang w:val="es-ES_tradnl"/>
              </w:rPr>
              <w:t>350</w:t>
            </w:r>
          </w:p>
        </w:tc>
        <w:tc>
          <w:tcPr>
            <w:tcW w:w="1293" w:type="dxa"/>
            <w:tcBorders>
              <w:top w:val="nil"/>
              <w:left w:val="nil"/>
              <w:bottom w:val="single" w:sz="4" w:space="0" w:color="auto"/>
              <w:right w:val="single" w:sz="4" w:space="0" w:color="auto"/>
            </w:tcBorders>
            <w:shd w:val="clear" w:color="000000" w:fill="DBB731"/>
            <w:noWrap/>
            <w:vAlign w:val="bottom"/>
            <w:hideMark/>
          </w:tcPr>
          <w:p w14:paraId="5C5C9824" w14:textId="304E057D" w:rsidR="00312042" w:rsidRPr="00F567E1" w:rsidRDefault="00312042" w:rsidP="009A58EE">
            <w:pPr>
              <w:pStyle w:val="Normal-pool-Table"/>
              <w:rPr>
                <w:b/>
                <w:bCs/>
                <w:szCs w:val="18"/>
                <w:lang w:val="es-ES_tradnl"/>
              </w:rPr>
            </w:pPr>
            <w:r w:rsidRPr="00F567E1">
              <w:rPr>
                <w:b/>
                <w:bCs/>
                <w:color w:val="000000"/>
                <w:lang w:val="es-ES_tradnl"/>
              </w:rPr>
              <w:t>4</w:t>
            </w:r>
            <w:r w:rsidR="00241FED" w:rsidRPr="00F567E1">
              <w:rPr>
                <w:b/>
                <w:bCs/>
                <w:color w:val="000000"/>
                <w:lang w:val="es-ES_tradnl"/>
              </w:rPr>
              <w:t> </w:t>
            </w:r>
            <w:r w:rsidRPr="00F567E1">
              <w:rPr>
                <w:b/>
                <w:bCs/>
                <w:color w:val="000000"/>
                <w:lang w:val="es-ES_tradnl"/>
              </w:rPr>
              <w:t>069</w:t>
            </w:r>
            <w:r w:rsidR="00241FED" w:rsidRPr="00F567E1">
              <w:rPr>
                <w:b/>
                <w:bCs/>
                <w:color w:val="000000"/>
                <w:lang w:val="es-ES_tradnl"/>
              </w:rPr>
              <w:t> </w:t>
            </w:r>
            <w:r w:rsidRPr="00F567E1">
              <w:rPr>
                <w:b/>
                <w:bCs/>
                <w:color w:val="000000"/>
                <w:lang w:val="es-ES_tradnl"/>
              </w:rPr>
              <w:t>275</w:t>
            </w:r>
          </w:p>
        </w:tc>
        <w:tc>
          <w:tcPr>
            <w:tcW w:w="1313" w:type="dxa"/>
            <w:tcBorders>
              <w:top w:val="nil"/>
              <w:left w:val="nil"/>
              <w:bottom w:val="single" w:sz="4" w:space="0" w:color="auto"/>
              <w:right w:val="single" w:sz="4" w:space="0" w:color="auto"/>
            </w:tcBorders>
            <w:shd w:val="clear" w:color="000000" w:fill="DBB731"/>
            <w:noWrap/>
            <w:vAlign w:val="bottom"/>
            <w:hideMark/>
          </w:tcPr>
          <w:p w14:paraId="674596AF" w14:textId="21C025BA" w:rsidR="00312042" w:rsidRPr="00F567E1" w:rsidRDefault="00312042" w:rsidP="009A58EE">
            <w:pPr>
              <w:pStyle w:val="Normal-pool-Table"/>
              <w:rPr>
                <w:b/>
                <w:bCs/>
                <w:szCs w:val="18"/>
                <w:lang w:val="es-ES_tradnl"/>
              </w:rPr>
            </w:pPr>
            <w:r w:rsidRPr="00F567E1">
              <w:rPr>
                <w:b/>
                <w:bCs/>
                <w:color w:val="000000"/>
                <w:lang w:val="es-ES_tradnl"/>
              </w:rPr>
              <w:t>7</w:t>
            </w:r>
            <w:r w:rsidR="00241FED" w:rsidRPr="00F567E1">
              <w:rPr>
                <w:b/>
                <w:bCs/>
                <w:color w:val="000000"/>
                <w:lang w:val="es-ES_tradnl"/>
              </w:rPr>
              <w:t> </w:t>
            </w:r>
            <w:r w:rsidRPr="00F567E1">
              <w:rPr>
                <w:b/>
                <w:bCs/>
                <w:color w:val="000000"/>
                <w:lang w:val="es-ES_tradnl"/>
              </w:rPr>
              <w:t>152</w:t>
            </w:r>
            <w:r w:rsidR="00241FED" w:rsidRPr="00F567E1">
              <w:rPr>
                <w:b/>
                <w:bCs/>
                <w:color w:val="000000"/>
                <w:lang w:val="es-ES_tradnl"/>
              </w:rPr>
              <w:t> </w:t>
            </w:r>
            <w:r w:rsidRPr="00F567E1">
              <w:rPr>
                <w:b/>
                <w:bCs/>
                <w:color w:val="000000"/>
                <w:lang w:val="es-ES_tradnl"/>
              </w:rPr>
              <w:t>625</w:t>
            </w:r>
          </w:p>
        </w:tc>
      </w:tr>
      <w:tr w:rsidR="00F234CD" w:rsidRPr="00F567E1" w14:paraId="581D5726" w14:textId="77777777" w:rsidTr="00246C31">
        <w:trPr>
          <w:trHeight w:val="300"/>
          <w:jc w:val="right"/>
        </w:trPr>
        <w:tc>
          <w:tcPr>
            <w:tcW w:w="541" w:type="dxa"/>
            <w:tcBorders>
              <w:top w:val="single" w:sz="4" w:space="0" w:color="auto"/>
              <w:left w:val="single" w:sz="4" w:space="0" w:color="auto"/>
              <w:bottom w:val="single" w:sz="12" w:space="0" w:color="auto"/>
              <w:right w:val="single" w:sz="4" w:space="0" w:color="auto"/>
            </w:tcBorders>
            <w:noWrap/>
            <w:hideMark/>
          </w:tcPr>
          <w:p w14:paraId="291ECC07" w14:textId="77777777" w:rsidR="00312042" w:rsidRPr="00F567E1" w:rsidRDefault="00312042" w:rsidP="009A58EE">
            <w:pPr>
              <w:pStyle w:val="Normal-pool-Table"/>
              <w:rPr>
                <w:szCs w:val="18"/>
                <w:lang w:val="es-ES_tradnl"/>
              </w:rPr>
            </w:pPr>
            <w:r w:rsidRPr="00F567E1">
              <w:rPr>
                <w:color w:val="000000"/>
                <w:szCs w:val="18"/>
                <w:lang w:val="es-ES_tradnl"/>
              </w:rPr>
              <w:t> </w:t>
            </w:r>
          </w:p>
        </w:tc>
        <w:tc>
          <w:tcPr>
            <w:tcW w:w="2573" w:type="dxa"/>
            <w:tcBorders>
              <w:top w:val="single" w:sz="4" w:space="0" w:color="auto"/>
              <w:left w:val="nil"/>
              <w:bottom w:val="single" w:sz="12" w:space="0" w:color="auto"/>
              <w:right w:val="single" w:sz="4" w:space="0" w:color="auto"/>
            </w:tcBorders>
            <w:shd w:val="clear" w:color="000000" w:fill="DBB731"/>
            <w:noWrap/>
            <w:hideMark/>
          </w:tcPr>
          <w:p w14:paraId="1D85FC3E" w14:textId="77777777" w:rsidR="00312042" w:rsidRPr="00F567E1" w:rsidRDefault="00312042" w:rsidP="009A58EE">
            <w:pPr>
              <w:pStyle w:val="Normal-pool-Table"/>
              <w:rPr>
                <w:b/>
                <w:bCs/>
                <w:szCs w:val="18"/>
                <w:lang w:val="es-ES_tradnl"/>
              </w:rPr>
            </w:pPr>
            <w:r w:rsidRPr="00F567E1">
              <w:rPr>
                <w:b/>
                <w:bCs/>
                <w:color w:val="000000"/>
                <w:lang w:val="es-ES_tradnl"/>
              </w:rPr>
              <w:t>Presupuesto total aprobado (incluida la contribución del país anfitrión*)</w:t>
            </w:r>
          </w:p>
        </w:tc>
        <w:tc>
          <w:tcPr>
            <w:tcW w:w="1400" w:type="dxa"/>
            <w:tcBorders>
              <w:top w:val="single" w:sz="4" w:space="0" w:color="auto"/>
              <w:left w:val="nil"/>
              <w:bottom w:val="single" w:sz="12" w:space="0" w:color="auto"/>
              <w:right w:val="single" w:sz="4" w:space="0" w:color="auto"/>
            </w:tcBorders>
            <w:shd w:val="clear" w:color="000000" w:fill="DBB731"/>
            <w:noWrap/>
            <w:vAlign w:val="bottom"/>
            <w:hideMark/>
          </w:tcPr>
          <w:p w14:paraId="382A85E1" w14:textId="77777777" w:rsidR="00312042" w:rsidRPr="00F567E1" w:rsidRDefault="00312042" w:rsidP="009A58EE">
            <w:pPr>
              <w:pStyle w:val="Normal-pool-Table"/>
              <w:rPr>
                <w:szCs w:val="18"/>
                <w:lang w:val="es-ES_tradnl"/>
              </w:rPr>
            </w:pPr>
          </w:p>
        </w:tc>
        <w:tc>
          <w:tcPr>
            <w:tcW w:w="1073" w:type="dxa"/>
            <w:tcBorders>
              <w:top w:val="single" w:sz="4" w:space="0" w:color="auto"/>
              <w:left w:val="nil"/>
              <w:bottom w:val="single" w:sz="12" w:space="0" w:color="auto"/>
              <w:right w:val="single" w:sz="4" w:space="0" w:color="auto"/>
            </w:tcBorders>
            <w:shd w:val="clear" w:color="000000" w:fill="DBB731"/>
            <w:noWrap/>
            <w:vAlign w:val="bottom"/>
            <w:hideMark/>
          </w:tcPr>
          <w:p w14:paraId="525EDAC9" w14:textId="77777777" w:rsidR="00312042" w:rsidRPr="00F567E1" w:rsidRDefault="00312042" w:rsidP="009A58EE">
            <w:pPr>
              <w:pStyle w:val="Normal-pool-Table"/>
              <w:rPr>
                <w:b/>
                <w:bCs/>
                <w:szCs w:val="18"/>
                <w:lang w:val="es-ES_tradnl"/>
              </w:rPr>
            </w:pPr>
          </w:p>
        </w:tc>
        <w:tc>
          <w:tcPr>
            <w:tcW w:w="1293" w:type="dxa"/>
            <w:tcBorders>
              <w:top w:val="single" w:sz="4" w:space="0" w:color="auto"/>
              <w:left w:val="nil"/>
              <w:bottom w:val="single" w:sz="12" w:space="0" w:color="auto"/>
              <w:right w:val="single" w:sz="4" w:space="0" w:color="auto"/>
            </w:tcBorders>
            <w:shd w:val="clear" w:color="000000" w:fill="DBB731"/>
            <w:noWrap/>
            <w:vAlign w:val="bottom"/>
            <w:hideMark/>
          </w:tcPr>
          <w:p w14:paraId="1BFC26E4" w14:textId="52D456E0" w:rsidR="00312042" w:rsidRPr="00F567E1" w:rsidRDefault="00312042" w:rsidP="009A58EE">
            <w:pPr>
              <w:pStyle w:val="Normal-pool-Table"/>
              <w:rPr>
                <w:b/>
                <w:bCs/>
                <w:szCs w:val="18"/>
                <w:lang w:val="es-ES_tradnl"/>
              </w:rPr>
            </w:pPr>
            <w:r w:rsidRPr="00F567E1">
              <w:rPr>
                <w:b/>
                <w:bCs/>
                <w:color w:val="000000"/>
                <w:lang w:val="es-ES_tradnl"/>
              </w:rPr>
              <w:t>3</w:t>
            </w:r>
            <w:r w:rsidR="00241FED" w:rsidRPr="00F567E1">
              <w:rPr>
                <w:b/>
                <w:bCs/>
                <w:color w:val="000000"/>
                <w:lang w:val="es-ES_tradnl"/>
              </w:rPr>
              <w:t> </w:t>
            </w:r>
            <w:r w:rsidRPr="00F567E1">
              <w:rPr>
                <w:b/>
                <w:bCs/>
                <w:color w:val="000000"/>
                <w:lang w:val="es-ES_tradnl"/>
              </w:rPr>
              <w:t>727</w:t>
            </w:r>
            <w:r w:rsidR="00241FED" w:rsidRPr="00F567E1">
              <w:rPr>
                <w:b/>
                <w:bCs/>
                <w:color w:val="000000"/>
                <w:lang w:val="es-ES_tradnl"/>
              </w:rPr>
              <w:t> </w:t>
            </w:r>
            <w:r w:rsidRPr="00F567E1">
              <w:rPr>
                <w:b/>
                <w:bCs/>
                <w:color w:val="000000"/>
                <w:lang w:val="es-ES_tradnl"/>
              </w:rPr>
              <w:t>934</w:t>
            </w:r>
          </w:p>
        </w:tc>
        <w:tc>
          <w:tcPr>
            <w:tcW w:w="1293" w:type="dxa"/>
            <w:tcBorders>
              <w:top w:val="single" w:sz="4" w:space="0" w:color="auto"/>
              <w:left w:val="nil"/>
              <w:bottom w:val="single" w:sz="12" w:space="0" w:color="auto"/>
              <w:right w:val="single" w:sz="4" w:space="0" w:color="auto"/>
            </w:tcBorders>
            <w:shd w:val="clear" w:color="000000" w:fill="DBB731"/>
            <w:noWrap/>
            <w:vAlign w:val="bottom"/>
            <w:hideMark/>
          </w:tcPr>
          <w:p w14:paraId="336CB273" w14:textId="67C378D8" w:rsidR="00312042" w:rsidRPr="00F567E1" w:rsidRDefault="00312042" w:rsidP="009A58EE">
            <w:pPr>
              <w:pStyle w:val="Normal-pool-Table"/>
              <w:rPr>
                <w:b/>
                <w:bCs/>
                <w:szCs w:val="18"/>
                <w:lang w:val="es-ES_tradnl"/>
              </w:rPr>
            </w:pPr>
            <w:r w:rsidRPr="00F567E1">
              <w:rPr>
                <w:b/>
                <w:bCs/>
                <w:color w:val="000000"/>
                <w:lang w:val="es-ES_tradnl"/>
              </w:rPr>
              <w:t>4</w:t>
            </w:r>
            <w:r w:rsidR="00241FED" w:rsidRPr="00F567E1">
              <w:rPr>
                <w:b/>
                <w:bCs/>
                <w:color w:val="000000"/>
                <w:lang w:val="es-ES_tradnl"/>
              </w:rPr>
              <w:t> </w:t>
            </w:r>
            <w:r w:rsidRPr="00F567E1">
              <w:rPr>
                <w:b/>
                <w:bCs/>
                <w:color w:val="000000"/>
                <w:lang w:val="es-ES_tradnl"/>
              </w:rPr>
              <w:t>703</w:t>
            </w:r>
            <w:r w:rsidR="00241FED" w:rsidRPr="00F567E1">
              <w:rPr>
                <w:b/>
                <w:bCs/>
                <w:color w:val="000000"/>
                <w:lang w:val="es-ES_tradnl"/>
              </w:rPr>
              <w:t> </w:t>
            </w:r>
            <w:r w:rsidRPr="00F567E1">
              <w:rPr>
                <w:b/>
                <w:bCs/>
                <w:color w:val="000000"/>
                <w:lang w:val="es-ES_tradnl"/>
              </w:rPr>
              <w:t>619</w:t>
            </w:r>
          </w:p>
        </w:tc>
        <w:tc>
          <w:tcPr>
            <w:tcW w:w="1313" w:type="dxa"/>
            <w:tcBorders>
              <w:top w:val="single" w:sz="4" w:space="0" w:color="auto"/>
              <w:left w:val="nil"/>
              <w:bottom w:val="single" w:sz="12" w:space="0" w:color="auto"/>
              <w:right w:val="single" w:sz="4" w:space="0" w:color="auto"/>
            </w:tcBorders>
            <w:shd w:val="clear" w:color="000000" w:fill="DBB731"/>
            <w:noWrap/>
            <w:vAlign w:val="bottom"/>
            <w:hideMark/>
          </w:tcPr>
          <w:p w14:paraId="6C06B367" w14:textId="62ED1FED" w:rsidR="00312042" w:rsidRPr="00F567E1" w:rsidRDefault="00312042" w:rsidP="009A58EE">
            <w:pPr>
              <w:pStyle w:val="Normal-pool-Table"/>
              <w:rPr>
                <w:b/>
                <w:bCs/>
                <w:szCs w:val="18"/>
                <w:lang w:val="es-ES_tradnl"/>
              </w:rPr>
            </w:pPr>
            <w:r w:rsidRPr="00F567E1">
              <w:rPr>
                <w:b/>
                <w:bCs/>
                <w:color w:val="000000"/>
                <w:lang w:val="es-ES_tradnl"/>
              </w:rPr>
              <w:t>8</w:t>
            </w:r>
            <w:r w:rsidR="00241FED" w:rsidRPr="00F567E1">
              <w:rPr>
                <w:b/>
                <w:bCs/>
                <w:color w:val="000000"/>
                <w:lang w:val="es-ES_tradnl"/>
              </w:rPr>
              <w:t> </w:t>
            </w:r>
            <w:r w:rsidRPr="00F567E1">
              <w:rPr>
                <w:b/>
                <w:bCs/>
                <w:color w:val="000000"/>
                <w:lang w:val="es-ES_tradnl"/>
              </w:rPr>
              <w:t>431</w:t>
            </w:r>
            <w:r w:rsidR="00241FED" w:rsidRPr="00F567E1">
              <w:rPr>
                <w:b/>
                <w:bCs/>
                <w:color w:val="000000"/>
                <w:lang w:val="es-ES_tradnl"/>
              </w:rPr>
              <w:t> </w:t>
            </w:r>
            <w:r w:rsidRPr="00F567E1">
              <w:rPr>
                <w:b/>
                <w:bCs/>
                <w:color w:val="000000"/>
                <w:lang w:val="es-ES_tradnl"/>
              </w:rPr>
              <w:t>553</w:t>
            </w:r>
          </w:p>
        </w:tc>
      </w:tr>
    </w:tbl>
    <w:p w14:paraId="78A539D2" w14:textId="697A1737" w:rsidR="00312042" w:rsidRPr="00F567E1" w:rsidRDefault="00312042" w:rsidP="00F16F39">
      <w:pPr>
        <w:spacing w:before="40"/>
        <w:ind w:left="1247"/>
        <w:rPr>
          <w:rFonts w:asciiTheme="majorBidi" w:hAnsiTheme="majorBidi" w:cstheme="majorBidi"/>
          <w:sz w:val="17"/>
          <w:szCs w:val="17"/>
          <w:lang w:val="es-ES_tradnl"/>
        </w:rPr>
      </w:pPr>
      <w:r w:rsidRPr="00F567E1">
        <w:rPr>
          <w:sz w:val="17"/>
          <w:szCs w:val="17"/>
          <w:lang w:val="es-ES_tradnl"/>
        </w:rPr>
        <w:tab/>
        <w:t>* Incluye el importe estimado de la contribución aportada por Suiza en calidad de país anfitrión al fondo fiduciario general, en dólares de los Estados Unidos.</w:t>
      </w:r>
    </w:p>
    <w:p w14:paraId="75A83881" w14:textId="77777777" w:rsidR="00312042" w:rsidRPr="00F567E1" w:rsidRDefault="00312042" w:rsidP="00312042">
      <w:pPr>
        <w:rPr>
          <w:rFonts w:asciiTheme="majorBidi" w:hAnsiTheme="majorBidi" w:cstheme="majorBidi"/>
          <w:lang w:val="es-ES_tradnl"/>
        </w:rPr>
      </w:pPr>
      <w:r w:rsidRPr="00F567E1">
        <w:rPr>
          <w:rFonts w:asciiTheme="majorBidi" w:hAnsiTheme="majorBidi" w:cstheme="majorBidi"/>
          <w:lang w:val="es-ES_tradnl"/>
        </w:rPr>
        <w:br w:type="page"/>
      </w:r>
    </w:p>
    <w:p w14:paraId="518C9995" w14:textId="42A230D5" w:rsidR="00312042" w:rsidRPr="00F567E1" w:rsidRDefault="00312042" w:rsidP="00312042">
      <w:pPr>
        <w:pStyle w:val="Titletable"/>
        <w:rPr>
          <w:rFonts w:asciiTheme="majorBidi" w:hAnsiTheme="majorBidi" w:cstheme="majorBidi"/>
          <w:b w:val="0"/>
          <w:bCs w:val="0"/>
          <w:lang w:val="es-ES_tradnl"/>
        </w:rPr>
      </w:pPr>
      <w:r w:rsidRPr="00F567E1">
        <w:rPr>
          <w:b w:val="0"/>
          <w:bCs w:val="0"/>
          <w:lang w:val="es-ES_tradnl"/>
        </w:rPr>
        <w:lastRenderedPageBreak/>
        <w:t>Cuadro 3</w:t>
      </w:r>
      <w:r w:rsidRPr="00F567E1">
        <w:rPr>
          <w:lang w:val="es-ES_tradnl"/>
        </w:rPr>
        <w:t xml:space="preserve"> </w:t>
      </w:r>
      <w:r w:rsidR="003210D0" w:rsidRPr="00F567E1">
        <w:rPr>
          <w:lang w:val="es-ES_tradnl"/>
        </w:rPr>
        <w:br/>
      </w:r>
      <w:r w:rsidRPr="00F567E1">
        <w:rPr>
          <w:lang w:val="es-ES_tradnl"/>
        </w:rPr>
        <w:t>Dotación de personal indicativa para el bienio 2026</w:t>
      </w:r>
      <w:r w:rsidR="00074CC9" w:rsidRPr="00F567E1">
        <w:rPr>
          <w:lang w:val="es-ES_tradnl"/>
        </w:rPr>
        <w:t>-</w:t>
      </w:r>
      <w:r w:rsidRPr="00F567E1">
        <w:rPr>
          <w:lang w:val="es-ES_tradnl"/>
        </w:rPr>
        <w:t>2027</w:t>
      </w:r>
    </w:p>
    <w:tbl>
      <w:tblPr>
        <w:tblW w:w="8307" w:type="dxa"/>
        <w:jc w:val="right"/>
        <w:tblLayout w:type="fixed"/>
        <w:tblLook w:val="04A0" w:firstRow="1" w:lastRow="0" w:firstColumn="1" w:lastColumn="0" w:noHBand="0" w:noVBand="1"/>
      </w:tblPr>
      <w:tblGrid>
        <w:gridCol w:w="2182"/>
        <w:gridCol w:w="1426"/>
        <w:gridCol w:w="1426"/>
        <w:gridCol w:w="1842"/>
        <w:gridCol w:w="1431"/>
      </w:tblGrid>
      <w:tr w:rsidR="00316BC5" w:rsidRPr="00F567E1" w14:paraId="2C55D9A8" w14:textId="77777777" w:rsidTr="002E102C">
        <w:trPr>
          <w:trHeight w:val="316"/>
          <w:jc w:val="right"/>
        </w:trPr>
        <w:tc>
          <w:tcPr>
            <w:tcW w:w="2182" w:type="dxa"/>
            <w:tcBorders>
              <w:top w:val="single" w:sz="4" w:space="0" w:color="auto"/>
              <w:left w:val="nil"/>
              <w:bottom w:val="single" w:sz="12" w:space="0" w:color="auto"/>
              <w:right w:val="nil"/>
            </w:tcBorders>
            <w:noWrap/>
            <w:vAlign w:val="bottom"/>
            <w:hideMark/>
          </w:tcPr>
          <w:p w14:paraId="19ECD88D" w14:textId="77777777" w:rsidR="00316BC5" w:rsidRPr="00F567E1" w:rsidRDefault="00316BC5" w:rsidP="00074CC9">
            <w:pPr>
              <w:rPr>
                <w:i/>
                <w:iCs/>
                <w:sz w:val="18"/>
                <w:szCs w:val="18"/>
                <w:lang w:val="es-ES_tradnl"/>
              </w:rPr>
            </w:pPr>
            <w:r w:rsidRPr="00F567E1">
              <w:rPr>
                <w:i/>
                <w:iCs/>
                <w:color w:val="000000"/>
                <w:sz w:val="18"/>
                <w:szCs w:val="18"/>
                <w:lang w:val="es-ES_tradnl"/>
              </w:rPr>
              <w:t>Cuadro y categoría de personal</w:t>
            </w:r>
          </w:p>
        </w:tc>
        <w:tc>
          <w:tcPr>
            <w:tcW w:w="1426" w:type="dxa"/>
            <w:tcBorders>
              <w:top w:val="single" w:sz="4" w:space="0" w:color="auto"/>
              <w:left w:val="nil"/>
              <w:bottom w:val="single" w:sz="12" w:space="0" w:color="auto"/>
              <w:right w:val="nil"/>
            </w:tcBorders>
            <w:vAlign w:val="bottom"/>
            <w:hideMark/>
          </w:tcPr>
          <w:p w14:paraId="2E3C5085" w14:textId="77777777" w:rsidR="00316BC5" w:rsidRPr="00F567E1" w:rsidRDefault="00316BC5" w:rsidP="009A58EE">
            <w:pPr>
              <w:jc w:val="right"/>
              <w:rPr>
                <w:i/>
                <w:iCs/>
                <w:sz w:val="18"/>
                <w:szCs w:val="18"/>
                <w:lang w:val="es-ES_tradnl"/>
              </w:rPr>
            </w:pPr>
            <w:r w:rsidRPr="00F567E1">
              <w:rPr>
                <w:i/>
                <w:iCs/>
                <w:color w:val="000000"/>
                <w:sz w:val="18"/>
                <w:szCs w:val="18"/>
                <w:lang w:val="es-ES_tradnl"/>
              </w:rPr>
              <w:t>Fondo fiduciario general</w:t>
            </w:r>
          </w:p>
        </w:tc>
        <w:tc>
          <w:tcPr>
            <w:tcW w:w="1426" w:type="dxa"/>
            <w:tcBorders>
              <w:top w:val="single" w:sz="4" w:space="0" w:color="auto"/>
              <w:left w:val="nil"/>
              <w:bottom w:val="single" w:sz="12" w:space="0" w:color="auto"/>
              <w:right w:val="nil"/>
            </w:tcBorders>
            <w:vAlign w:val="bottom"/>
            <w:hideMark/>
          </w:tcPr>
          <w:p w14:paraId="5AE9DA1A" w14:textId="77777777" w:rsidR="00316BC5" w:rsidRPr="00F567E1" w:rsidRDefault="00316BC5" w:rsidP="009A58EE">
            <w:pPr>
              <w:jc w:val="right"/>
              <w:rPr>
                <w:i/>
                <w:iCs/>
                <w:sz w:val="18"/>
                <w:szCs w:val="18"/>
                <w:lang w:val="es-ES_tradnl"/>
              </w:rPr>
            </w:pPr>
            <w:r w:rsidRPr="00F567E1">
              <w:rPr>
                <w:i/>
                <w:iCs/>
                <w:color w:val="000000"/>
                <w:sz w:val="18"/>
                <w:szCs w:val="18"/>
                <w:lang w:val="es-ES_tradnl"/>
              </w:rPr>
              <w:t>Fondo fiduciario especial</w:t>
            </w:r>
          </w:p>
        </w:tc>
        <w:tc>
          <w:tcPr>
            <w:tcW w:w="1842" w:type="dxa"/>
            <w:tcBorders>
              <w:top w:val="single" w:sz="4" w:space="0" w:color="auto"/>
              <w:left w:val="nil"/>
              <w:bottom w:val="single" w:sz="12" w:space="0" w:color="auto"/>
              <w:right w:val="nil"/>
            </w:tcBorders>
            <w:vAlign w:val="bottom"/>
            <w:hideMark/>
          </w:tcPr>
          <w:p w14:paraId="586104D7" w14:textId="45D34D8D" w:rsidR="00316BC5" w:rsidRPr="00F567E1" w:rsidRDefault="00316BC5" w:rsidP="00316BC5">
            <w:pPr>
              <w:jc w:val="right"/>
              <w:rPr>
                <w:i/>
                <w:iCs/>
                <w:sz w:val="18"/>
                <w:szCs w:val="18"/>
                <w:lang w:val="es-ES_tradnl"/>
              </w:rPr>
            </w:pPr>
            <w:r w:rsidRPr="00F567E1">
              <w:rPr>
                <w:i/>
                <w:iCs/>
                <w:color w:val="000000"/>
                <w:sz w:val="18"/>
                <w:szCs w:val="18"/>
                <w:lang w:val="es-ES_tradnl"/>
              </w:rPr>
              <w:t>Gastos de apoyo a los programas del PNUMA</w:t>
            </w:r>
          </w:p>
        </w:tc>
        <w:tc>
          <w:tcPr>
            <w:tcW w:w="1431" w:type="dxa"/>
            <w:tcBorders>
              <w:top w:val="single" w:sz="4" w:space="0" w:color="auto"/>
              <w:left w:val="nil"/>
              <w:bottom w:val="single" w:sz="12" w:space="0" w:color="auto"/>
              <w:right w:val="nil"/>
            </w:tcBorders>
            <w:noWrap/>
            <w:vAlign w:val="bottom"/>
            <w:hideMark/>
          </w:tcPr>
          <w:p w14:paraId="1D038D71" w14:textId="77777777" w:rsidR="00316BC5" w:rsidRPr="00F567E1" w:rsidRDefault="00316BC5" w:rsidP="009A58EE">
            <w:pPr>
              <w:jc w:val="right"/>
              <w:rPr>
                <w:i/>
                <w:iCs/>
                <w:sz w:val="18"/>
                <w:szCs w:val="18"/>
                <w:lang w:val="es-ES_tradnl"/>
              </w:rPr>
            </w:pPr>
            <w:r w:rsidRPr="00F567E1">
              <w:rPr>
                <w:i/>
                <w:iCs/>
                <w:color w:val="000000"/>
                <w:sz w:val="18"/>
                <w:szCs w:val="18"/>
                <w:lang w:val="es-ES_tradnl"/>
              </w:rPr>
              <w:t>Total</w:t>
            </w:r>
          </w:p>
        </w:tc>
      </w:tr>
      <w:tr w:rsidR="00F234CD" w:rsidRPr="00F567E1" w14:paraId="0B204B62" w14:textId="77777777" w:rsidTr="002E102C">
        <w:trPr>
          <w:trHeight w:val="313"/>
          <w:jc w:val="right"/>
        </w:trPr>
        <w:tc>
          <w:tcPr>
            <w:tcW w:w="8307" w:type="dxa"/>
            <w:gridSpan w:val="5"/>
            <w:tcBorders>
              <w:top w:val="single" w:sz="12" w:space="0" w:color="auto"/>
              <w:left w:val="nil"/>
              <w:bottom w:val="nil"/>
              <w:right w:val="nil"/>
            </w:tcBorders>
            <w:noWrap/>
            <w:vAlign w:val="center"/>
            <w:hideMark/>
          </w:tcPr>
          <w:p w14:paraId="09B1F568" w14:textId="77777777" w:rsidR="00312042" w:rsidRPr="00F567E1" w:rsidRDefault="00312042" w:rsidP="009A58EE">
            <w:pPr>
              <w:rPr>
                <w:b/>
                <w:bCs/>
                <w:sz w:val="18"/>
                <w:szCs w:val="18"/>
                <w:lang w:val="es-ES_tradnl"/>
              </w:rPr>
            </w:pPr>
            <w:r w:rsidRPr="00F567E1">
              <w:rPr>
                <w:b/>
                <w:bCs/>
                <w:color w:val="000000"/>
                <w:sz w:val="18"/>
                <w:szCs w:val="18"/>
                <w:lang w:val="es-ES_tradnl"/>
              </w:rPr>
              <w:t>A.</w:t>
            </w:r>
            <w:r w:rsidRPr="00F567E1">
              <w:rPr>
                <w:color w:val="000000"/>
                <w:sz w:val="18"/>
                <w:szCs w:val="18"/>
                <w:lang w:val="es-ES_tradnl"/>
              </w:rPr>
              <w:t xml:space="preserve"> </w:t>
            </w:r>
            <w:r w:rsidRPr="00F567E1">
              <w:rPr>
                <w:b/>
                <w:bCs/>
                <w:color w:val="000000"/>
                <w:sz w:val="18"/>
                <w:szCs w:val="18"/>
                <w:lang w:val="es-ES_tradnl"/>
              </w:rPr>
              <w:t>Cuadro Orgánico</w:t>
            </w:r>
          </w:p>
        </w:tc>
      </w:tr>
      <w:tr w:rsidR="00F234CD" w:rsidRPr="00F567E1" w14:paraId="60D12B02" w14:textId="77777777" w:rsidTr="00E35F69">
        <w:trPr>
          <w:trHeight w:val="298"/>
          <w:jc w:val="right"/>
        </w:trPr>
        <w:tc>
          <w:tcPr>
            <w:tcW w:w="2182" w:type="dxa"/>
            <w:tcBorders>
              <w:top w:val="nil"/>
              <w:left w:val="nil"/>
              <w:bottom w:val="nil"/>
              <w:right w:val="nil"/>
            </w:tcBorders>
            <w:noWrap/>
            <w:vAlign w:val="center"/>
            <w:hideMark/>
          </w:tcPr>
          <w:p w14:paraId="70F8B5B5" w14:textId="77777777" w:rsidR="00312042" w:rsidRPr="00F567E1" w:rsidRDefault="00312042" w:rsidP="009A58EE">
            <w:pPr>
              <w:rPr>
                <w:sz w:val="18"/>
                <w:szCs w:val="18"/>
                <w:lang w:val="es-ES_tradnl"/>
              </w:rPr>
            </w:pPr>
            <w:r w:rsidRPr="00F567E1">
              <w:rPr>
                <w:color w:val="000000"/>
                <w:sz w:val="18"/>
                <w:szCs w:val="18"/>
                <w:lang w:val="es-ES_tradnl"/>
              </w:rPr>
              <w:t>D</w:t>
            </w:r>
            <w:r w:rsidRPr="00F567E1">
              <w:rPr>
                <w:color w:val="000000"/>
                <w:sz w:val="18"/>
                <w:szCs w:val="18"/>
                <w:lang w:val="es-ES_tradnl"/>
              </w:rPr>
              <w:noBreakHyphen/>
              <w:t>1</w:t>
            </w:r>
          </w:p>
        </w:tc>
        <w:tc>
          <w:tcPr>
            <w:tcW w:w="1426" w:type="dxa"/>
            <w:tcBorders>
              <w:top w:val="nil"/>
              <w:left w:val="nil"/>
              <w:bottom w:val="nil"/>
              <w:right w:val="nil"/>
            </w:tcBorders>
            <w:noWrap/>
            <w:vAlign w:val="center"/>
            <w:hideMark/>
          </w:tcPr>
          <w:p w14:paraId="105FC90F" w14:textId="77777777" w:rsidR="00312042" w:rsidRPr="00F567E1" w:rsidRDefault="00312042" w:rsidP="009A58EE">
            <w:pPr>
              <w:jc w:val="right"/>
              <w:rPr>
                <w:sz w:val="18"/>
                <w:szCs w:val="18"/>
                <w:lang w:val="es-ES_tradnl"/>
              </w:rPr>
            </w:pPr>
            <w:r w:rsidRPr="00F567E1">
              <w:rPr>
                <w:color w:val="000000"/>
                <w:sz w:val="18"/>
                <w:szCs w:val="18"/>
                <w:lang w:val="es-ES_tradnl"/>
              </w:rPr>
              <w:t>1</w:t>
            </w:r>
          </w:p>
        </w:tc>
        <w:tc>
          <w:tcPr>
            <w:tcW w:w="1426" w:type="dxa"/>
            <w:tcBorders>
              <w:top w:val="nil"/>
              <w:left w:val="nil"/>
              <w:bottom w:val="nil"/>
              <w:right w:val="nil"/>
            </w:tcBorders>
            <w:noWrap/>
            <w:vAlign w:val="center"/>
            <w:hideMark/>
          </w:tcPr>
          <w:p w14:paraId="45B0F1EE" w14:textId="77777777" w:rsidR="00312042" w:rsidRPr="00F567E1" w:rsidRDefault="00312042" w:rsidP="009A58EE">
            <w:pPr>
              <w:jc w:val="right"/>
              <w:rPr>
                <w:sz w:val="18"/>
                <w:szCs w:val="18"/>
                <w:lang w:val="es-ES_tradnl"/>
              </w:rPr>
            </w:pPr>
          </w:p>
        </w:tc>
        <w:tc>
          <w:tcPr>
            <w:tcW w:w="1842" w:type="dxa"/>
            <w:tcBorders>
              <w:top w:val="nil"/>
              <w:left w:val="nil"/>
              <w:bottom w:val="nil"/>
              <w:right w:val="nil"/>
            </w:tcBorders>
            <w:noWrap/>
            <w:vAlign w:val="center"/>
            <w:hideMark/>
          </w:tcPr>
          <w:p w14:paraId="303E1B1E" w14:textId="77777777" w:rsidR="00312042" w:rsidRPr="00F567E1" w:rsidRDefault="00312042" w:rsidP="009A58EE">
            <w:pPr>
              <w:rPr>
                <w:sz w:val="18"/>
                <w:szCs w:val="18"/>
                <w:lang w:val="es-ES_tradnl"/>
              </w:rPr>
            </w:pPr>
          </w:p>
        </w:tc>
        <w:tc>
          <w:tcPr>
            <w:tcW w:w="1431" w:type="dxa"/>
            <w:tcBorders>
              <w:top w:val="nil"/>
              <w:left w:val="nil"/>
              <w:bottom w:val="nil"/>
              <w:right w:val="nil"/>
            </w:tcBorders>
            <w:noWrap/>
            <w:vAlign w:val="center"/>
            <w:hideMark/>
          </w:tcPr>
          <w:p w14:paraId="59A317B4" w14:textId="77777777" w:rsidR="00312042" w:rsidRPr="00F567E1" w:rsidRDefault="00312042" w:rsidP="009A58EE">
            <w:pPr>
              <w:jc w:val="right"/>
              <w:rPr>
                <w:sz w:val="18"/>
                <w:szCs w:val="18"/>
                <w:lang w:val="es-ES_tradnl"/>
              </w:rPr>
            </w:pPr>
            <w:r w:rsidRPr="00F567E1">
              <w:rPr>
                <w:color w:val="000000"/>
                <w:sz w:val="18"/>
                <w:szCs w:val="18"/>
                <w:lang w:val="es-ES_tradnl"/>
              </w:rPr>
              <w:t>1</w:t>
            </w:r>
          </w:p>
        </w:tc>
      </w:tr>
      <w:tr w:rsidR="00F234CD" w:rsidRPr="00F567E1" w14:paraId="71FB355D" w14:textId="77777777" w:rsidTr="00E35F69">
        <w:trPr>
          <w:trHeight w:val="298"/>
          <w:jc w:val="right"/>
        </w:trPr>
        <w:tc>
          <w:tcPr>
            <w:tcW w:w="2182" w:type="dxa"/>
            <w:tcBorders>
              <w:top w:val="nil"/>
              <w:left w:val="nil"/>
              <w:bottom w:val="nil"/>
              <w:right w:val="nil"/>
            </w:tcBorders>
            <w:noWrap/>
            <w:vAlign w:val="center"/>
            <w:hideMark/>
          </w:tcPr>
          <w:p w14:paraId="536BC4AA" w14:textId="77777777" w:rsidR="00312042" w:rsidRPr="00F567E1" w:rsidRDefault="00312042" w:rsidP="009A58EE">
            <w:pPr>
              <w:rPr>
                <w:sz w:val="18"/>
                <w:szCs w:val="18"/>
                <w:lang w:val="es-ES_tradnl"/>
              </w:rPr>
            </w:pPr>
            <w:r w:rsidRPr="00F567E1">
              <w:rPr>
                <w:color w:val="000000"/>
                <w:sz w:val="18"/>
                <w:szCs w:val="18"/>
                <w:lang w:val="es-ES_tradnl"/>
              </w:rPr>
              <w:t>P</w:t>
            </w:r>
            <w:r w:rsidRPr="00F567E1">
              <w:rPr>
                <w:color w:val="000000"/>
                <w:sz w:val="18"/>
                <w:szCs w:val="18"/>
                <w:lang w:val="es-ES_tradnl"/>
              </w:rPr>
              <w:noBreakHyphen/>
              <w:t>5</w:t>
            </w:r>
          </w:p>
        </w:tc>
        <w:tc>
          <w:tcPr>
            <w:tcW w:w="1426" w:type="dxa"/>
            <w:tcBorders>
              <w:top w:val="nil"/>
              <w:left w:val="nil"/>
              <w:bottom w:val="nil"/>
              <w:right w:val="nil"/>
            </w:tcBorders>
            <w:noWrap/>
            <w:vAlign w:val="center"/>
            <w:hideMark/>
          </w:tcPr>
          <w:p w14:paraId="68649EE6" w14:textId="77777777" w:rsidR="00312042" w:rsidRPr="00F567E1" w:rsidRDefault="00312042" w:rsidP="009A58EE">
            <w:pPr>
              <w:jc w:val="right"/>
              <w:rPr>
                <w:sz w:val="18"/>
                <w:szCs w:val="18"/>
                <w:lang w:val="es-ES_tradnl"/>
              </w:rPr>
            </w:pPr>
            <w:r w:rsidRPr="00F567E1">
              <w:rPr>
                <w:color w:val="000000"/>
                <w:sz w:val="18"/>
                <w:szCs w:val="18"/>
                <w:lang w:val="es-ES_tradnl"/>
              </w:rPr>
              <w:t>1</w:t>
            </w:r>
          </w:p>
        </w:tc>
        <w:tc>
          <w:tcPr>
            <w:tcW w:w="1426" w:type="dxa"/>
            <w:tcBorders>
              <w:top w:val="nil"/>
              <w:left w:val="nil"/>
              <w:bottom w:val="nil"/>
              <w:right w:val="nil"/>
            </w:tcBorders>
            <w:noWrap/>
            <w:vAlign w:val="center"/>
            <w:hideMark/>
          </w:tcPr>
          <w:p w14:paraId="7730C208" w14:textId="77777777" w:rsidR="00312042" w:rsidRPr="00F567E1" w:rsidRDefault="00312042" w:rsidP="009A58EE">
            <w:pPr>
              <w:jc w:val="right"/>
              <w:rPr>
                <w:sz w:val="18"/>
                <w:szCs w:val="18"/>
                <w:lang w:val="es-ES_tradnl"/>
              </w:rPr>
            </w:pPr>
            <w:r w:rsidRPr="00F567E1">
              <w:rPr>
                <w:color w:val="000000"/>
                <w:sz w:val="18"/>
                <w:szCs w:val="18"/>
                <w:lang w:val="es-ES_tradnl"/>
              </w:rPr>
              <w:t>1</w:t>
            </w:r>
          </w:p>
        </w:tc>
        <w:tc>
          <w:tcPr>
            <w:tcW w:w="1842" w:type="dxa"/>
            <w:tcBorders>
              <w:top w:val="nil"/>
              <w:left w:val="nil"/>
              <w:bottom w:val="nil"/>
              <w:right w:val="nil"/>
            </w:tcBorders>
            <w:noWrap/>
            <w:vAlign w:val="center"/>
            <w:hideMark/>
          </w:tcPr>
          <w:p w14:paraId="24909D00" w14:textId="77777777" w:rsidR="00312042" w:rsidRPr="00F567E1" w:rsidRDefault="00312042" w:rsidP="009A58EE">
            <w:pPr>
              <w:jc w:val="right"/>
              <w:rPr>
                <w:sz w:val="18"/>
                <w:szCs w:val="18"/>
                <w:lang w:val="es-ES_tradnl"/>
              </w:rPr>
            </w:pPr>
          </w:p>
        </w:tc>
        <w:tc>
          <w:tcPr>
            <w:tcW w:w="1431" w:type="dxa"/>
            <w:tcBorders>
              <w:top w:val="nil"/>
              <w:left w:val="nil"/>
              <w:bottom w:val="nil"/>
              <w:right w:val="nil"/>
            </w:tcBorders>
            <w:noWrap/>
            <w:vAlign w:val="center"/>
            <w:hideMark/>
          </w:tcPr>
          <w:p w14:paraId="5AE3D8A6" w14:textId="77777777" w:rsidR="00312042" w:rsidRPr="00F567E1" w:rsidRDefault="00312042" w:rsidP="009A58EE">
            <w:pPr>
              <w:jc w:val="right"/>
              <w:rPr>
                <w:sz w:val="18"/>
                <w:szCs w:val="18"/>
                <w:lang w:val="es-ES_tradnl"/>
              </w:rPr>
            </w:pPr>
            <w:r w:rsidRPr="00F567E1">
              <w:rPr>
                <w:color w:val="000000"/>
                <w:sz w:val="18"/>
                <w:szCs w:val="18"/>
                <w:lang w:val="es-ES_tradnl"/>
              </w:rPr>
              <w:t>2</w:t>
            </w:r>
          </w:p>
        </w:tc>
      </w:tr>
      <w:tr w:rsidR="00F234CD" w:rsidRPr="00F567E1" w14:paraId="2271FBBE" w14:textId="77777777" w:rsidTr="00E35F69">
        <w:trPr>
          <w:trHeight w:val="298"/>
          <w:jc w:val="right"/>
        </w:trPr>
        <w:tc>
          <w:tcPr>
            <w:tcW w:w="2182" w:type="dxa"/>
            <w:tcBorders>
              <w:top w:val="nil"/>
              <w:left w:val="nil"/>
              <w:bottom w:val="nil"/>
              <w:right w:val="nil"/>
            </w:tcBorders>
            <w:noWrap/>
            <w:vAlign w:val="center"/>
            <w:hideMark/>
          </w:tcPr>
          <w:p w14:paraId="4D3B218D" w14:textId="77777777" w:rsidR="00312042" w:rsidRPr="00F567E1" w:rsidRDefault="00312042" w:rsidP="009A58EE">
            <w:pPr>
              <w:rPr>
                <w:sz w:val="18"/>
                <w:szCs w:val="18"/>
                <w:lang w:val="es-ES_tradnl"/>
              </w:rPr>
            </w:pPr>
            <w:r w:rsidRPr="00F567E1">
              <w:rPr>
                <w:color w:val="000000"/>
                <w:sz w:val="18"/>
                <w:szCs w:val="18"/>
                <w:lang w:val="es-ES_tradnl"/>
              </w:rPr>
              <w:t>P</w:t>
            </w:r>
            <w:r w:rsidRPr="00F567E1">
              <w:rPr>
                <w:color w:val="000000"/>
                <w:sz w:val="18"/>
                <w:szCs w:val="18"/>
                <w:lang w:val="es-ES_tradnl"/>
              </w:rPr>
              <w:noBreakHyphen/>
              <w:t>4</w:t>
            </w:r>
          </w:p>
        </w:tc>
        <w:tc>
          <w:tcPr>
            <w:tcW w:w="1426" w:type="dxa"/>
            <w:tcBorders>
              <w:top w:val="nil"/>
              <w:left w:val="nil"/>
              <w:bottom w:val="nil"/>
              <w:right w:val="nil"/>
            </w:tcBorders>
            <w:noWrap/>
            <w:vAlign w:val="center"/>
            <w:hideMark/>
          </w:tcPr>
          <w:p w14:paraId="7083064C" w14:textId="77777777" w:rsidR="00312042" w:rsidRPr="00F567E1" w:rsidRDefault="00312042" w:rsidP="009A58EE">
            <w:pPr>
              <w:jc w:val="right"/>
              <w:rPr>
                <w:sz w:val="18"/>
                <w:szCs w:val="18"/>
                <w:lang w:val="es-ES_tradnl"/>
              </w:rPr>
            </w:pPr>
            <w:r w:rsidRPr="00F567E1">
              <w:rPr>
                <w:color w:val="000000"/>
                <w:sz w:val="18"/>
                <w:szCs w:val="18"/>
                <w:lang w:val="es-ES_tradnl"/>
              </w:rPr>
              <w:t>3</w:t>
            </w:r>
          </w:p>
        </w:tc>
        <w:tc>
          <w:tcPr>
            <w:tcW w:w="1426" w:type="dxa"/>
            <w:tcBorders>
              <w:top w:val="nil"/>
              <w:left w:val="nil"/>
              <w:bottom w:val="nil"/>
              <w:right w:val="nil"/>
            </w:tcBorders>
            <w:noWrap/>
            <w:vAlign w:val="center"/>
            <w:hideMark/>
          </w:tcPr>
          <w:p w14:paraId="6D9576E9" w14:textId="77777777" w:rsidR="00312042" w:rsidRPr="00F567E1" w:rsidRDefault="00312042" w:rsidP="009A58EE">
            <w:pPr>
              <w:jc w:val="right"/>
              <w:rPr>
                <w:sz w:val="18"/>
                <w:szCs w:val="18"/>
                <w:lang w:val="es-ES_tradnl"/>
              </w:rPr>
            </w:pPr>
          </w:p>
        </w:tc>
        <w:tc>
          <w:tcPr>
            <w:tcW w:w="1842" w:type="dxa"/>
            <w:tcBorders>
              <w:top w:val="nil"/>
              <w:left w:val="nil"/>
              <w:bottom w:val="nil"/>
              <w:right w:val="nil"/>
            </w:tcBorders>
            <w:noWrap/>
            <w:vAlign w:val="center"/>
            <w:hideMark/>
          </w:tcPr>
          <w:p w14:paraId="19FFB8AA" w14:textId="77777777" w:rsidR="00312042" w:rsidRPr="00F567E1" w:rsidRDefault="00312042" w:rsidP="009A58EE">
            <w:pPr>
              <w:jc w:val="right"/>
              <w:rPr>
                <w:sz w:val="18"/>
                <w:szCs w:val="18"/>
                <w:lang w:val="es-ES_tradnl"/>
              </w:rPr>
            </w:pPr>
            <w:r w:rsidRPr="00F567E1">
              <w:rPr>
                <w:color w:val="000000"/>
                <w:sz w:val="18"/>
                <w:szCs w:val="18"/>
                <w:lang w:val="es-ES_tradnl"/>
              </w:rPr>
              <w:t>1</w:t>
            </w:r>
          </w:p>
        </w:tc>
        <w:tc>
          <w:tcPr>
            <w:tcW w:w="1431" w:type="dxa"/>
            <w:tcBorders>
              <w:top w:val="nil"/>
              <w:left w:val="nil"/>
              <w:bottom w:val="nil"/>
              <w:right w:val="nil"/>
            </w:tcBorders>
            <w:noWrap/>
            <w:vAlign w:val="center"/>
            <w:hideMark/>
          </w:tcPr>
          <w:p w14:paraId="025C1A84" w14:textId="77777777" w:rsidR="00312042" w:rsidRPr="00F567E1" w:rsidRDefault="00312042" w:rsidP="009A58EE">
            <w:pPr>
              <w:jc w:val="right"/>
              <w:rPr>
                <w:sz w:val="18"/>
                <w:szCs w:val="18"/>
                <w:lang w:val="es-ES_tradnl"/>
              </w:rPr>
            </w:pPr>
            <w:r w:rsidRPr="00F567E1">
              <w:rPr>
                <w:color w:val="000000"/>
                <w:sz w:val="18"/>
                <w:szCs w:val="18"/>
                <w:lang w:val="es-ES_tradnl"/>
              </w:rPr>
              <w:t>4</w:t>
            </w:r>
          </w:p>
        </w:tc>
      </w:tr>
      <w:tr w:rsidR="00F234CD" w:rsidRPr="00F567E1" w14:paraId="63603BC5" w14:textId="77777777" w:rsidTr="00E35F69">
        <w:trPr>
          <w:trHeight w:val="298"/>
          <w:jc w:val="right"/>
        </w:trPr>
        <w:tc>
          <w:tcPr>
            <w:tcW w:w="2182" w:type="dxa"/>
            <w:tcBorders>
              <w:top w:val="nil"/>
              <w:left w:val="nil"/>
              <w:bottom w:val="nil"/>
              <w:right w:val="nil"/>
            </w:tcBorders>
            <w:noWrap/>
            <w:vAlign w:val="center"/>
            <w:hideMark/>
          </w:tcPr>
          <w:p w14:paraId="09D36DF0" w14:textId="77777777" w:rsidR="00312042" w:rsidRPr="00F567E1" w:rsidRDefault="00312042" w:rsidP="009A58EE">
            <w:pPr>
              <w:rPr>
                <w:sz w:val="18"/>
                <w:szCs w:val="18"/>
                <w:lang w:val="es-ES_tradnl"/>
              </w:rPr>
            </w:pPr>
            <w:r w:rsidRPr="00F567E1">
              <w:rPr>
                <w:color w:val="000000"/>
                <w:sz w:val="18"/>
                <w:szCs w:val="18"/>
                <w:lang w:val="es-ES_tradnl"/>
              </w:rPr>
              <w:t>P</w:t>
            </w:r>
            <w:r w:rsidRPr="00F567E1">
              <w:rPr>
                <w:color w:val="000000"/>
                <w:sz w:val="18"/>
                <w:szCs w:val="18"/>
                <w:lang w:val="es-ES_tradnl"/>
              </w:rPr>
              <w:noBreakHyphen/>
              <w:t>3</w:t>
            </w:r>
          </w:p>
        </w:tc>
        <w:tc>
          <w:tcPr>
            <w:tcW w:w="1426" w:type="dxa"/>
            <w:tcBorders>
              <w:top w:val="nil"/>
              <w:left w:val="nil"/>
              <w:bottom w:val="nil"/>
              <w:right w:val="nil"/>
            </w:tcBorders>
            <w:noWrap/>
            <w:vAlign w:val="center"/>
            <w:hideMark/>
          </w:tcPr>
          <w:p w14:paraId="0F2D465D" w14:textId="77777777" w:rsidR="00312042" w:rsidRPr="00F567E1" w:rsidRDefault="00312042" w:rsidP="009A58EE">
            <w:pPr>
              <w:jc w:val="right"/>
              <w:rPr>
                <w:sz w:val="18"/>
                <w:szCs w:val="18"/>
                <w:lang w:val="es-ES_tradnl"/>
              </w:rPr>
            </w:pPr>
            <w:r w:rsidRPr="00F567E1">
              <w:rPr>
                <w:color w:val="000000"/>
                <w:sz w:val="18"/>
                <w:szCs w:val="18"/>
                <w:lang w:val="es-ES_tradnl"/>
              </w:rPr>
              <w:t>2</w:t>
            </w:r>
          </w:p>
        </w:tc>
        <w:tc>
          <w:tcPr>
            <w:tcW w:w="1426" w:type="dxa"/>
            <w:tcBorders>
              <w:top w:val="nil"/>
              <w:left w:val="nil"/>
              <w:bottom w:val="nil"/>
              <w:right w:val="nil"/>
            </w:tcBorders>
            <w:noWrap/>
            <w:vAlign w:val="center"/>
            <w:hideMark/>
          </w:tcPr>
          <w:p w14:paraId="56F11DC6" w14:textId="77777777" w:rsidR="00312042" w:rsidRPr="00F567E1" w:rsidRDefault="00312042" w:rsidP="009A58EE">
            <w:pPr>
              <w:jc w:val="right"/>
              <w:rPr>
                <w:sz w:val="18"/>
                <w:szCs w:val="18"/>
                <w:lang w:val="es-ES_tradnl"/>
              </w:rPr>
            </w:pPr>
          </w:p>
        </w:tc>
        <w:tc>
          <w:tcPr>
            <w:tcW w:w="1842" w:type="dxa"/>
            <w:tcBorders>
              <w:top w:val="nil"/>
              <w:left w:val="nil"/>
              <w:bottom w:val="nil"/>
              <w:right w:val="nil"/>
            </w:tcBorders>
            <w:noWrap/>
            <w:vAlign w:val="center"/>
            <w:hideMark/>
          </w:tcPr>
          <w:p w14:paraId="7B101369" w14:textId="77777777" w:rsidR="00312042" w:rsidRPr="00F567E1" w:rsidRDefault="00312042" w:rsidP="009A58EE">
            <w:pPr>
              <w:rPr>
                <w:sz w:val="18"/>
                <w:szCs w:val="18"/>
                <w:lang w:val="es-ES_tradnl"/>
              </w:rPr>
            </w:pPr>
          </w:p>
        </w:tc>
        <w:tc>
          <w:tcPr>
            <w:tcW w:w="1431" w:type="dxa"/>
            <w:tcBorders>
              <w:top w:val="nil"/>
              <w:left w:val="nil"/>
              <w:bottom w:val="nil"/>
              <w:right w:val="nil"/>
            </w:tcBorders>
            <w:noWrap/>
            <w:vAlign w:val="center"/>
            <w:hideMark/>
          </w:tcPr>
          <w:p w14:paraId="32C5A539" w14:textId="77777777" w:rsidR="00312042" w:rsidRPr="00F567E1" w:rsidRDefault="00312042" w:rsidP="009A58EE">
            <w:pPr>
              <w:jc w:val="right"/>
              <w:rPr>
                <w:sz w:val="18"/>
                <w:szCs w:val="18"/>
                <w:lang w:val="es-ES_tradnl"/>
              </w:rPr>
            </w:pPr>
            <w:r w:rsidRPr="00F567E1">
              <w:rPr>
                <w:color w:val="000000"/>
                <w:sz w:val="18"/>
                <w:szCs w:val="18"/>
                <w:lang w:val="es-ES_tradnl"/>
              </w:rPr>
              <w:t>2</w:t>
            </w:r>
          </w:p>
        </w:tc>
      </w:tr>
      <w:tr w:rsidR="00F234CD" w:rsidRPr="00F567E1" w14:paraId="46E33DFD" w14:textId="77777777" w:rsidTr="002E102C">
        <w:trPr>
          <w:trHeight w:val="313"/>
          <w:jc w:val="right"/>
        </w:trPr>
        <w:tc>
          <w:tcPr>
            <w:tcW w:w="2182" w:type="dxa"/>
            <w:tcBorders>
              <w:top w:val="nil"/>
              <w:left w:val="nil"/>
              <w:bottom w:val="single" w:sz="4" w:space="0" w:color="auto"/>
              <w:right w:val="nil"/>
            </w:tcBorders>
            <w:noWrap/>
            <w:vAlign w:val="center"/>
            <w:hideMark/>
          </w:tcPr>
          <w:p w14:paraId="7DE1DA04" w14:textId="56530405" w:rsidR="00312042" w:rsidRPr="00F567E1" w:rsidRDefault="00312042" w:rsidP="009A58EE">
            <w:pPr>
              <w:rPr>
                <w:sz w:val="18"/>
                <w:szCs w:val="18"/>
                <w:lang w:val="es-ES_tradnl"/>
              </w:rPr>
            </w:pPr>
            <w:r w:rsidRPr="00F567E1">
              <w:rPr>
                <w:color w:val="000000"/>
                <w:sz w:val="18"/>
                <w:szCs w:val="18"/>
                <w:lang w:val="es-ES_tradnl"/>
              </w:rPr>
              <w:t>P</w:t>
            </w:r>
            <w:r w:rsidRPr="00F567E1">
              <w:rPr>
                <w:color w:val="000000"/>
                <w:sz w:val="18"/>
                <w:szCs w:val="18"/>
                <w:lang w:val="es-ES_tradnl"/>
              </w:rPr>
              <w:noBreakHyphen/>
              <w:t>2</w:t>
            </w:r>
            <w:r w:rsidRPr="00F567E1">
              <w:rPr>
                <w:i/>
                <w:iCs/>
                <w:color w:val="000000"/>
                <w:sz w:val="18"/>
                <w:szCs w:val="18"/>
                <w:vertAlign w:val="superscript"/>
                <w:lang w:val="es-ES_tradnl"/>
              </w:rPr>
              <w:t>a</w:t>
            </w:r>
          </w:p>
        </w:tc>
        <w:tc>
          <w:tcPr>
            <w:tcW w:w="1426" w:type="dxa"/>
            <w:tcBorders>
              <w:top w:val="nil"/>
              <w:left w:val="nil"/>
              <w:bottom w:val="single" w:sz="4" w:space="0" w:color="auto"/>
              <w:right w:val="nil"/>
            </w:tcBorders>
            <w:noWrap/>
            <w:vAlign w:val="center"/>
            <w:hideMark/>
          </w:tcPr>
          <w:p w14:paraId="5C75C968" w14:textId="77777777" w:rsidR="00312042" w:rsidRPr="00F567E1" w:rsidRDefault="00312042" w:rsidP="009A58EE">
            <w:pPr>
              <w:rPr>
                <w:sz w:val="18"/>
                <w:szCs w:val="18"/>
                <w:lang w:val="es-ES_tradnl"/>
              </w:rPr>
            </w:pPr>
          </w:p>
        </w:tc>
        <w:tc>
          <w:tcPr>
            <w:tcW w:w="1426" w:type="dxa"/>
            <w:tcBorders>
              <w:top w:val="nil"/>
              <w:left w:val="nil"/>
              <w:bottom w:val="single" w:sz="4" w:space="0" w:color="auto"/>
              <w:right w:val="nil"/>
            </w:tcBorders>
            <w:noWrap/>
            <w:vAlign w:val="center"/>
            <w:hideMark/>
          </w:tcPr>
          <w:p w14:paraId="2DBC81A9" w14:textId="77777777" w:rsidR="00312042" w:rsidRPr="00F567E1" w:rsidRDefault="00312042" w:rsidP="009A58EE">
            <w:pPr>
              <w:rPr>
                <w:sz w:val="18"/>
                <w:szCs w:val="18"/>
                <w:lang w:val="es-ES_tradnl"/>
              </w:rPr>
            </w:pPr>
          </w:p>
        </w:tc>
        <w:tc>
          <w:tcPr>
            <w:tcW w:w="1842" w:type="dxa"/>
            <w:tcBorders>
              <w:top w:val="nil"/>
              <w:left w:val="nil"/>
              <w:bottom w:val="single" w:sz="4" w:space="0" w:color="auto"/>
              <w:right w:val="nil"/>
            </w:tcBorders>
            <w:noWrap/>
            <w:vAlign w:val="center"/>
            <w:hideMark/>
          </w:tcPr>
          <w:p w14:paraId="33C6F2EF" w14:textId="77777777" w:rsidR="00312042" w:rsidRPr="00F567E1" w:rsidRDefault="00312042" w:rsidP="009A58EE">
            <w:pPr>
              <w:jc w:val="right"/>
              <w:rPr>
                <w:sz w:val="18"/>
                <w:szCs w:val="18"/>
                <w:lang w:val="es-ES_tradnl"/>
              </w:rPr>
            </w:pPr>
            <w:r w:rsidRPr="00F567E1">
              <w:rPr>
                <w:color w:val="000000"/>
                <w:sz w:val="18"/>
                <w:szCs w:val="18"/>
                <w:lang w:val="es-ES_tradnl"/>
              </w:rPr>
              <w:t>1</w:t>
            </w:r>
          </w:p>
        </w:tc>
        <w:tc>
          <w:tcPr>
            <w:tcW w:w="1431" w:type="dxa"/>
            <w:tcBorders>
              <w:top w:val="nil"/>
              <w:left w:val="nil"/>
              <w:bottom w:val="single" w:sz="4" w:space="0" w:color="auto"/>
              <w:right w:val="nil"/>
            </w:tcBorders>
            <w:noWrap/>
            <w:vAlign w:val="center"/>
            <w:hideMark/>
          </w:tcPr>
          <w:p w14:paraId="726279B0" w14:textId="77777777" w:rsidR="00312042" w:rsidRPr="00F567E1" w:rsidRDefault="00312042" w:rsidP="009A58EE">
            <w:pPr>
              <w:jc w:val="right"/>
              <w:rPr>
                <w:sz w:val="18"/>
                <w:szCs w:val="18"/>
                <w:lang w:val="es-ES_tradnl"/>
              </w:rPr>
            </w:pPr>
            <w:r w:rsidRPr="00F567E1">
              <w:rPr>
                <w:color w:val="000000"/>
                <w:sz w:val="18"/>
                <w:szCs w:val="18"/>
                <w:lang w:val="es-ES_tradnl"/>
              </w:rPr>
              <w:t>1</w:t>
            </w:r>
          </w:p>
        </w:tc>
      </w:tr>
      <w:tr w:rsidR="00F234CD" w:rsidRPr="00F567E1" w14:paraId="27EE98BD" w14:textId="77777777" w:rsidTr="002E102C">
        <w:trPr>
          <w:trHeight w:val="313"/>
          <w:jc w:val="right"/>
        </w:trPr>
        <w:tc>
          <w:tcPr>
            <w:tcW w:w="2182" w:type="dxa"/>
            <w:tcBorders>
              <w:top w:val="single" w:sz="4" w:space="0" w:color="auto"/>
              <w:left w:val="nil"/>
              <w:bottom w:val="single" w:sz="4" w:space="0" w:color="auto"/>
              <w:right w:val="nil"/>
            </w:tcBorders>
            <w:noWrap/>
            <w:vAlign w:val="center"/>
            <w:hideMark/>
          </w:tcPr>
          <w:p w14:paraId="16CDDFDD" w14:textId="77777777" w:rsidR="00312042" w:rsidRPr="00F567E1" w:rsidRDefault="00312042" w:rsidP="009A58EE">
            <w:pPr>
              <w:rPr>
                <w:b/>
                <w:bCs/>
                <w:sz w:val="18"/>
                <w:szCs w:val="18"/>
                <w:lang w:val="es-ES_tradnl"/>
              </w:rPr>
            </w:pPr>
            <w:r w:rsidRPr="00F567E1">
              <w:rPr>
                <w:b/>
                <w:bCs/>
                <w:color w:val="000000"/>
                <w:sz w:val="18"/>
                <w:szCs w:val="18"/>
                <w:lang w:val="es-ES_tradnl"/>
              </w:rPr>
              <w:t>Total parcial (A)</w:t>
            </w:r>
          </w:p>
        </w:tc>
        <w:tc>
          <w:tcPr>
            <w:tcW w:w="1426" w:type="dxa"/>
            <w:tcBorders>
              <w:top w:val="single" w:sz="4" w:space="0" w:color="auto"/>
              <w:left w:val="nil"/>
              <w:bottom w:val="single" w:sz="4" w:space="0" w:color="auto"/>
              <w:right w:val="nil"/>
            </w:tcBorders>
            <w:noWrap/>
            <w:vAlign w:val="center"/>
            <w:hideMark/>
          </w:tcPr>
          <w:p w14:paraId="7311E9AA"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7</w:t>
            </w:r>
          </w:p>
        </w:tc>
        <w:tc>
          <w:tcPr>
            <w:tcW w:w="1426" w:type="dxa"/>
            <w:tcBorders>
              <w:top w:val="single" w:sz="4" w:space="0" w:color="auto"/>
              <w:left w:val="nil"/>
              <w:bottom w:val="single" w:sz="4" w:space="0" w:color="auto"/>
              <w:right w:val="nil"/>
            </w:tcBorders>
            <w:noWrap/>
            <w:vAlign w:val="center"/>
            <w:hideMark/>
          </w:tcPr>
          <w:p w14:paraId="113E0A6F"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1</w:t>
            </w:r>
          </w:p>
        </w:tc>
        <w:tc>
          <w:tcPr>
            <w:tcW w:w="1842" w:type="dxa"/>
            <w:tcBorders>
              <w:top w:val="single" w:sz="4" w:space="0" w:color="auto"/>
              <w:left w:val="nil"/>
              <w:bottom w:val="single" w:sz="4" w:space="0" w:color="auto"/>
              <w:right w:val="nil"/>
            </w:tcBorders>
            <w:noWrap/>
            <w:vAlign w:val="center"/>
            <w:hideMark/>
          </w:tcPr>
          <w:p w14:paraId="1422F88D"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2</w:t>
            </w:r>
          </w:p>
        </w:tc>
        <w:tc>
          <w:tcPr>
            <w:tcW w:w="1431" w:type="dxa"/>
            <w:tcBorders>
              <w:top w:val="single" w:sz="4" w:space="0" w:color="auto"/>
              <w:left w:val="nil"/>
              <w:bottom w:val="single" w:sz="4" w:space="0" w:color="auto"/>
              <w:right w:val="nil"/>
            </w:tcBorders>
            <w:noWrap/>
            <w:vAlign w:val="center"/>
            <w:hideMark/>
          </w:tcPr>
          <w:p w14:paraId="1CA603DB"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10</w:t>
            </w:r>
          </w:p>
        </w:tc>
      </w:tr>
      <w:tr w:rsidR="00F234CD" w:rsidRPr="00F567E1" w14:paraId="7CFC81BF" w14:textId="77777777" w:rsidTr="002E102C">
        <w:trPr>
          <w:trHeight w:val="313"/>
          <w:jc w:val="right"/>
        </w:trPr>
        <w:tc>
          <w:tcPr>
            <w:tcW w:w="8307" w:type="dxa"/>
            <w:gridSpan w:val="5"/>
            <w:tcBorders>
              <w:top w:val="single" w:sz="4" w:space="0" w:color="auto"/>
              <w:left w:val="nil"/>
              <w:bottom w:val="single" w:sz="4" w:space="0" w:color="auto"/>
              <w:right w:val="nil"/>
            </w:tcBorders>
            <w:noWrap/>
            <w:vAlign w:val="center"/>
            <w:hideMark/>
          </w:tcPr>
          <w:p w14:paraId="07665CA3" w14:textId="77777777" w:rsidR="00312042" w:rsidRPr="00F567E1" w:rsidRDefault="00312042" w:rsidP="009A58EE">
            <w:pPr>
              <w:rPr>
                <w:b/>
                <w:bCs/>
                <w:sz w:val="18"/>
                <w:szCs w:val="18"/>
                <w:lang w:val="es-ES_tradnl"/>
              </w:rPr>
            </w:pPr>
            <w:r w:rsidRPr="00F567E1">
              <w:rPr>
                <w:b/>
                <w:bCs/>
                <w:color w:val="000000"/>
                <w:sz w:val="18"/>
                <w:szCs w:val="18"/>
                <w:lang w:val="es-ES_tradnl"/>
              </w:rPr>
              <w:t>B.</w:t>
            </w:r>
            <w:r w:rsidRPr="00F567E1">
              <w:rPr>
                <w:color w:val="000000"/>
                <w:sz w:val="18"/>
                <w:szCs w:val="18"/>
                <w:lang w:val="es-ES_tradnl"/>
              </w:rPr>
              <w:t xml:space="preserve"> </w:t>
            </w:r>
            <w:r w:rsidRPr="00F567E1">
              <w:rPr>
                <w:b/>
                <w:bCs/>
                <w:color w:val="000000"/>
                <w:sz w:val="18"/>
                <w:szCs w:val="18"/>
                <w:lang w:val="es-ES_tradnl"/>
              </w:rPr>
              <w:t>Cuadro de Servicios Generales</w:t>
            </w:r>
          </w:p>
        </w:tc>
      </w:tr>
      <w:tr w:rsidR="00F234CD" w:rsidRPr="00F567E1" w14:paraId="768198F1" w14:textId="77777777" w:rsidTr="004C2F27">
        <w:trPr>
          <w:trHeight w:val="313"/>
          <w:jc w:val="right"/>
        </w:trPr>
        <w:tc>
          <w:tcPr>
            <w:tcW w:w="2182" w:type="dxa"/>
            <w:tcBorders>
              <w:top w:val="single" w:sz="4" w:space="0" w:color="auto"/>
              <w:left w:val="nil"/>
              <w:bottom w:val="single" w:sz="4" w:space="0" w:color="auto"/>
              <w:right w:val="nil"/>
            </w:tcBorders>
            <w:noWrap/>
            <w:vAlign w:val="center"/>
            <w:hideMark/>
          </w:tcPr>
          <w:p w14:paraId="7E0A86DA" w14:textId="49CE1FF0" w:rsidR="00312042" w:rsidRPr="00F567E1" w:rsidRDefault="00312042" w:rsidP="009A58EE">
            <w:pPr>
              <w:rPr>
                <w:sz w:val="18"/>
                <w:szCs w:val="18"/>
                <w:lang w:val="es-ES_tradnl"/>
              </w:rPr>
            </w:pPr>
            <w:proofErr w:type="spellStart"/>
            <w:r w:rsidRPr="00F567E1">
              <w:rPr>
                <w:color w:val="000000"/>
                <w:sz w:val="18"/>
                <w:szCs w:val="18"/>
                <w:lang w:val="es-ES_tradnl"/>
              </w:rPr>
              <w:t>SG</w:t>
            </w:r>
            <w:r w:rsidRPr="00F567E1">
              <w:rPr>
                <w:i/>
                <w:iCs/>
                <w:color w:val="000000"/>
                <w:sz w:val="18"/>
                <w:szCs w:val="18"/>
                <w:vertAlign w:val="superscript"/>
                <w:lang w:val="es-ES_tradnl"/>
              </w:rPr>
              <w:t>b</w:t>
            </w:r>
            <w:proofErr w:type="spellEnd"/>
          </w:p>
        </w:tc>
        <w:tc>
          <w:tcPr>
            <w:tcW w:w="1426" w:type="dxa"/>
            <w:tcBorders>
              <w:top w:val="single" w:sz="4" w:space="0" w:color="auto"/>
              <w:left w:val="nil"/>
              <w:bottom w:val="single" w:sz="4" w:space="0" w:color="auto"/>
              <w:right w:val="nil"/>
            </w:tcBorders>
            <w:noWrap/>
            <w:vAlign w:val="center"/>
            <w:hideMark/>
          </w:tcPr>
          <w:p w14:paraId="74E44CCF" w14:textId="77777777" w:rsidR="00312042" w:rsidRPr="00F567E1" w:rsidRDefault="00312042" w:rsidP="009A58EE">
            <w:pPr>
              <w:jc w:val="right"/>
              <w:rPr>
                <w:sz w:val="18"/>
                <w:szCs w:val="18"/>
                <w:lang w:val="es-ES_tradnl"/>
              </w:rPr>
            </w:pPr>
            <w:r w:rsidRPr="00F567E1">
              <w:rPr>
                <w:color w:val="000000"/>
                <w:sz w:val="18"/>
                <w:szCs w:val="18"/>
                <w:lang w:val="es-ES_tradnl"/>
              </w:rPr>
              <w:t>4</w:t>
            </w:r>
          </w:p>
        </w:tc>
        <w:tc>
          <w:tcPr>
            <w:tcW w:w="1426" w:type="dxa"/>
            <w:tcBorders>
              <w:top w:val="single" w:sz="4" w:space="0" w:color="auto"/>
              <w:left w:val="nil"/>
              <w:bottom w:val="single" w:sz="4" w:space="0" w:color="auto"/>
              <w:right w:val="nil"/>
            </w:tcBorders>
            <w:noWrap/>
            <w:vAlign w:val="center"/>
            <w:hideMark/>
          </w:tcPr>
          <w:p w14:paraId="75638586" w14:textId="77777777" w:rsidR="00312042" w:rsidRPr="00F567E1" w:rsidRDefault="00312042" w:rsidP="009A58EE">
            <w:pPr>
              <w:jc w:val="right"/>
              <w:rPr>
                <w:sz w:val="18"/>
                <w:szCs w:val="18"/>
                <w:lang w:val="es-ES_tradnl"/>
              </w:rPr>
            </w:pPr>
          </w:p>
        </w:tc>
        <w:tc>
          <w:tcPr>
            <w:tcW w:w="1842" w:type="dxa"/>
            <w:tcBorders>
              <w:top w:val="single" w:sz="4" w:space="0" w:color="auto"/>
              <w:left w:val="nil"/>
              <w:bottom w:val="single" w:sz="4" w:space="0" w:color="auto"/>
              <w:right w:val="nil"/>
            </w:tcBorders>
            <w:noWrap/>
            <w:vAlign w:val="center"/>
            <w:hideMark/>
          </w:tcPr>
          <w:p w14:paraId="06066E47" w14:textId="77777777" w:rsidR="00312042" w:rsidRPr="00F567E1" w:rsidRDefault="00312042" w:rsidP="009A58EE">
            <w:pPr>
              <w:jc w:val="right"/>
              <w:rPr>
                <w:sz w:val="18"/>
                <w:szCs w:val="18"/>
                <w:lang w:val="es-ES_tradnl"/>
              </w:rPr>
            </w:pPr>
            <w:r w:rsidRPr="00F567E1">
              <w:rPr>
                <w:color w:val="000000"/>
                <w:sz w:val="18"/>
                <w:szCs w:val="18"/>
                <w:lang w:val="es-ES_tradnl"/>
              </w:rPr>
              <w:t>1</w:t>
            </w:r>
          </w:p>
        </w:tc>
        <w:tc>
          <w:tcPr>
            <w:tcW w:w="1431" w:type="dxa"/>
            <w:tcBorders>
              <w:top w:val="single" w:sz="4" w:space="0" w:color="auto"/>
              <w:left w:val="nil"/>
              <w:bottom w:val="single" w:sz="4" w:space="0" w:color="auto"/>
              <w:right w:val="nil"/>
            </w:tcBorders>
            <w:noWrap/>
            <w:vAlign w:val="center"/>
            <w:hideMark/>
          </w:tcPr>
          <w:p w14:paraId="3FC1525D" w14:textId="77777777" w:rsidR="00312042" w:rsidRPr="00F567E1" w:rsidRDefault="00312042" w:rsidP="009A58EE">
            <w:pPr>
              <w:jc w:val="right"/>
              <w:rPr>
                <w:sz w:val="18"/>
                <w:szCs w:val="18"/>
                <w:lang w:val="es-ES_tradnl"/>
              </w:rPr>
            </w:pPr>
            <w:r w:rsidRPr="00F567E1">
              <w:rPr>
                <w:color w:val="000000"/>
                <w:sz w:val="18"/>
                <w:szCs w:val="18"/>
                <w:lang w:val="es-ES_tradnl"/>
              </w:rPr>
              <w:t>5</w:t>
            </w:r>
          </w:p>
        </w:tc>
      </w:tr>
      <w:tr w:rsidR="00F234CD" w:rsidRPr="00F567E1" w14:paraId="61F17513" w14:textId="77777777" w:rsidTr="004C2F27">
        <w:trPr>
          <w:trHeight w:val="313"/>
          <w:jc w:val="right"/>
        </w:trPr>
        <w:tc>
          <w:tcPr>
            <w:tcW w:w="2182" w:type="dxa"/>
            <w:tcBorders>
              <w:top w:val="single" w:sz="4" w:space="0" w:color="auto"/>
              <w:left w:val="nil"/>
              <w:bottom w:val="single" w:sz="4" w:space="0" w:color="auto"/>
              <w:right w:val="nil"/>
            </w:tcBorders>
            <w:noWrap/>
            <w:vAlign w:val="center"/>
            <w:hideMark/>
          </w:tcPr>
          <w:p w14:paraId="64D5499D" w14:textId="77777777" w:rsidR="00312042" w:rsidRPr="00F567E1" w:rsidRDefault="00312042" w:rsidP="009A58EE">
            <w:pPr>
              <w:rPr>
                <w:b/>
                <w:bCs/>
                <w:sz w:val="18"/>
                <w:szCs w:val="18"/>
                <w:lang w:val="es-ES_tradnl"/>
              </w:rPr>
            </w:pPr>
            <w:r w:rsidRPr="00F567E1">
              <w:rPr>
                <w:b/>
                <w:bCs/>
                <w:color w:val="000000"/>
                <w:sz w:val="18"/>
                <w:szCs w:val="18"/>
                <w:lang w:val="es-ES_tradnl"/>
              </w:rPr>
              <w:t>Total parcial (B)</w:t>
            </w:r>
          </w:p>
        </w:tc>
        <w:tc>
          <w:tcPr>
            <w:tcW w:w="1426" w:type="dxa"/>
            <w:tcBorders>
              <w:top w:val="single" w:sz="4" w:space="0" w:color="auto"/>
              <w:left w:val="nil"/>
              <w:bottom w:val="single" w:sz="4" w:space="0" w:color="auto"/>
              <w:right w:val="nil"/>
            </w:tcBorders>
            <w:noWrap/>
            <w:vAlign w:val="center"/>
            <w:hideMark/>
          </w:tcPr>
          <w:p w14:paraId="6575F3CF"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4</w:t>
            </w:r>
          </w:p>
        </w:tc>
        <w:tc>
          <w:tcPr>
            <w:tcW w:w="1426" w:type="dxa"/>
            <w:tcBorders>
              <w:top w:val="single" w:sz="4" w:space="0" w:color="auto"/>
              <w:left w:val="nil"/>
              <w:bottom w:val="single" w:sz="4" w:space="0" w:color="auto"/>
              <w:right w:val="nil"/>
            </w:tcBorders>
            <w:noWrap/>
            <w:vAlign w:val="center"/>
            <w:hideMark/>
          </w:tcPr>
          <w:p w14:paraId="79173BFD"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0</w:t>
            </w:r>
          </w:p>
        </w:tc>
        <w:tc>
          <w:tcPr>
            <w:tcW w:w="1842" w:type="dxa"/>
            <w:tcBorders>
              <w:top w:val="single" w:sz="4" w:space="0" w:color="auto"/>
              <w:left w:val="nil"/>
              <w:bottom w:val="single" w:sz="4" w:space="0" w:color="auto"/>
              <w:right w:val="nil"/>
            </w:tcBorders>
            <w:noWrap/>
            <w:vAlign w:val="center"/>
            <w:hideMark/>
          </w:tcPr>
          <w:p w14:paraId="0B65596A"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1</w:t>
            </w:r>
          </w:p>
        </w:tc>
        <w:tc>
          <w:tcPr>
            <w:tcW w:w="1431" w:type="dxa"/>
            <w:tcBorders>
              <w:top w:val="single" w:sz="4" w:space="0" w:color="auto"/>
              <w:left w:val="nil"/>
              <w:bottom w:val="single" w:sz="4" w:space="0" w:color="auto"/>
              <w:right w:val="nil"/>
            </w:tcBorders>
            <w:noWrap/>
            <w:vAlign w:val="center"/>
            <w:hideMark/>
          </w:tcPr>
          <w:p w14:paraId="4A23FEC4"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5</w:t>
            </w:r>
          </w:p>
        </w:tc>
      </w:tr>
      <w:tr w:rsidR="00F234CD" w:rsidRPr="00F567E1" w14:paraId="46964B85" w14:textId="77777777" w:rsidTr="004C2F27">
        <w:trPr>
          <w:trHeight w:val="313"/>
          <w:jc w:val="right"/>
        </w:trPr>
        <w:tc>
          <w:tcPr>
            <w:tcW w:w="2182" w:type="dxa"/>
            <w:tcBorders>
              <w:top w:val="single" w:sz="4" w:space="0" w:color="auto"/>
              <w:left w:val="nil"/>
              <w:bottom w:val="single" w:sz="12" w:space="0" w:color="auto"/>
              <w:right w:val="nil"/>
            </w:tcBorders>
            <w:noWrap/>
            <w:vAlign w:val="center"/>
            <w:hideMark/>
          </w:tcPr>
          <w:p w14:paraId="07254BDF" w14:textId="77777777" w:rsidR="00312042" w:rsidRPr="00F567E1" w:rsidRDefault="00312042" w:rsidP="009A58EE">
            <w:pPr>
              <w:rPr>
                <w:b/>
                <w:bCs/>
                <w:sz w:val="18"/>
                <w:szCs w:val="18"/>
                <w:lang w:val="es-ES_tradnl"/>
              </w:rPr>
            </w:pPr>
            <w:r w:rsidRPr="00F567E1">
              <w:rPr>
                <w:b/>
                <w:bCs/>
                <w:color w:val="000000"/>
                <w:sz w:val="18"/>
                <w:szCs w:val="18"/>
                <w:lang w:val="es-ES_tradnl"/>
              </w:rPr>
              <w:t>Total (A + B)</w:t>
            </w:r>
          </w:p>
        </w:tc>
        <w:tc>
          <w:tcPr>
            <w:tcW w:w="1426" w:type="dxa"/>
            <w:tcBorders>
              <w:top w:val="single" w:sz="4" w:space="0" w:color="auto"/>
              <w:left w:val="nil"/>
              <w:bottom w:val="single" w:sz="12" w:space="0" w:color="auto"/>
              <w:right w:val="nil"/>
            </w:tcBorders>
            <w:noWrap/>
            <w:vAlign w:val="center"/>
            <w:hideMark/>
          </w:tcPr>
          <w:p w14:paraId="3CDC680E"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11</w:t>
            </w:r>
          </w:p>
        </w:tc>
        <w:tc>
          <w:tcPr>
            <w:tcW w:w="1426" w:type="dxa"/>
            <w:tcBorders>
              <w:top w:val="single" w:sz="4" w:space="0" w:color="auto"/>
              <w:left w:val="nil"/>
              <w:bottom w:val="single" w:sz="12" w:space="0" w:color="auto"/>
              <w:right w:val="nil"/>
            </w:tcBorders>
            <w:noWrap/>
            <w:vAlign w:val="center"/>
            <w:hideMark/>
          </w:tcPr>
          <w:p w14:paraId="6E90A3D8"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1</w:t>
            </w:r>
          </w:p>
        </w:tc>
        <w:tc>
          <w:tcPr>
            <w:tcW w:w="1842" w:type="dxa"/>
            <w:tcBorders>
              <w:top w:val="single" w:sz="4" w:space="0" w:color="auto"/>
              <w:left w:val="nil"/>
              <w:bottom w:val="single" w:sz="12" w:space="0" w:color="auto"/>
              <w:right w:val="nil"/>
            </w:tcBorders>
            <w:noWrap/>
            <w:vAlign w:val="center"/>
            <w:hideMark/>
          </w:tcPr>
          <w:p w14:paraId="3DEA8F9A"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3</w:t>
            </w:r>
          </w:p>
        </w:tc>
        <w:tc>
          <w:tcPr>
            <w:tcW w:w="1431" w:type="dxa"/>
            <w:tcBorders>
              <w:top w:val="single" w:sz="4" w:space="0" w:color="auto"/>
              <w:left w:val="nil"/>
              <w:bottom w:val="single" w:sz="12" w:space="0" w:color="auto"/>
              <w:right w:val="nil"/>
            </w:tcBorders>
            <w:noWrap/>
            <w:vAlign w:val="center"/>
            <w:hideMark/>
          </w:tcPr>
          <w:p w14:paraId="6A93E3C7" w14:textId="77777777" w:rsidR="00312042" w:rsidRPr="00F567E1" w:rsidRDefault="00312042" w:rsidP="009A58EE">
            <w:pPr>
              <w:jc w:val="right"/>
              <w:rPr>
                <w:b/>
                <w:bCs/>
                <w:sz w:val="18"/>
                <w:szCs w:val="18"/>
                <w:lang w:val="es-ES_tradnl"/>
              </w:rPr>
            </w:pPr>
            <w:r w:rsidRPr="00F567E1">
              <w:rPr>
                <w:b/>
                <w:bCs/>
                <w:color w:val="000000"/>
                <w:sz w:val="18"/>
                <w:szCs w:val="18"/>
                <w:lang w:val="es-ES_tradnl"/>
              </w:rPr>
              <w:t>15</w:t>
            </w:r>
          </w:p>
        </w:tc>
      </w:tr>
    </w:tbl>
    <w:p w14:paraId="08443095" w14:textId="4BDC9B3C" w:rsidR="00E35F69" w:rsidRPr="00F567E1" w:rsidRDefault="00E35F69" w:rsidP="00312042">
      <w:pPr>
        <w:pStyle w:val="Normal-pool"/>
        <w:spacing w:before="60"/>
        <w:ind w:left="1247"/>
        <w:rPr>
          <w:rFonts w:asciiTheme="majorBidi" w:hAnsiTheme="majorBidi" w:cstheme="majorBidi"/>
          <w:sz w:val="17"/>
          <w:szCs w:val="17"/>
          <w:lang w:val="es-ES_tradnl"/>
        </w:rPr>
      </w:pPr>
      <w:r w:rsidRPr="00F567E1">
        <w:rPr>
          <w:sz w:val="17"/>
          <w:szCs w:val="17"/>
          <w:lang w:val="es-ES_tradnl"/>
        </w:rPr>
        <w:tab/>
      </w:r>
      <w:r w:rsidRPr="00F567E1">
        <w:rPr>
          <w:i/>
          <w:iCs/>
          <w:sz w:val="17"/>
          <w:szCs w:val="17"/>
          <w:lang w:val="es-ES_tradnl"/>
        </w:rPr>
        <w:t>Abreviación</w:t>
      </w:r>
      <w:r w:rsidRPr="00F567E1">
        <w:rPr>
          <w:sz w:val="17"/>
          <w:szCs w:val="17"/>
          <w:lang w:val="es-ES_tradnl"/>
        </w:rPr>
        <w:t>: PNUMA= Programa de las Naciones Unidas para el Medio Ambiente.</w:t>
      </w:r>
    </w:p>
    <w:p w14:paraId="0EDBFB52" w14:textId="57E9C783" w:rsidR="00312042" w:rsidRPr="00F567E1" w:rsidRDefault="00312042" w:rsidP="00312042">
      <w:pPr>
        <w:pStyle w:val="Normal-pool"/>
        <w:spacing w:before="60"/>
        <w:ind w:left="1247"/>
        <w:rPr>
          <w:rFonts w:asciiTheme="majorBidi" w:hAnsiTheme="majorBidi" w:cstheme="majorBidi"/>
          <w:sz w:val="17"/>
          <w:szCs w:val="17"/>
          <w:lang w:val="es-ES_tradnl"/>
        </w:rPr>
      </w:pPr>
      <w:r w:rsidRPr="00F567E1">
        <w:rPr>
          <w:sz w:val="17"/>
          <w:szCs w:val="17"/>
          <w:lang w:val="es-ES_tradnl"/>
        </w:rPr>
        <w:tab/>
      </w:r>
      <w:r w:rsidRPr="00F567E1">
        <w:rPr>
          <w:i/>
          <w:iCs/>
          <w:sz w:val="17"/>
          <w:szCs w:val="17"/>
          <w:vertAlign w:val="superscript"/>
          <w:lang w:val="es-ES_tradnl"/>
        </w:rPr>
        <w:t>a</w:t>
      </w:r>
      <w:r w:rsidRPr="00F567E1">
        <w:rPr>
          <w:sz w:val="17"/>
          <w:szCs w:val="17"/>
          <w:lang w:val="es-ES_tradnl"/>
        </w:rPr>
        <w:t xml:space="preserve"> Un Oficial Administrativo Adjunto de categoría P</w:t>
      </w:r>
      <w:r w:rsidRPr="00F567E1">
        <w:rPr>
          <w:sz w:val="17"/>
          <w:szCs w:val="17"/>
          <w:lang w:val="es-ES_tradnl"/>
        </w:rPr>
        <w:noBreakHyphen/>
        <w:t>2 financiado con cargo a los gastos de apoyo a los programas del PNUMA se incorporó en diciembre de 2024 (puesto a tiempo parcial, al</w:t>
      </w:r>
      <w:r w:rsidR="00971015" w:rsidRPr="00F567E1">
        <w:rPr>
          <w:sz w:val="17"/>
          <w:szCs w:val="17"/>
          <w:lang w:val="es-ES_tradnl"/>
        </w:rPr>
        <w:t> </w:t>
      </w:r>
      <w:r w:rsidRPr="00F567E1">
        <w:rPr>
          <w:sz w:val="17"/>
          <w:szCs w:val="17"/>
          <w:lang w:val="es-ES_tradnl"/>
        </w:rPr>
        <w:t>50 %).</w:t>
      </w:r>
    </w:p>
    <w:p w14:paraId="28452FA3" w14:textId="0A3BD446" w:rsidR="00312042" w:rsidRPr="00F567E1" w:rsidRDefault="00312042" w:rsidP="00312042">
      <w:pPr>
        <w:pStyle w:val="Normal-pool"/>
        <w:spacing w:before="60"/>
        <w:ind w:left="1247"/>
        <w:rPr>
          <w:rFonts w:asciiTheme="majorBidi" w:hAnsiTheme="majorBidi" w:cstheme="majorBidi"/>
          <w:sz w:val="17"/>
          <w:szCs w:val="17"/>
          <w:lang w:val="es-ES_tradnl"/>
        </w:rPr>
      </w:pPr>
      <w:r w:rsidRPr="00F567E1">
        <w:rPr>
          <w:sz w:val="17"/>
          <w:szCs w:val="17"/>
          <w:lang w:val="es-ES_tradnl"/>
        </w:rPr>
        <w:tab/>
      </w:r>
      <w:r w:rsidRPr="00F567E1">
        <w:rPr>
          <w:i/>
          <w:iCs/>
          <w:sz w:val="17"/>
          <w:szCs w:val="17"/>
          <w:vertAlign w:val="superscript"/>
          <w:lang w:val="es-ES_tradnl"/>
        </w:rPr>
        <w:t>b</w:t>
      </w:r>
      <w:r w:rsidRPr="00F567E1">
        <w:rPr>
          <w:sz w:val="17"/>
          <w:szCs w:val="17"/>
          <w:lang w:val="es-ES_tradnl"/>
        </w:rPr>
        <w:t xml:space="preserve"> El puesto de asistente administrativo GS</w:t>
      </w:r>
      <w:r w:rsidRPr="00F567E1">
        <w:rPr>
          <w:sz w:val="17"/>
          <w:szCs w:val="17"/>
          <w:lang w:val="es-ES_tradnl"/>
        </w:rPr>
        <w:noBreakHyphen/>
        <w:t>5 permanece vacante para el bienio 2026</w:t>
      </w:r>
      <w:r w:rsidR="00074CC9" w:rsidRPr="00F567E1">
        <w:rPr>
          <w:sz w:val="17"/>
          <w:szCs w:val="17"/>
          <w:lang w:val="es-ES_tradnl"/>
        </w:rPr>
        <w:t>-</w:t>
      </w:r>
      <w:r w:rsidRPr="00F567E1">
        <w:rPr>
          <w:sz w:val="17"/>
          <w:szCs w:val="17"/>
          <w:lang w:val="es-ES_tradnl"/>
        </w:rPr>
        <w:t>2027 y se espera que</w:t>
      </w:r>
      <w:r w:rsidR="00074CC9" w:rsidRPr="00F567E1">
        <w:rPr>
          <w:sz w:val="17"/>
          <w:szCs w:val="17"/>
          <w:lang w:val="es-ES_tradnl"/>
        </w:rPr>
        <w:t> </w:t>
      </w:r>
      <w:r w:rsidRPr="00F567E1">
        <w:rPr>
          <w:sz w:val="17"/>
          <w:szCs w:val="17"/>
          <w:lang w:val="es-ES_tradnl"/>
        </w:rPr>
        <w:t>se</w:t>
      </w:r>
      <w:r w:rsidR="00074CC9" w:rsidRPr="00F567E1">
        <w:rPr>
          <w:sz w:val="17"/>
          <w:szCs w:val="17"/>
          <w:lang w:val="es-ES_tradnl"/>
        </w:rPr>
        <w:t> </w:t>
      </w:r>
      <w:r w:rsidRPr="00F567E1">
        <w:rPr>
          <w:sz w:val="17"/>
          <w:szCs w:val="17"/>
          <w:lang w:val="es-ES_tradnl"/>
        </w:rPr>
        <w:t>cubra cuando se disponga de fondos.</w:t>
      </w:r>
    </w:p>
    <w:p w14:paraId="0141588F" w14:textId="77777777" w:rsidR="00312042" w:rsidRPr="00F567E1" w:rsidRDefault="00312042" w:rsidP="00312042">
      <w:pPr>
        <w:pStyle w:val="Normal-pool"/>
        <w:rPr>
          <w:lang w:val="es-ES_tradnl"/>
        </w:rPr>
      </w:pPr>
      <w:r w:rsidRPr="00F567E1">
        <w:rPr>
          <w:lang w:val="es-ES_tradnl"/>
        </w:rPr>
        <w:br w:type="page"/>
      </w:r>
    </w:p>
    <w:p w14:paraId="42EF1F58" w14:textId="0813315C" w:rsidR="00312042" w:rsidRPr="00F567E1" w:rsidRDefault="00312042" w:rsidP="002819FE">
      <w:pPr>
        <w:pStyle w:val="CH2"/>
        <w:outlineLvl w:val="0"/>
        <w:rPr>
          <w:lang w:val="es-ES_tradnl"/>
        </w:rPr>
      </w:pPr>
      <w:bookmarkStart w:id="99" w:name="_Toc213853079"/>
      <w:r w:rsidRPr="00F567E1">
        <w:rPr>
          <w:lang w:val="es-ES_tradnl"/>
        </w:rPr>
        <w:lastRenderedPageBreak/>
        <w:tab/>
      </w:r>
      <w:r w:rsidRPr="00F567E1">
        <w:rPr>
          <w:lang w:val="es-ES_tradnl"/>
        </w:rPr>
        <w:tab/>
      </w:r>
      <w:bookmarkStart w:id="100" w:name="_Toc223088527"/>
      <w:r w:rsidRPr="00F567E1">
        <w:rPr>
          <w:lang w:val="es-ES_tradnl"/>
        </w:rPr>
        <w:t>Decisión MC</w:t>
      </w:r>
      <w:r w:rsidRPr="00F567E1">
        <w:rPr>
          <w:lang w:val="es-ES_tradnl"/>
        </w:rPr>
        <w:noBreakHyphen/>
        <w:t>6/22: lugar y fecha de celebración de la séptima reunión de la Conferencia de las Partes en el Convenio de Minamata sobre el Mercurio</w:t>
      </w:r>
      <w:bookmarkStart w:id="101" w:name="_Toc219712828"/>
      <w:bookmarkEnd w:id="99"/>
      <w:bookmarkEnd w:id="100"/>
      <w:bookmarkEnd w:id="101"/>
    </w:p>
    <w:p w14:paraId="6A92520D" w14:textId="77777777" w:rsidR="00312042" w:rsidRPr="00F567E1"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lang w:val="es-ES_tradnl"/>
        </w:rPr>
      </w:pPr>
      <w:r w:rsidRPr="00F567E1">
        <w:rPr>
          <w:i/>
          <w:iCs/>
          <w:lang w:val="es-ES_tradnl"/>
        </w:rPr>
        <w:t>La Conferencia de las Partes,</w:t>
      </w:r>
    </w:p>
    <w:p w14:paraId="0A62B549" w14:textId="00FD52EC" w:rsidR="00312042" w:rsidRPr="00F567E1" w:rsidRDefault="00312042" w:rsidP="00312042">
      <w:pPr>
        <w:pStyle w:val="Normal-pool"/>
        <w:numPr>
          <w:ilvl w:val="0"/>
          <w:numId w:val="7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Decide</w:t>
      </w:r>
      <w:r w:rsidRPr="00F567E1">
        <w:rPr>
          <w:lang w:val="es-ES_tradnl"/>
        </w:rPr>
        <w:t xml:space="preserve"> celebrar la próxima reunión de la Conferencia de las Partes en el Convenio de</w:t>
      </w:r>
      <w:r w:rsidR="00074CC9" w:rsidRPr="00F567E1">
        <w:rPr>
          <w:lang w:val="es-ES_tradnl"/>
        </w:rPr>
        <w:t> </w:t>
      </w:r>
      <w:r w:rsidRPr="00F567E1">
        <w:rPr>
          <w:lang w:val="es-ES_tradnl"/>
        </w:rPr>
        <w:t>Minamata sobre el Mercurio en Ginebra del 14 al 18 de junio de 2027</w:t>
      </w:r>
      <w:r w:rsidR="00E6519C" w:rsidRPr="00F567E1">
        <w:rPr>
          <w:rStyle w:val="FootnoteReference"/>
          <w:rFonts w:cstheme="majorBidi"/>
          <w:lang w:val="es-ES_tradnl"/>
        </w:rPr>
        <w:footnoteReference w:id="46"/>
      </w:r>
      <w:r w:rsidRPr="00F567E1">
        <w:rPr>
          <w:lang w:val="es-ES_tradnl"/>
        </w:rPr>
        <w:t>;</w:t>
      </w:r>
    </w:p>
    <w:p w14:paraId="07D16EF7" w14:textId="12580ED8" w:rsidR="00312042" w:rsidRPr="00F567E1" w:rsidRDefault="00312042" w:rsidP="00312042">
      <w:pPr>
        <w:pStyle w:val="Normal-pool"/>
        <w:numPr>
          <w:ilvl w:val="0"/>
          <w:numId w:val="7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Secretaria Ejecutiva que, a fin de ayudar a las Partes en la preparación de la reunión y en función de la disponibilidad de recursos, preste apoyo a la celebración de reuniones regionales en coordinación con otras reuniones regionales a fin de facilitar los procesos preparatorios regionales;</w:t>
      </w:r>
    </w:p>
    <w:p w14:paraId="089AAB1D" w14:textId="3A987EA3" w:rsidR="00312042" w:rsidRPr="00F567E1" w:rsidRDefault="00312042" w:rsidP="00312042">
      <w:pPr>
        <w:pStyle w:val="Normal-pool"/>
        <w:numPr>
          <w:ilvl w:val="0"/>
          <w:numId w:val="7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 Secretaria Ejecutiva a que, a fin de seguir prestando apoyo a las Partes y a</w:t>
      </w:r>
      <w:r w:rsidR="00074CC9" w:rsidRPr="00F567E1">
        <w:rPr>
          <w:lang w:val="es-ES_tradnl"/>
        </w:rPr>
        <w:t> </w:t>
      </w:r>
      <w:r w:rsidRPr="00F567E1">
        <w:rPr>
          <w:lang w:val="es-ES_tradnl"/>
        </w:rPr>
        <w:t>las regiones en sus preparativos, distribuya a las Partes el programa provisional, junto con los documentos de apoyo, en los idiomas oficiales de las Naciones Unidas, al menos ocho semanas antes</w:t>
      </w:r>
      <w:r w:rsidR="00074CC9" w:rsidRPr="00F567E1">
        <w:rPr>
          <w:lang w:val="es-ES_tradnl"/>
        </w:rPr>
        <w:t> </w:t>
      </w:r>
      <w:r w:rsidRPr="00F567E1">
        <w:rPr>
          <w:lang w:val="es-ES_tradnl"/>
        </w:rPr>
        <w:t>de la apertura de las futuras reuniones de la Conferencia de las Partes;</w:t>
      </w:r>
    </w:p>
    <w:p w14:paraId="30A31F8C" w14:textId="1774B450" w:rsidR="00312042" w:rsidRPr="00F567E1" w:rsidRDefault="00312042" w:rsidP="00312042">
      <w:pPr>
        <w:pStyle w:val="Normal-pool"/>
        <w:numPr>
          <w:ilvl w:val="0"/>
          <w:numId w:val="7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a presentar ofertas para acoger la 8ª reunión de la Conferencia de las</w:t>
      </w:r>
      <w:r w:rsidR="00074CC9" w:rsidRPr="00F567E1">
        <w:rPr>
          <w:lang w:val="es-ES_tradnl"/>
        </w:rPr>
        <w:t> </w:t>
      </w:r>
      <w:r w:rsidRPr="00F567E1">
        <w:rPr>
          <w:lang w:val="es-ES_tradnl"/>
        </w:rPr>
        <w:t>Partes al menos tres meses antes de la apertura de la 7ª reunión, para su consideración por la Conferencia de las Partes en su 7ª reunión.</w:t>
      </w:r>
    </w:p>
    <w:p w14:paraId="7CFE178C" w14:textId="77777777" w:rsidR="00312042" w:rsidRPr="00F567E1" w:rsidRDefault="00312042" w:rsidP="00312042">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E84D8D">
      <w:headerReference w:type="even" r:id="rId19"/>
      <w:headerReference w:type="default" r:id="rId20"/>
      <w:headerReference w:type="first" r:id="rId21"/>
      <w:footerReference w:type="first" r:id="rId22"/>
      <w:footnotePr>
        <w:numRestart w:val="eachSect"/>
      </w:footnotePr>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8115" w14:textId="77777777" w:rsidR="00F15205" w:rsidRPr="00CD5597" w:rsidRDefault="00F15205">
      <w:r w:rsidRPr="00CD5597">
        <w:separator/>
      </w:r>
    </w:p>
  </w:endnote>
  <w:endnote w:type="continuationSeparator" w:id="0">
    <w:p w14:paraId="5CC7F122" w14:textId="77777777" w:rsidR="00F15205" w:rsidRPr="00CD5597" w:rsidRDefault="00F15205">
      <w:r w:rsidRPr="00CD5597">
        <w:continuationSeparator/>
      </w:r>
    </w:p>
  </w:endnote>
  <w:endnote w:type="continuationNotice" w:id="1">
    <w:p w14:paraId="61B8B217" w14:textId="77777777" w:rsidR="00F15205" w:rsidRDefault="00F15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9D0" w14:textId="6542ABC8" w:rsidR="00312042" w:rsidRPr="00ED2BC6" w:rsidRDefault="00E84D8D" w:rsidP="00ED2BC6">
    <w:pPr>
      <w:pStyle w:val="Footer-pool"/>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FE9" w14:textId="3DF8D238" w:rsidR="00312042" w:rsidRPr="00FC727F" w:rsidRDefault="00E84D8D" w:rsidP="00ED2BC6">
    <w:pPr>
      <w:pStyle w:val="Footer-pool"/>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2BEF" w14:textId="6E1D01CB" w:rsidR="00312042" w:rsidRDefault="00E84D8D" w:rsidP="00E84D8D">
    <w:pPr>
      <w:pStyle w:val="Footer-jobnumber"/>
    </w:pPr>
    <w:bookmarkStart w:id="8" w:name="FooterJobDate"/>
    <w:r>
      <w:rPr>
        <w:lang w:val="es-ES"/>
      </w:rPr>
      <w:t>K2519185[S]</w:t>
    </w:r>
    <w:r>
      <w:rPr>
        <w:lang w:val="es-ES"/>
      </w:rPr>
      <w:tab/>
    </w:r>
    <w:r w:rsidR="006A7CAC">
      <w:rPr>
        <w:lang w:val="es-ES"/>
      </w:rPr>
      <w:t>1304</w:t>
    </w:r>
    <w:r>
      <w:rPr>
        <w:lang w:val="es-ES"/>
      </w:rPr>
      <w:t>26</w:t>
    </w:r>
    <w:bookmarkEnd w:id="8"/>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rPr>
        <w:lang w:val="es-ES"/>
      </w:rPr>
      <w:t>K2519185[S]</w:t>
    </w:r>
    <w:r>
      <w:rPr>
        <w:lang w:val="es-ES"/>
      </w:rP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7BCA" w14:textId="77777777" w:rsidR="00F15205" w:rsidRPr="00CD5597" w:rsidRDefault="00F15205" w:rsidP="00C70B49">
      <w:pPr>
        <w:pStyle w:val="Footnote-Separator"/>
        <w:rPr>
          <w:szCs w:val="18"/>
        </w:rPr>
      </w:pPr>
      <w:r w:rsidRPr="00CD5597">
        <w:separator/>
      </w:r>
    </w:p>
  </w:footnote>
  <w:footnote w:type="continuationSeparator" w:id="0">
    <w:p w14:paraId="047AFFA1" w14:textId="77777777" w:rsidR="00F15205" w:rsidRPr="00CD5597" w:rsidRDefault="00F15205" w:rsidP="00C70B49">
      <w:pPr>
        <w:pStyle w:val="Footnote-Separator"/>
      </w:pPr>
      <w:r w:rsidRPr="00CD5597">
        <w:continuationSeparator/>
      </w:r>
    </w:p>
  </w:footnote>
  <w:footnote w:type="continuationNotice" w:id="1">
    <w:p w14:paraId="0518381E" w14:textId="77777777" w:rsidR="00F15205" w:rsidRPr="00CD5597" w:rsidRDefault="00F15205" w:rsidP="00C70B49">
      <w:pPr>
        <w:pStyle w:val="ASpacer"/>
      </w:pPr>
    </w:p>
  </w:footnote>
  <w:footnote w:id="2">
    <w:p w14:paraId="35A1D58E" w14:textId="36CB9462" w:rsidR="00312042" w:rsidRPr="00DA02C2" w:rsidRDefault="00312042" w:rsidP="00312042">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UNEP/MC/COP.6/14, anexo, párr. 3 b).</w:t>
      </w:r>
    </w:p>
  </w:footnote>
  <w:footnote w:id="3">
    <w:p w14:paraId="1C8A6E7F" w14:textId="3B084892" w:rsidR="00312042" w:rsidRPr="00DA02C2" w:rsidRDefault="00312042" w:rsidP="00312042">
      <w:pPr>
        <w:pStyle w:val="Footnote-Text"/>
        <w:rPr>
          <w:szCs w:val="18"/>
          <w:lang w:val="es-ES_tradnl"/>
        </w:rPr>
      </w:pPr>
      <w:r w:rsidRPr="00DA02C2">
        <w:rPr>
          <w:rStyle w:val="FootnoteReference"/>
          <w:sz w:val="18"/>
          <w:lang w:val="es-ES_tradnl"/>
        </w:rPr>
        <w:footnoteRef/>
      </w:r>
      <w:r w:rsidRPr="00DA02C2">
        <w:rPr>
          <w:szCs w:val="18"/>
          <w:lang w:val="es-ES_tradnl"/>
        </w:rPr>
        <w:t xml:space="preserve"> Por ejemplo, el proyecto de lanzamiento reciente titulado “</w:t>
      </w:r>
      <w:proofErr w:type="spellStart"/>
      <w:r w:rsidRPr="00DA02C2">
        <w:rPr>
          <w:szCs w:val="18"/>
          <w:lang w:val="es-ES_tradnl"/>
        </w:rPr>
        <w:t>Accelerate</w:t>
      </w:r>
      <w:proofErr w:type="spellEnd"/>
      <w:r w:rsidRPr="00DA02C2">
        <w:rPr>
          <w:szCs w:val="18"/>
          <w:lang w:val="es-ES_tradnl"/>
        </w:rPr>
        <w:t xml:space="preserve"> Minamata </w:t>
      </w:r>
      <w:proofErr w:type="spellStart"/>
      <w:r w:rsidRPr="00DA02C2">
        <w:rPr>
          <w:szCs w:val="18"/>
          <w:lang w:val="es-ES_tradnl"/>
        </w:rPr>
        <w:t>Convention</w:t>
      </w:r>
      <w:proofErr w:type="spellEnd"/>
      <w:r w:rsidRPr="00DA02C2">
        <w:rPr>
          <w:szCs w:val="18"/>
          <w:lang w:val="es-ES_tradnl"/>
        </w:rPr>
        <w:t xml:space="preserve"> </w:t>
      </w:r>
      <w:proofErr w:type="spellStart"/>
      <w:r w:rsidRPr="00DA02C2">
        <w:rPr>
          <w:szCs w:val="18"/>
          <w:lang w:val="es-ES_tradnl"/>
        </w:rPr>
        <w:t>compliance</w:t>
      </w:r>
      <w:proofErr w:type="spellEnd"/>
      <w:r w:rsidRPr="00DA02C2">
        <w:rPr>
          <w:szCs w:val="18"/>
          <w:lang w:val="es-ES_tradnl"/>
        </w:rPr>
        <w:t xml:space="preserve"> </w:t>
      </w:r>
      <w:proofErr w:type="spellStart"/>
      <w:r w:rsidRPr="00DA02C2">
        <w:rPr>
          <w:szCs w:val="18"/>
          <w:lang w:val="es-ES_tradnl"/>
        </w:rPr>
        <w:t>through</w:t>
      </w:r>
      <w:proofErr w:type="spellEnd"/>
      <w:r w:rsidRPr="00DA02C2">
        <w:rPr>
          <w:szCs w:val="18"/>
          <w:lang w:val="es-ES_tradnl"/>
        </w:rPr>
        <w:t xml:space="preserve"> </w:t>
      </w:r>
      <w:proofErr w:type="spellStart"/>
      <w:r w:rsidRPr="00DA02C2">
        <w:rPr>
          <w:szCs w:val="18"/>
          <w:lang w:val="es-ES_tradnl"/>
        </w:rPr>
        <w:t>improved</w:t>
      </w:r>
      <w:proofErr w:type="spellEnd"/>
      <w:r w:rsidRPr="00DA02C2">
        <w:rPr>
          <w:szCs w:val="18"/>
          <w:lang w:val="es-ES_tradnl"/>
        </w:rPr>
        <w:t xml:space="preserve"> </w:t>
      </w:r>
      <w:proofErr w:type="spellStart"/>
      <w:r w:rsidRPr="00DA02C2">
        <w:rPr>
          <w:szCs w:val="18"/>
          <w:lang w:val="es-ES_tradnl"/>
        </w:rPr>
        <w:t>understanding</w:t>
      </w:r>
      <w:proofErr w:type="spellEnd"/>
      <w:r w:rsidRPr="00DA02C2">
        <w:rPr>
          <w:szCs w:val="18"/>
          <w:lang w:val="es-ES_tradnl"/>
        </w:rPr>
        <w:t xml:space="preserve"> and control of </w:t>
      </w:r>
      <w:proofErr w:type="spellStart"/>
      <w:r w:rsidRPr="00DA02C2">
        <w:rPr>
          <w:szCs w:val="18"/>
          <w:lang w:val="es-ES_tradnl"/>
        </w:rPr>
        <w:t>mercury</w:t>
      </w:r>
      <w:proofErr w:type="spellEnd"/>
      <w:r w:rsidRPr="00DA02C2">
        <w:rPr>
          <w:szCs w:val="18"/>
          <w:lang w:val="es-ES_tradnl"/>
        </w:rPr>
        <w:t xml:space="preserve"> </w:t>
      </w:r>
      <w:proofErr w:type="spellStart"/>
      <w:r w:rsidRPr="00DA02C2">
        <w:rPr>
          <w:szCs w:val="18"/>
          <w:lang w:val="es-ES_tradnl"/>
        </w:rPr>
        <w:t>trade</w:t>
      </w:r>
      <w:proofErr w:type="spellEnd"/>
      <w:r w:rsidRPr="00DA02C2">
        <w:rPr>
          <w:szCs w:val="18"/>
          <w:lang w:val="es-ES_tradnl"/>
        </w:rPr>
        <w:t xml:space="preserve"> in </w:t>
      </w:r>
      <w:proofErr w:type="spellStart"/>
      <w:r w:rsidRPr="00DA02C2">
        <w:rPr>
          <w:szCs w:val="18"/>
          <w:lang w:val="es-ES_tradnl"/>
        </w:rPr>
        <w:t>Latin</w:t>
      </w:r>
      <w:proofErr w:type="spellEnd"/>
      <w:r w:rsidRPr="00DA02C2">
        <w:rPr>
          <w:szCs w:val="18"/>
          <w:lang w:val="es-ES_tradnl"/>
        </w:rPr>
        <w:t xml:space="preserve"> America”.</w:t>
      </w:r>
    </w:p>
  </w:footnote>
  <w:footnote w:id="4">
    <w:p w14:paraId="013A1712" w14:textId="6F52ABC9" w:rsidR="006A51FD" w:rsidRPr="00DA02C2" w:rsidRDefault="006A51FD" w:rsidP="006A51FD">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UNEP/MC/COP.6/26.</w:t>
      </w:r>
    </w:p>
  </w:footnote>
  <w:footnote w:id="5">
    <w:p w14:paraId="3A3ABC83" w14:textId="77777777" w:rsidR="00D86B1A" w:rsidRPr="00DA02C2" w:rsidRDefault="00D86B1A" w:rsidP="00D86B1A">
      <w:pPr>
        <w:pStyle w:val="Footnote-Text"/>
        <w:rPr>
          <w:szCs w:val="18"/>
          <w:lang w:val="es-ES_tradnl"/>
        </w:rPr>
      </w:pPr>
      <w:r w:rsidRPr="00DA02C2">
        <w:rPr>
          <w:rStyle w:val="FootnoteReference"/>
          <w:sz w:val="18"/>
          <w:lang w:val="es-ES_tradnl"/>
        </w:rPr>
        <w:footnoteRef/>
      </w:r>
      <w:r w:rsidRPr="00DA02C2">
        <w:rPr>
          <w:szCs w:val="18"/>
          <w:lang w:val="es-ES_tradnl"/>
        </w:rPr>
        <w:t xml:space="preserve"> La orientación se aprobó en la decisión MC</w:t>
      </w:r>
      <w:r w:rsidRPr="00DA02C2">
        <w:rPr>
          <w:szCs w:val="18"/>
          <w:lang w:val="es-ES_tradnl"/>
        </w:rPr>
        <w:noBreakHyphen/>
        <w:t>1/2.</w:t>
      </w:r>
    </w:p>
  </w:footnote>
  <w:footnote w:id="6">
    <w:p w14:paraId="7E329062" w14:textId="12E21E32" w:rsidR="00924456" w:rsidRPr="00DA02C2" w:rsidRDefault="00924456" w:rsidP="00924456">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UNEP/MC/COP.6/27.</w:t>
      </w:r>
    </w:p>
  </w:footnote>
  <w:footnote w:id="7">
    <w:p w14:paraId="62A8509C" w14:textId="77777777" w:rsidR="00D86B1A" w:rsidRPr="00DA02C2" w:rsidRDefault="00D86B1A" w:rsidP="00D86B1A">
      <w:pPr>
        <w:pStyle w:val="Footnote-Text"/>
        <w:rPr>
          <w:szCs w:val="18"/>
          <w:lang w:val="es-ES_tradnl"/>
        </w:rPr>
      </w:pPr>
      <w:r w:rsidRPr="00DA02C2">
        <w:rPr>
          <w:rStyle w:val="FootnoteReference"/>
          <w:sz w:val="18"/>
          <w:lang w:val="es-ES_tradnl"/>
        </w:rPr>
        <w:footnoteRef/>
      </w:r>
      <w:r w:rsidRPr="00DA02C2">
        <w:rPr>
          <w:szCs w:val="18"/>
          <w:lang w:val="es-ES_tradnl"/>
        </w:rPr>
        <w:t xml:space="preserve"> La orientación se aprobó en la decisión MC</w:t>
      </w:r>
      <w:r w:rsidRPr="00DA02C2">
        <w:rPr>
          <w:szCs w:val="18"/>
          <w:lang w:val="es-ES_tradnl"/>
        </w:rPr>
        <w:noBreakHyphen/>
        <w:t>1/2.</w:t>
      </w:r>
    </w:p>
  </w:footnote>
  <w:footnote w:id="8">
    <w:p w14:paraId="11710DFF" w14:textId="61F41309" w:rsidR="00E10A40" w:rsidRPr="00DA02C2" w:rsidRDefault="00E10A40" w:rsidP="00E10A40">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UNEP/MC/COP.6/5/Add.1.</w:t>
      </w:r>
    </w:p>
  </w:footnote>
  <w:footnote w:id="9">
    <w:p w14:paraId="00E2DC8A" w14:textId="4834D5C6" w:rsidR="00312042" w:rsidRPr="00DA02C2" w:rsidRDefault="00312042" w:rsidP="00312042">
      <w:pPr>
        <w:pStyle w:val="Footnote-Text"/>
        <w:rPr>
          <w:szCs w:val="18"/>
          <w:lang w:val="es-ES_tradnl"/>
        </w:rPr>
      </w:pPr>
      <w:r w:rsidRPr="00DA02C2">
        <w:rPr>
          <w:rStyle w:val="FootnoteReference"/>
          <w:sz w:val="18"/>
          <w:lang w:val="es-ES_tradnl"/>
        </w:rPr>
        <w:footnoteRef/>
      </w:r>
      <w:r w:rsidRPr="00DA02C2">
        <w:rPr>
          <w:szCs w:val="18"/>
          <w:lang w:val="es-ES_tradnl"/>
        </w:rPr>
        <w:t xml:space="preserve"> El estudio tiene por objeto estudiar los compuestos de mercurio que pueden utilizarse en productos o procesos, o que pueden convertirse en mercurio elemental. No pretende abarcar los compuestos de mercurio incluidos en la definición de desechos de mercurio de conformidad con el párrafo 2 del artículo 11.</w:t>
      </w:r>
    </w:p>
  </w:footnote>
  <w:footnote w:id="10">
    <w:p w14:paraId="4485C47E" w14:textId="471EB457" w:rsidR="00847BEF" w:rsidRPr="00DA02C2" w:rsidRDefault="00847BEF" w:rsidP="00847BEF">
      <w:pPr>
        <w:pStyle w:val="Footnote-Text"/>
        <w:rPr>
          <w:szCs w:val="18"/>
          <w:lang w:val="es-ES_tradnl"/>
        </w:rPr>
      </w:pPr>
      <w:r w:rsidRPr="00DA02C2">
        <w:rPr>
          <w:rStyle w:val="FootnoteReference"/>
          <w:sz w:val="18"/>
          <w:lang w:val="es-ES_tradnl"/>
        </w:rPr>
        <w:footnoteRef/>
      </w:r>
      <w:r w:rsidRPr="00DA02C2">
        <w:rPr>
          <w:szCs w:val="18"/>
          <w:lang w:val="es-ES_tradnl"/>
        </w:rPr>
        <w:t xml:space="preserve"> Las entradas añadidas se muestran en gris.</w:t>
      </w:r>
    </w:p>
  </w:footnote>
  <w:footnote w:id="11">
    <w:p w14:paraId="3C455A9A" w14:textId="77777777" w:rsidR="00DB2767" w:rsidRPr="00DA02C2" w:rsidRDefault="00DB2767" w:rsidP="00DB2767">
      <w:pPr>
        <w:pStyle w:val="Footnote-Text"/>
        <w:tabs>
          <w:tab w:val="clear" w:pos="1247"/>
          <w:tab w:val="clear" w:pos="1871"/>
          <w:tab w:val="clear" w:pos="2495"/>
          <w:tab w:val="clear" w:pos="3119"/>
          <w:tab w:val="clear" w:pos="3742"/>
          <w:tab w:val="clear" w:pos="4366"/>
        </w:tabs>
        <w:rPr>
          <w:szCs w:val="18"/>
          <w:lang w:val="es-ES_tradnl"/>
        </w:rPr>
      </w:pPr>
      <w:r w:rsidRPr="00DA02C2">
        <w:rPr>
          <w:rStyle w:val="FootnoteReference"/>
          <w:sz w:val="18"/>
          <w:lang w:val="es-ES_tradnl"/>
        </w:rPr>
        <w:footnoteRef/>
      </w:r>
      <w:r w:rsidRPr="00DA02C2">
        <w:rPr>
          <w:szCs w:val="18"/>
          <w:lang w:val="es-ES_tradnl"/>
        </w:rPr>
        <w:t xml:space="preserve"> La disposición añadida se muestra en gris.</w:t>
      </w:r>
    </w:p>
  </w:footnote>
  <w:footnote w:id="12">
    <w:p w14:paraId="005FE6F7" w14:textId="18BDF7E6" w:rsidR="00726D06" w:rsidRPr="00DA02C2" w:rsidRDefault="00726D06" w:rsidP="00726D06">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UNEP/MC/COP.6/INF/8.</w:t>
      </w:r>
    </w:p>
  </w:footnote>
  <w:footnote w:id="13">
    <w:p w14:paraId="10E0F291" w14:textId="527D0EB2" w:rsidR="00476C29" w:rsidRPr="00DA02C2" w:rsidRDefault="00476C29" w:rsidP="00E837B1">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UNEP/MC/COP.6/6/Add.2.</w:t>
      </w:r>
    </w:p>
  </w:footnote>
  <w:footnote w:id="14">
    <w:p w14:paraId="45B0BE91" w14:textId="7E01FB89" w:rsidR="00B43E9A" w:rsidRPr="00DA02C2" w:rsidRDefault="00B43E9A" w:rsidP="00B43E9A">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UNEP/MC/COP.6/28, anexo I.</w:t>
      </w:r>
    </w:p>
  </w:footnote>
  <w:footnote w:id="15">
    <w:p w14:paraId="75C979D4" w14:textId="525700AD" w:rsidR="00C72250" w:rsidRPr="00DA02C2" w:rsidRDefault="00C72250" w:rsidP="00C72250">
      <w:pPr>
        <w:pStyle w:val="Footnote-Text"/>
        <w:rPr>
          <w:szCs w:val="18"/>
          <w:lang w:val="es-ES_tradnl"/>
        </w:rPr>
      </w:pPr>
      <w:r w:rsidRPr="00DA02C2">
        <w:rPr>
          <w:rStyle w:val="FootnoteReference"/>
          <w:sz w:val="18"/>
          <w:lang w:val="es-ES_tradnl"/>
        </w:rPr>
        <w:footnoteRef/>
      </w:r>
      <w:r w:rsidRPr="00DA02C2">
        <w:rPr>
          <w:szCs w:val="18"/>
          <w:lang w:val="es-ES_tradnl"/>
        </w:rPr>
        <w:t xml:space="preserve"> </w:t>
      </w:r>
      <w:r w:rsidRPr="00DA02C2">
        <w:rPr>
          <w:i/>
          <w:iCs/>
          <w:szCs w:val="18"/>
          <w:lang w:val="es-ES_tradnl"/>
        </w:rPr>
        <w:t>Ibid.</w:t>
      </w:r>
      <w:r w:rsidRPr="00DA02C2">
        <w:rPr>
          <w:szCs w:val="18"/>
          <w:lang w:val="es-ES_tradnl"/>
        </w:rPr>
        <w:t>, anexo II.</w:t>
      </w:r>
    </w:p>
  </w:footnote>
  <w:footnote w:id="16">
    <w:p w14:paraId="5D4D3207" w14:textId="25DFCF69" w:rsidR="00C72250" w:rsidRPr="00DA02C2" w:rsidRDefault="00C72250" w:rsidP="00C72250">
      <w:pPr>
        <w:pStyle w:val="Footnote-Text"/>
        <w:rPr>
          <w:szCs w:val="18"/>
          <w:lang w:val="es-ES_tradnl"/>
        </w:rPr>
      </w:pPr>
      <w:r w:rsidRPr="00DA02C2">
        <w:rPr>
          <w:rStyle w:val="FootnoteReference"/>
          <w:sz w:val="18"/>
          <w:lang w:val="es-ES_tradnl"/>
        </w:rPr>
        <w:footnoteRef/>
      </w:r>
      <w:r w:rsidRPr="00DA02C2">
        <w:rPr>
          <w:szCs w:val="18"/>
          <w:lang w:val="es-ES_tradnl"/>
        </w:rPr>
        <w:t xml:space="preserve"> </w:t>
      </w:r>
      <w:r w:rsidRPr="00DA02C2">
        <w:rPr>
          <w:i/>
          <w:iCs/>
          <w:szCs w:val="18"/>
          <w:lang w:val="es-ES_tradnl"/>
        </w:rPr>
        <w:t>Ibid.</w:t>
      </w:r>
      <w:r w:rsidRPr="00DA02C2">
        <w:rPr>
          <w:szCs w:val="18"/>
          <w:lang w:val="es-ES_tradnl"/>
        </w:rPr>
        <w:t>, anexo III.</w:t>
      </w:r>
    </w:p>
  </w:footnote>
  <w:footnote w:id="17">
    <w:p w14:paraId="091FF94B" w14:textId="4399A9A1" w:rsidR="00840F13" w:rsidRPr="00DA02C2" w:rsidRDefault="00840F13" w:rsidP="00840F13">
      <w:pPr>
        <w:pStyle w:val="Footnote-Text"/>
        <w:rPr>
          <w:szCs w:val="18"/>
          <w:lang w:val="es-ES_tradnl"/>
        </w:rPr>
      </w:pPr>
      <w:r w:rsidRPr="00DA02C2">
        <w:rPr>
          <w:rStyle w:val="FootnoteReference"/>
          <w:sz w:val="18"/>
          <w:lang w:val="es-ES_tradnl"/>
        </w:rPr>
        <w:footnoteRef/>
      </w:r>
      <w:r w:rsidRPr="00DA02C2">
        <w:rPr>
          <w:szCs w:val="18"/>
          <w:lang w:val="es-ES_tradnl"/>
        </w:rPr>
        <w:t xml:space="preserve"> Presentadas en el documento UNEP/MC/COP.6/7/Add.1.</w:t>
      </w:r>
    </w:p>
  </w:footnote>
  <w:footnote w:id="18">
    <w:p w14:paraId="1CC2E14E" w14:textId="790D4FF7" w:rsidR="00312042" w:rsidRPr="00DA02C2" w:rsidRDefault="00312042" w:rsidP="002C549A">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UNEP/MC/COP.6/INF/11.</w:t>
      </w:r>
    </w:p>
  </w:footnote>
  <w:footnote w:id="19">
    <w:p w14:paraId="7B4A38DC" w14:textId="0EC1A5B4" w:rsidR="00312042" w:rsidRPr="00DA02C2" w:rsidRDefault="00312042" w:rsidP="002C549A">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UNEP/MC/COP.6/INF/39.</w:t>
      </w:r>
    </w:p>
  </w:footnote>
  <w:footnote w:id="20">
    <w:p w14:paraId="697453B8" w14:textId="2DF9ED5D" w:rsidR="00312042" w:rsidRPr="00DA02C2" w:rsidRDefault="00312042" w:rsidP="002C549A">
      <w:pPr>
        <w:pStyle w:val="Footnote-Text"/>
        <w:rPr>
          <w:szCs w:val="18"/>
          <w:lang w:val="es-ES_tradnl"/>
        </w:rPr>
      </w:pPr>
      <w:r w:rsidRPr="00DA02C2">
        <w:rPr>
          <w:rStyle w:val="FootnoteReference"/>
          <w:sz w:val="18"/>
          <w:lang w:val="es-ES_tradnl"/>
        </w:rPr>
        <w:footnoteRef/>
      </w:r>
      <w:r w:rsidRPr="00DA02C2">
        <w:rPr>
          <w:szCs w:val="18"/>
          <w:lang w:val="es-ES_tradnl"/>
        </w:rPr>
        <w:t xml:space="preserve"> Programa especial de apoyo al fortalecimiento institucional a nivel nacional para la aplicación de los Convenios de Basilea, Estocolmo y Rotterdam, el Convenio de Minamata sobre el Mercurio, el Enfoque Estratégico para la Gestión de Productos Químicos a Nivel Internacional y el Marco Mundial sobre los Productos Químicos: por un Planeta Libre de los Daños derivados de los Productos Químicos y los Desechos, conocido también como Programa de Gestión de Productos Químicos y Desechos.</w:t>
      </w:r>
    </w:p>
  </w:footnote>
  <w:footnote w:id="21">
    <w:p w14:paraId="2EBCA72A" w14:textId="040C5E8C" w:rsidR="00312042" w:rsidRPr="00DA02C2" w:rsidRDefault="00312042" w:rsidP="00312042">
      <w:pPr>
        <w:pStyle w:val="Footnote-Text"/>
        <w:rPr>
          <w:szCs w:val="18"/>
          <w:lang w:val="es-ES_tradnl"/>
        </w:rPr>
      </w:pPr>
      <w:r w:rsidRPr="00DA02C2">
        <w:rPr>
          <w:rStyle w:val="FootnoteReference"/>
          <w:sz w:val="18"/>
          <w:lang w:val="es-ES_tradnl"/>
        </w:rPr>
        <w:footnoteRef/>
      </w:r>
      <w:r w:rsidRPr="00DA02C2">
        <w:rPr>
          <w:szCs w:val="18"/>
          <w:lang w:val="es-ES_tradnl"/>
        </w:rPr>
        <w:t xml:space="preserve"> Véase el documento UNEP/MC/COP.6/INF/18.</w:t>
      </w:r>
    </w:p>
  </w:footnote>
  <w:footnote w:id="22">
    <w:p w14:paraId="1665D0A0" w14:textId="6993E185" w:rsidR="00312042" w:rsidRPr="00DA02C2" w:rsidRDefault="00312042" w:rsidP="005F4B2B">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UNEP/MC/COP.6/14.</w:t>
      </w:r>
    </w:p>
  </w:footnote>
  <w:footnote w:id="23">
    <w:p w14:paraId="59FB4ABC" w14:textId="693FA227"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UNEP/MC/COP.6/INF/21.</w:t>
      </w:r>
    </w:p>
  </w:footnote>
  <w:footnote w:id="24">
    <w:p w14:paraId="186F0583" w14:textId="30EE44C8" w:rsidR="00312042" w:rsidRPr="00DA02C2" w:rsidRDefault="00312042" w:rsidP="00312042">
      <w:pPr>
        <w:pStyle w:val="Footnote-Text"/>
        <w:rPr>
          <w:szCs w:val="18"/>
          <w:lang w:val="es-ES_tradnl"/>
        </w:rPr>
      </w:pPr>
      <w:r w:rsidRPr="00DA02C2">
        <w:rPr>
          <w:rStyle w:val="FootnoteReference"/>
          <w:sz w:val="18"/>
          <w:lang w:val="es-ES_tradnl"/>
        </w:rPr>
        <w:footnoteRef/>
      </w:r>
      <w:r w:rsidRPr="00DA02C2">
        <w:rPr>
          <w:szCs w:val="18"/>
          <w:lang w:val="es-ES_tradnl"/>
        </w:rPr>
        <w:t xml:space="preserve"> Las actividades sugeridas se recogen en el documento UNEP/MC/COP.6/29, párr. 2.</w:t>
      </w:r>
    </w:p>
  </w:footnote>
  <w:footnote w:id="25">
    <w:p w14:paraId="763325B0" w14:textId="1A10F00C" w:rsidR="00312042" w:rsidRPr="00DA02C2" w:rsidRDefault="00312042" w:rsidP="00312042">
      <w:pPr>
        <w:pStyle w:val="Footnote-Text"/>
        <w:rPr>
          <w:szCs w:val="18"/>
          <w:lang w:val="es-ES_tradnl"/>
        </w:rPr>
      </w:pPr>
      <w:r w:rsidRPr="00DA02C2">
        <w:rPr>
          <w:rStyle w:val="FootnoteReference"/>
          <w:sz w:val="18"/>
          <w:lang w:val="es-ES_tradnl"/>
        </w:rPr>
        <w:footnoteRef/>
      </w:r>
      <w:r w:rsidRPr="00DA02C2">
        <w:rPr>
          <w:szCs w:val="18"/>
          <w:lang w:val="es-ES_tradnl"/>
        </w:rPr>
        <w:t xml:space="preserve"> Las actividades sugeridas se recogen en el documento UNEP/MC/COP.6/29, párr. 1.</w:t>
      </w:r>
    </w:p>
  </w:footnote>
  <w:footnote w:id="26">
    <w:p w14:paraId="29046661" w14:textId="0CD609CF" w:rsidR="0036758B" w:rsidRPr="00DA02C2" w:rsidRDefault="0036758B" w:rsidP="0036758B">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UNEP/MC/COP.5/19, anexo I.</w:t>
      </w:r>
    </w:p>
  </w:footnote>
  <w:footnote w:id="27">
    <w:p w14:paraId="7CD9D7D1" w14:textId="5C744986" w:rsidR="00086C02" w:rsidRPr="00DA02C2" w:rsidRDefault="00086C02" w:rsidP="00086C02">
      <w:pPr>
        <w:pStyle w:val="Footnote-Text"/>
        <w:rPr>
          <w:szCs w:val="18"/>
          <w:lang w:val="es-ES_tradnl"/>
        </w:rPr>
      </w:pPr>
      <w:r w:rsidRPr="00DA02C2">
        <w:rPr>
          <w:rStyle w:val="FootnoteReference"/>
          <w:sz w:val="18"/>
          <w:lang w:val="es-ES_tradnl"/>
        </w:rPr>
        <w:footnoteRef/>
      </w:r>
      <w:r w:rsidRPr="00DA02C2">
        <w:rPr>
          <w:szCs w:val="18"/>
          <w:lang w:val="es-ES_tradnl"/>
        </w:rPr>
        <w:t xml:space="preserve"> Presentados en el documento UNEP/MC/COP.6/19.</w:t>
      </w:r>
    </w:p>
  </w:footnote>
  <w:footnote w:id="28">
    <w:p w14:paraId="1E60BCBC" w14:textId="26A9D385" w:rsidR="00A820C4" w:rsidRPr="00DA02C2" w:rsidRDefault="00A820C4" w:rsidP="00A820C4">
      <w:pPr>
        <w:pStyle w:val="Footnote-Text"/>
        <w:rPr>
          <w:szCs w:val="18"/>
          <w:lang w:val="es-ES_tradnl"/>
        </w:rPr>
      </w:pPr>
      <w:r w:rsidRPr="00DA02C2">
        <w:rPr>
          <w:rStyle w:val="FootnoteReference"/>
          <w:sz w:val="18"/>
          <w:lang w:val="es-ES_tradnl"/>
        </w:rPr>
        <w:footnoteRef/>
      </w:r>
      <w:r w:rsidRPr="00DA02C2">
        <w:rPr>
          <w:szCs w:val="18"/>
          <w:lang w:val="es-ES_tradnl"/>
        </w:rPr>
        <w:t xml:space="preserve"> Véase </w:t>
      </w:r>
      <w:hyperlink r:id="rId1" w:history="1">
        <w:r w:rsidR="00301B49" w:rsidRPr="00DA02C2">
          <w:rPr>
            <w:rStyle w:val="Hyperlink"/>
            <w:szCs w:val="18"/>
            <w:lang w:val="es-ES_tradnl"/>
          </w:rPr>
          <w:t>https://www.unep.org/events/conference/bern-iii-conference-cooperation-among-biodiversity-related-conventions</w:t>
        </w:r>
      </w:hyperlink>
      <w:r w:rsidRPr="00DA02C2">
        <w:rPr>
          <w:szCs w:val="18"/>
          <w:lang w:val="es-ES_tradnl"/>
        </w:rPr>
        <w:t>.</w:t>
      </w:r>
      <w:hyperlink r:id="rId2" w:history="1"/>
    </w:p>
  </w:footnote>
  <w:footnote w:id="29">
    <w:p w14:paraId="7B66EBD7" w14:textId="20C753DB" w:rsidR="00312042" w:rsidRPr="00DA02C2" w:rsidRDefault="00312042" w:rsidP="005F4B2B">
      <w:pPr>
        <w:pStyle w:val="Footnote-Text"/>
        <w:rPr>
          <w:szCs w:val="18"/>
          <w:lang w:val="es-ES_tradnl"/>
        </w:rPr>
      </w:pPr>
      <w:r w:rsidRPr="00DA02C2">
        <w:rPr>
          <w:rStyle w:val="FootnoteReference"/>
          <w:sz w:val="18"/>
          <w:lang w:val="es-ES_tradnl"/>
        </w:rPr>
        <w:footnoteRef/>
      </w:r>
      <w:r w:rsidRPr="00DA02C2">
        <w:rPr>
          <w:szCs w:val="18"/>
          <w:lang w:val="es-ES_tradnl"/>
        </w:rPr>
        <w:t xml:space="preserve"> Recogida en la sección III del documento UNEP/MC/COP.6/20.</w:t>
      </w:r>
    </w:p>
  </w:footnote>
  <w:footnote w:id="30">
    <w:p w14:paraId="36979579" w14:textId="19E8B028" w:rsidR="004627CE" w:rsidRPr="00DA02C2" w:rsidRDefault="004627CE" w:rsidP="004627CE">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UNEP/MC/COP.6/INF/27.</w:t>
      </w:r>
    </w:p>
  </w:footnote>
  <w:footnote w:id="31">
    <w:p w14:paraId="367290CA" w14:textId="0EBABFD5" w:rsidR="00312042" w:rsidRPr="00DA02C2" w:rsidRDefault="00312042" w:rsidP="005F4B2B">
      <w:pPr>
        <w:pStyle w:val="Footnote-Text"/>
        <w:rPr>
          <w:szCs w:val="18"/>
          <w:lang w:val="es-ES_tradnl"/>
        </w:rPr>
      </w:pPr>
      <w:r w:rsidRPr="00DA02C2">
        <w:rPr>
          <w:rStyle w:val="FootnoteReference"/>
          <w:sz w:val="18"/>
          <w:lang w:val="es-ES_tradnl"/>
        </w:rPr>
        <w:footnoteRef/>
      </w:r>
      <w:r w:rsidRPr="00DA02C2">
        <w:rPr>
          <w:szCs w:val="18"/>
          <w:lang w:val="es-ES_tradnl"/>
        </w:rPr>
        <w:t xml:space="preserve"> Conferencia de las Partes en el Convenio sobre la Diversidad Biológica, decisión 16/11, párr. 3.</w:t>
      </w:r>
    </w:p>
  </w:footnote>
  <w:footnote w:id="32">
    <w:p w14:paraId="64296E9F" w14:textId="755CDF8A" w:rsidR="00312042" w:rsidRPr="00DA02C2" w:rsidRDefault="00312042" w:rsidP="00312042">
      <w:pPr>
        <w:pStyle w:val="Footnote-Text"/>
        <w:rPr>
          <w:spacing w:val="-2"/>
          <w:szCs w:val="18"/>
          <w:lang w:val="es-ES_tradnl"/>
        </w:rPr>
      </w:pPr>
      <w:r w:rsidRPr="00DA02C2">
        <w:rPr>
          <w:rStyle w:val="FootnoteReference"/>
          <w:spacing w:val="-2"/>
          <w:sz w:val="18"/>
          <w:lang w:val="es-ES_tradnl"/>
        </w:rPr>
        <w:footnoteRef/>
      </w:r>
      <w:r w:rsidRPr="00DA02C2">
        <w:rPr>
          <w:spacing w:val="-2"/>
          <w:szCs w:val="18"/>
          <w:lang w:val="es-ES_tradnl"/>
        </w:rPr>
        <w:t xml:space="preserve"> La resolución 6/3, relativa al refuerzo del papel y la viabilidad de los foros regionales de ministros de medio ambiente y de las oficinas regionales del Programa de las Naciones Unidas para el Medio Ambiente en aras de una cooperación multilateral que permita hacer frente a los retos ambientales; la resolución 6/4, relativa a la promoción de las sinergias, la cooperación o la colaboración para la aplicación nacional de los acuerdos ambientales multilaterales y otros instrumentos ambientales pertinentes; la resolución 6/5, relativa a los aspectos ambientales de la gestión de minerales y metales; la resolución 6/6, relativa al fomento de medidas a escala nacional para hacer frente a los desafíos ambientales mundiales mediante una mayor cooperación entre la Asamblea de las Naciones Unidas sobre el Medio Ambiente, el Programa de las Naciones Unidas para el Medio</w:t>
      </w:r>
      <w:r w:rsidR="00B242D1" w:rsidRPr="00DA02C2">
        <w:rPr>
          <w:spacing w:val="-2"/>
          <w:szCs w:val="18"/>
          <w:lang w:val="es-ES_tradnl"/>
        </w:rPr>
        <w:t> </w:t>
      </w:r>
      <w:r w:rsidRPr="00DA02C2">
        <w:rPr>
          <w:spacing w:val="-2"/>
          <w:szCs w:val="18"/>
          <w:lang w:val="es-ES_tradnl"/>
        </w:rPr>
        <w:t>Ambiente y los acuerdos ambientales multilaterales, y la resolución 6/9, relativa a la gestión racional de</w:t>
      </w:r>
      <w:r w:rsidR="00B242D1" w:rsidRPr="00DA02C2">
        <w:rPr>
          <w:spacing w:val="-2"/>
          <w:szCs w:val="18"/>
          <w:lang w:val="es-ES_tradnl"/>
        </w:rPr>
        <w:t> </w:t>
      </w:r>
      <w:r w:rsidRPr="00DA02C2">
        <w:rPr>
          <w:spacing w:val="-2"/>
          <w:szCs w:val="18"/>
          <w:lang w:val="es-ES_tradnl"/>
        </w:rPr>
        <w:t>los</w:t>
      </w:r>
      <w:r w:rsidR="00B242D1" w:rsidRPr="00DA02C2">
        <w:rPr>
          <w:spacing w:val="-2"/>
          <w:szCs w:val="18"/>
          <w:lang w:val="es-ES_tradnl"/>
        </w:rPr>
        <w:t> </w:t>
      </w:r>
      <w:r w:rsidRPr="00DA02C2">
        <w:rPr>
          <w:spacing w:val="-2"/>
          <w:szCs w:val="18"/>
          <w:lang w:val="es-ES_tradnl"/>
        </w:rPr>
        <w:t>productos químicos y los desechos</w:t>
      </w:r>
      <w:r w:rsidR="004A73A4" w:rsidRPr="00DA02C2">
        <w:rPr>
          <w:spacing w:val="-2"/>
          <w:szCs w:val="18"/>
          <w:lang w:val="es-ES_tradnl"/>
        </w:rPr>
        <w:t>.</w:t>
      </w:r>
    </w:p>
  </w:footnote>
  <w:footnote w:id="33">
    <w:p w14:paraId="2485B06A" w14:textId="5CFB37EA" w:rsidR="00312042" w:rsidRPr="00DA02C2" w:rsidRDefault="00312042" w:rsidP="00312042">
      <w:pPr>
        <w:pStyle w:val="Footnote-Text"/>
        <w:rPr>
          <w:szCs w:val="18"/>
          <w:lang w:val="es-ES_tradnl"/>
        </w:rPr>
      </w:pPr>
      <w:r w:rsidRPr="00DA02C2">
        <w:rPr>
          <w:rStyle w:val="FootnoteReference"/>
          <w:sz w:val="18"/>
          <w:lang w:val="es-ES_tradnl"/>
        </w:rPr>
        <w:footnoteRef/>
      </w:r>
      <w:r w:rsidRPr="00DA02C2">
        <w:rPr>
          <w:szCs w:val="18"/>
          <w:lang w:val="es-ES_tradnl"/>
        </w:rPr>
        <w:t xml:space="preserve"> Figura en el documento UNEP/MC/COP.6/INF/28.</w:t>
      </w:r>
    </w:p>
  </w:footnote>
  <w:footnote w:id="34">
    <w:p w14:paraId="37CDA681" w14:textId="2C9CECF7" w:rsidR="00312042" w:rsidRPr="00DA02C2" w:rsidRDefault="00312042" w:rsidP="00312042">
      <w:pPr>
        <w:pStyle w:val="Footnote-Text"/>
        <w:tabs>
          <w:tab w:val="clear" w:pos="1247"/>
        </w:tabs>
        <w:rPr>
          <w:szCs w:val="18"/>
          <w:lang w:val="es-ES_tradnl"/>
        </w:rPr>
      </w:pPr>
      <w:r w:rsidRPr="00DA02C2">
        <w:rPr>
          <w:szCs w:val="18"/>
          <w:vertAlign w:val="superscript"/>
          <w:lang w:val="es-ES_tradnl"/>
        </w:rPr>
        <w:footnoteRef/>
      </w:r>
      <w:r w:rsidRPr="00DA02C2">
        <w:rPr>
          <w:szCs w:val="18"/>
          <w:lang w:val="es-ES_tradnl"/>
        </w:rPr>
        <w:t xml:space="preserve"> UNEP/MC/COP.6/INF/29, anexo I.</w:t>
      </w:r>
    </w:p>
  </w:footnote>
  <w:footnote w:id="35">
    <w:p w14:paraId="67796E17" w14:textId="1B3B9B38" w:rsidR="00312042" w:rsidRPr="00DA02C2" w:rsidRDefault="00312042" w:rsidP="00312042">
      <w:pPr>
        <w:pStyle w:val="Footnote-Text"/>
        <w:tabs>
          <w:tab w:val="clear" w:pos="1247"/>
        </w:tabs>
        <w:rPr>
          <w:szCs w:val="18"/>
          <w:lang w:val="es-ES_tradnl"/>
        </w:rPr>
      </w:pPr>
      <w:r w:rsidRPr="00DA02C2">
        <w:rPr>
          <w:szCs w:val="18"/>
          <w:vertAlign w:val="superscript"/>
          <w:lang w:val="es-ES_tradnl"/>
        </w:rPr>
        <w:footnoteRef/>
      </w:r>
      <w:r w:rsidRPr="00DA02C2">
        <w:rPr>
          <w:szCs w:val="18"/>
          <w:lang w:val="es-ES_tradnl"/>
        </w:rPr>
        <w:t xml:space="preserve"> </w:t>
      </w:r>
      <w:r w:rsidRPr="00DA02C2">
        <w:rPr>
          <w:i/>
          <w:iCs/>
          <w:szCs w:val="18"/>
          <w:lang w:val="es-ES_tradnl"/>
        </w:rPr>
        <w:t>Ibid.</w:t>
      </w:r>
      <w:r w:rsidRPr="00DA02C2">
        <w:rPr>
          <w:szCs w:val="18"/>
          <w:lang w:val="es-ES_tradnl"/>
        </w:rPr>
        <w:t>, anexo II.</w:t>
      </w:r>
    </w:p>
  </w:footnote>
  <w:footnote w:id="36">
    <w:p w14:paraId="38815048" w14:textId="58BE84DD"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UNEP/MC/COP.6/23.</w:t>
      </w:r>
    </w:p>
  </w:footnote>
  <w:footnote w:id="37">
    <w:p w14:paraId="53F1B186" w14:textId="1FFC041A"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UNEP/MC/COP.6/INF/37.</w:t>
      </w:r>
    </w:p>
  </w:footnote>
  <w:footnote w:id="38">
    <w:p w14:paraId="7A343393" w14:textId="22362FEA"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UNEP/MC/COP.6/INF/38.</w:t>
      </w:r>
    </w:p>
  </w:footnote>
  <w:footnote w:id="39">
    <w:p w14:paraId="3FAB7CB2" w14:textId="13D8EF04"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UNEP/MC/COP.6/INF/36.</w:t>
      </w:r>
    </w:p>
  </w:footnote>
  <w:footnote w:id="40">
    <w:p w14:paraId="30DBA0E4" w14:textId="0456191D"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UNEP/MC/COP.6/INF/37.</w:t>
      </w:r>
    </w:p>
  </w:footnote>
  <w:footnote w:id="41">
    <w:p w14:paraId="74B817B4" w14:textId="760E2AE6"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UNEP/MC/COP.6/INF/36.</w:t>
      </w:r>
    </w:p>
  </w:footnote>
  <w:footnote w:id="42">
    <w:p w14:paraId="55723C2A" w14:textId="1890B0B2"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UNEP/MC/COP.6/23.</w:t>
      </w:r>
    </w:p>
  </w:footnote>
  <w:footnote w:id="43">
    <w:p w14:paraId="1A7B0721" w14:textId="01D748F3"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UNEP/MC/COP.6/INF/37.</w:t>
      </w:r>
    </w:p>
  </w:footnote>
  <w:footnote w:id="44">
    <w:p w14:paraId="7CCD37BB" w14:textId="3B16532A"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UNEP/MC/COP.6/INF/38.</w:t>
      </w:r>
    </w:p>
  </w:footnote>
  <w:footnote w:id="45">
    <w:p w14:paraId="67DFEA5B" w14:textId="628157A3" w:rsidR="00312042" w:rsidRPr="00DA02C2" w:rsidRDefault="00312042" w:rsidP="00312042">
      <w:pPr>
        <w:pStyle w:val="Footnote-Text"/>
        <w:tabs>
          <w:tab w:val="clear" w:pos="1247"/>
          <w:tab w:val="clear" w:pos="1871"/>
          <w:tab w:val="clear" w:pos="2495"/>
          <w:tab w:val="clear" w:pos="3119"/>
          <w:tab w:val="clear" w:pos="3742"/>
          <w:tab w:val="clear" w:pos="4366"/>
          <w:tab w:val="clear" w:pos="4990"/>
        </w:tabs>
        <w:rPr>
          <w:szCs w:val="18"/>
          <w:lang w:val="es-ES_tradnl"/>
        </w:rPr>
      </w:pPr>
      <w:r w:rsidRPr="00DA02C2">
        <w:rPr>
          <w:rStyle w:val="FootnoteReference"/>
          <w:sz w:val="18"/>
          <w:lang w:val="es-ES_tradnl"/>
        </w:rPr>
        <w:footnoteRef/>
      </w:r>
      <w:r w:rsidRPr="00DA02C2">
        <w:rPr>
          <w:szCs w:val="18"/>
          <w:lang w:val="es-ES_tradnl"/>
        </w:rPr>
        <w:t xml:space="preserve"> UNEP/MC/COP.6/11.</w:t>
      </w:r>
    </w:p>
  </w:footnote>
  <w:footnote w:id="46">
    <w:p w14:paraId="70C02EF0" w14:textId="308FD665" w:rsidR="00E6519C" w:rsidRPr="00DA02C2" w:rsidRDefault="00E6519C" w:rsidP="00E6519C">
      <w:pPr>
        <w:pStyle w:val="Footnote-Text"/>
        <w:rPr>
          <w:szCs w:val="18"/>
          <w:lang w:val="es-ES_tradnl"/>
        </w:rPr>
      </w:pPr>
      <w:r w:rsidRPr="00DA02C2">
        <w:rPr>
          <w:rStyle w:val="FootnoteReference"/>
          <w:sz w:val="18"/>
          <w:lang w:val="es-ES_tradnl"/>
        </w:rPr>
        <w:footnoteRef/>
      </w:r>
      <w:r w:rsidRPr="00DA02C2">
        <w:rPr>
          <w:szCs w:val="18"/>
          <w:lang w:val="es-ES_tradnl"/>
        </w:rPr>
        <w:t xml:space="preserve"> Tras la sexta reunión de la Conferencia de las Partes, se dispuso de nuevas fechas en el lugar de celebración, el Centro Internacional de Conferencias de Ginebra, para el período comprendido entre el 6 y el 10 de septiembre de 2027. A la luz de esta novedad, y con el fin de no alterar la duración habitual del período entre reuniones, la Mesa acordó en diciembre de 2025 que la séptima reunión de la Conferencia de las Partes se celebraría en el Centro Internacional de Conferencias de Ginebra del 6 al 10 de septiembre de 2027, y que las reuniones preparatorias regionales tendrían lugar el 5 de septiembre de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C588" w14:textId="57E583AE" w:rsidR="00312042" w:rsidRPr="00E84D8D" w:rsidRDefault="0065285C" w:rsidP="00E84D8D">
    <w:pPr>
      <w:pStyle w:val="Header-pool"/>
    </w:pPr>
    <w:r>
      <w:rPr>
        <w:noProof/>
      </w:rPr>
      <w:t>UNEP/MC/COP.6/25/Add.1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1A38" w14:textId="71123AFA" w:rsidR="00312042" w:rsidRPr="00E84D8D" w:rsidRDefault="0065285C" w:rsidP="00E84D8D">
    <w:pPr>
      <w:pStyle w:val="Header-pool"/>
      <w:jc w:val="right"/>
    </w:pPr>
    <w:r>
      <w:rPr>
        <w:noProof/>
      </w:rPr>
      <w:t>UNEP/MC/COP.6/25/Add.1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19F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70B9"/>
    <w:rsid w:val="005414BE"/>
    <w:rsid w:val="00541EB6"/>
    <w:rsid w:val="005439E0"/>
    <w:rsid w:val="00543AC8"/>
    <w:rsid w:val="00544CBB"/>
    <w:rsid w:val="00546438"/>
    <w:rsid w:val="0054668F"/>
    <w:rsid w:val="00547929"/>
    <w:rsid w:val="00550518"/>
    <w:rsid w:val="0055083C"/>
    <w:rsid w:val="00550DBA"/>
    <w:rsid w:val="00551AE7"/>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113"/>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minamataconvention.org/en/parties/vc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unep.org/events/conference/bern-iii-conference-cooperation-among-biodiversity-related-conventions" TargetMode="External"/><Relationship Id="rId1" Type="http://schemas.openxmlformats.org/officeDocument/2006/relationships/hyperlink" Target="https://www.unep.org/events/conference/bern-iii-conference-cooperation-among-biodiversity-related-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8DD13-40BA-4644-8958-A1F21E6D41D2}"/>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2</TotalTime>
  <Pages>44</Pages>
  <Words>17768</Words>
  <Characters>97729</Characters>
  <Application>Microsoft Office Word</Application>
  <DocSecurity>0</DocSecurity>
  <PresentationFormat/>
  <Lines>814</Lines>
  <Paragraphs>230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115267</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Jimena Vallejo Montes</cp:lastModifiedBy>
  <cp:revision>2</cp:revision>
  <cp:lastPrinted>2026-02-27T09:48:00Z</cp:lastPrinted>
  <dcterms:created xsi:type="dcterms:W3CDTF">2026-04-13T14:13:00Z</dcterms:created>
  <dcterms:modified xsi:type="dcterms:W3CDTF">2026-04-13T14:13:00Z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