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60288"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67DEE9CE"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t>25/Add.1</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1CF9C3C3" w14:textId="77777777" w:rsidR="00032118" w:rsidRPr="00DA0337" w:rsidRDefault="00032118" w:rsidP="00546B6B">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Решения, принятые Конференцией Сторон Минаматской конвенции о ртути на ее шестом совещании, приводятся в приложении к настоящему добавлению.</w:t>
      </w:r>
    </w:p>
    <w:p w14:paraId="67E79553"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r w:rsidRPr="00DA0337">
        <w:rPr>
          <w:lang w:val="ru-RU"/>
        </w:rPr>
        <w:br w:type="page"/>
      </w:r>
    </w:p>
    <w:p w14:paraId="3A587050" w14:textId="77777777" w:rsidR="00312042" w:rsidRPr="00DA0337" w:rsidRDefault="00312042" w:rsidP="00546B6B">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w:t>
      </w:r>
    </w:p>
    <w:p w14:paraId="6DD97AC3" w14:textId="77777777" w:rsidR="00312042" w:rsidRPr="00DA0337" w:rsidRDefault="00312042" w:rsidP="00546B6B">
      <w:pPr>
        <w:pStyle w:val="ZZAnxtitle"/>
        <w:tabs>
          <w:tab w:val="clear" w:pos="624"/>
          <w:tab w:val="clear" w:pos="1247"/>
          <w:tab w:val="clear" w:pos="1871"/>
          <w:tab w:val="clear" w:pos="2495"/>
          <w:tab w:val="clear" w:pos="3119"/>
          <w:tab w:val="clear" w:pos="3742"/>
          <w:tab w:val="clear" w:pos="4366"/>
          <w:tab w:val="clear" w:pos="4990"/>
        </w:tabs>
        <w:spacing w:before="0"/>
        <w:rPr>
          <w:lang w:val="ru-RU"/>
        </w:rPr>
      </w:pPr>
      <w:r>
        <w:rPr>
          <w:lang w:val="ru-RU"/>
        </w:rPr>
        <w:t>Решения, принятые Конференцией Сторон Минаматской конвенции о ртути на ее шестом совещании</w:t>
      </w:r>
    </w:p>
    <w:p w14:paraId="436D456B" w14:textId="2948CB57" w:rsidR="009D7A6C" w:rsidRDefault="00312042">
      <w:pPr>
        <w:pStyle w:val="TOC1"/>
        <w:rPr>
          <w:rFonts w:asciiTheme="minorHAnsi" w:eastAsiaTheme="minorEastAsia" w:hAnsiTheme="minorHAnsi" w:cstheme="minorBidi"/>
          <w:bCs w:val="0"/>
          <w:noProof/>
          <w:kern w:val="2"/>
          <w:sz w:val="24"/>
          <w:szCs w:val="24"/>
          <w:lang w:eastAsia="en-GB"/>
          <w14:ligatures w14:val="standardContextual"/>
        </w:rPr>
      </w:pPr>
      <w:r w:rsidRPr="00631C1C">
        <w:fldChar w:fldCharType="begin"/>
      </w:r>
      <w:r w:rsidRPr="00631C1C">
        <w:instrText xml:space="preserve"> TOC \h \z \t "CH2,1" </w:instrText>
      </w:r>
      <w:r w:rsidRPr="00631C1C">
        <w:fldChar w:fldCharType="separate"/>
      </w:r>
      <w:hyperlink w:anchor="_Toc222992801" w:history="1">
        <w:r w:rsidR="009D7A6C" w:rsidRPr="00CE2CA9">
          <w:rPr>
            <w:rStyle w:val="Hyperlink"/>
            <w:noProof/>
            <w:lang w:val="ru-RU"/>
          </w:rPr>
          <w:t>Решение МК-6/1. Источники поставок и торговля</w:t>
        </w:r>
        <w:r w:rsidR="009D7A6C">
          <w:rPr>
            <w:noProof/>
            <w:webHidden/>
          </w:rPr>
          <w:tab/>
        </w:r>
        <w:r w:rsidR="009D7A6C">
          <w:rPr>
            <w:noProof/>
            <w:webHidden/>
          </w:rPr>
          <w:fldChar w:fldCharType="begin"/>
        </w:r>
        <w:r w:rsidR="009D7A6C">
          <w:rPr>
            <w:noProof/>
            <w:webHidden/>
          </w:rPr>
          <w:instrText xml:space="preserve"> PAGEREF _Toc222992801 \h </w:instrText>
        </w:r>
        <w:r w:rsidR="009D7A6C">
          <w:rPr>
            <w:noProof/>
            <w:webHidden/>
          </w:rPr>
        </w:r>
        <w:r w:rsidR="009D7A6C">
          <w:rPr>
            <w:noProof/>
            <w:webHidden/>
          </w:rPr>
          <w:fldChar w:fldCharType="separate"/>
        </w:r>
        <w:r w:rsidR="00846AD6">
          <w:rPr>
            <w:noProof/>
            <w:webHidden/>
          </w:rPr>
          <w:t>3</w:t>
        </w:r>
        <w:r w:rsidR="009D7A6C">
          <w:rPr>
            <w:noProof/>
            <w:webHidden/>
          </w:rPr>
          <w:fldChar w:fldCharType="end"/>
        </w:r>
      </w:hyperlink>
    </w:p>
    <w:p w14:paraId="520CEA45" w14:textId="65F35B77"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02" w:history="1">
        <w:r w:rsidRPr="00CE2CA9">
          <w:rPr>
            <w:rStyle w:val="Hyperlink"/>
            <w:noProof/>
            <w:lang w:val="ru-RU"/>
          </w:rPr>
          <w:t>Решение МК-6/2. Продвижение работы, связанной с потенциальными ограничениями на торговлю ртутными соединениями</w:t>
        </w:r>
        <w:r>
          <w:rPr>
            <w:noProof/>
            <w:webHidden/>
          </w:rPr>
          <w:tab/>
        </w:r>
        <w:r>
          <w:rPr>
            <w:noProof/>
            <w:webHidden/>
          </w:rPr>
          <w:fldChar w:fldCharType="begin"/>
        </w:r>
        <w:r>
          <w:rPr>
            <w:noProof/>
            <w:webHidden/>
          </w:rPr>
          <w:instrText xml:space="preserve"> PAGEREF _Toc222992802 \h </w:instrText>
        </w:r>
        <w:r>
          <w:rPr>
            <w:noProof/>
            <w:webHidden/>
          </w:rPr>
        </w:r>
        <w:r>
          <w:rPr>
            <w:noProof/>
            <w:webHidden/>
          </w:rPr>
          <w:fldChar w:fldCharType="separate"/>
        </w:r>
        <w:r w:rsidR="00846AD6">
          <w:rPr>
            <w:noProof/>
            <w:webHidden/>
          </w:rPr>
          <w:t>5</w:t>
        </w:r>
        <w:r>
          <w:rPr>
            <w:noProof/>
            <w:webHidden/>
          </w:rPr>
          <w:fldChar w:fldCharType="end"/>
        </w:r>
      </w:hyperlink>
    </w:p>
    <w:p w14:paraId="54842F15" w14:textId="23A08E77"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03" w:history="1">
        <w:r w:rsidRPr="00CE2CA9">
          <w:rPr>
            <w:rStyle w:val="Hyperlink"/>
            <w:noProof/>
            <w:lang w:val="ru-RU"/>
          </w:rPr>
          <w:t>Решение МК-6/3. Поправки к приложению A</w:t>
        </w:r>
        <w:r>
          <w:rPr>
            <w:noProof/>
            <w:webHidden/>
          </w:rPr>
          <w:tab/>
        </w:r>
        <w:r>
          <w:rPr>
            <w:noProof/>
            <w:webHidden/>
          </w:rPr>
          <w:fldChar w:fldCharType="begin"/>
        </w:r>
        <w:r>
          <w:rPr>
            <w:noProof/>
            <w:webHidden/>
          </w:rPr>
          <w:instrText xml:space="preserve"> PAGEREF _Toc222992803 \h </w:instrText>
        </w:r>
        <w:r>
          <w:rPr>
            <w:noProof/>
            <w:webHidden/>
          </w:rPr>
        </w:r>
        <w:r>
          <w:rPr>
            <w:noProof/>
            <w:webHidden/>
          </w:rPr>
          <w:fldChar w:fldCharType="separate"/>
        </w:r>
        <w:r w:rsidR="00846AD6">
          <w:rPr>
            <w:noProof/>
            <w:webHidden/>
          </w:rPr>
          <w:t>6</w:t>
        </w:r>
        <w:r>
          <w:rPr>
            <w:noProof/>
            <w:webHidden/>
          </w:rPr>
          <w:fldChar w:fldCharType="end"/>
        </w:r>
      </w:hyperlink>
    </w:p>
    <w:p w14:paraId="6E0F268C" w14:textId="7365BFA1"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04" w:history="1">
        <w:r w:rsidRPr="00CE2CA9">
          <w:rPr>
            <w:rStyle w:val="Hyperlink"/>
            <w:noProof/>
            <w:lang w:val="ru-RU"/>
          </w:rPr>
          <w:t>Решение МК-6/4. Продвижение работы, связанной с косметикой с добавлением ртути</w:t>
        </w:r>
        <w:r>
          <w:rPr>
            <w:noProof/>
            <w:webHidden/>
          </w:rPr>
          <w:tab/>
        </w:r>
        <w:r>
          <w:rPr>
            <w:noProof/>
            <w:webHidden/>
          </w:rPr>
          <w:fldChar w:fldCharType="begin"/>
        </w:r>
        <w:r>
          <w:rPr>
            <w:noProof/>
            <w:webHidden/>
          </w:rPr>
          <w:instrText xml:space="preserve"> PAGEREF _Toc222992804 \h </w:instrText>
        </w:r>
        <w:r>
          <w:rPr>
            <w:noProof/>
            <w:webHidden/>
          </w:rPr>
        </w:r>
        <w:r>
          <w:rPr>
            <w:noProof/>
            <w:webHidden/>
          </w:rPr>
          <w:fldChar w:fldCharType="separate"/>
        </w:r>
        <w:r w:rsidR="00846AD6">
          <w:rPr>
            <w:noProof/>
            <w:webHidden/>
          </w:rPr>
          <w:t>10</w:t>
        </w:r>
        <w:r>
          <w:rPr>
            <w:noProof/>
            <w:webHidden/>
          </w:rPr>
          <w:fldChar w:fldCharType="end"/>
        </w:r>
      </w:hyperlink>
    </w:p>
    <w:p w14:paraId="5646B49B" w14:textId="2FD1E285"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05" w:history="1">
        <w:r w:rsidRPr="00CE2CA9">
          <w:rPr>
            <w:rStyle w:val="Hyperlink"/>
            <w:noProof/>
            <w:lang w:val="ru-RU"/>
          </w:rPr>
          <w:t>Решение МК-6/5. Рассмотрение возможности применения безртутных альтернатив для производства мономера винилхлорида</w:t>
        </w:r>
        <w:r>
          <w:rPr>
            <w:noProof/>
            <w:webHidden/>
          </w:rPr>
          <w:tab/>
        </w:r>
        <w:r>
          <w:rPr>
            <w:noProof/>
            <w:webHidden/>
          </w:rPr>
          <w:fldChar w:fldCharType="begin"/>
        </w:r>
        <w:r>
          <w:rPr>
            <w:noProof/>
            <w:webHidden/>
          </w:rPr>
          <w:instrText xml:space="preserve"> PAGEREF _Toc222992805 \h </w:instrText>
        </w:r>
        <w:r>
          <w:rPr>
            <w:noProof/>
            <w:webHidden/>
          </w:rPr>
        </w:r>
        <w:r>
          <w:rPr>
            <w:noProof/>
            <w:webHidden/>
          </w:rPr>
          <w:fldChar w:fldCharType="separate"/>
        </w:r>
        <w:r w:rsidR="00846AD6">
          <w:rPr>
            <w:noProof/>
            <w:webHidden/>
          </w:rPr>
          <w:t>12</w:t>
        </w:r>
        <w:r>
          <w:rPr>
            <w:noProof/>
            <w:webHidden/>
          </w:rPr>
          <w:fldChar w:fldCharType="end"/>
        </w:r>
      </w:hyperlink>
    </w:p>
    <w:p w14:paraId="718B7FF0" w14:textId="70DFCF3F"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06" w:history="1">
        <w:r w:rsidRPr="00CE2CA9">
          <w:rPr>
            <w:rStyle w:val="Hyperlink"/>
            <w:noProof/>
            <w:lang w:val="ru-RU"/>
          </w:rPr>
          <w:t>Решение МК-6/6. График рассмотрения заявок Сторон о продлении действия исключений</w:t>
        </w:r>
        <w:r>
          <w:rPr>
            <w:noProof/>
            <w:webHidden/>
          </w:rPr>
          <w:tab/>
        </w:r>
        <w:r>
          <w:rPr>
            <w:noProof/>
            <w:webHidden/>
          </w:rPr>
          <w:fldChar w:fldCharType="begin"/>
        </w:r>
        <w:r>
          <w:rPr>
            <w:noProof/>
            <w:webHidden/>
          </w:rPr>
          <w:instrText xml:space="preserve"> PAGEREF _Toc222992806 \h </w:instrText>
        </w:r>
        <w:r>
          <w:rPr>
            <w:noProof/>
            <w:webHidden/>
          </w:rPr>
        </w:r>
        <w:r>
          <w:rPr>
            <w:noProof/>
            <w:webHidden/>
          </w:rPr>
          <w:fldChar w:fldCharType="separate"/>
        </w:r>
        <w:r w:rsidR="00846AD6">
          <w:rPr>
            <w:noProof/>
            <w:webHidden/>
          </w:rPr>
          <w:t>13</w:t>
        </w:r>
        <w:r>
          <w:rPr>
            <w:noProof/>
            <w:webHidden/>
          </w:rPr>
          <w:fldChar w:fldCharType="end"/>
        </w:r>
      </w:hyperlink>
    </w:p>
    <w:p w14:paraId="22FEF57E" w14:textId="0ECFAEA0"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08" w:history="1">
        <w:r w:rsidRPr="00CE2CA9">
          <w:rPr>
            <w:rStyle w:val="Hyperlink"/>
            <w:noProof/>
            <w:lang w:val="ru-RU"/>
          </w:rPr>
          <w:t>Решение МК-6/7. Продление действия исключений</w:t>
        </w:r>
        <w:r>
          <w:rPr>
            <w:noProof/>
            <w:webHidden/>
          </w:rPr>
          <w:tab/>
        </w:r>
        <w:r>
          <w:rPr>
            <w:noProof/>
            <w:webHidden/>
          </w:rPr>
          <w:fldChar w:fldCharType="begin"/>
        </w:r>
        <w:r>
          <w:rPr>
            <w:noProof/>
            <w:webHidden/>
          </w:rPr>
          <w:instrText xml:space="preserve"> PAGEREF _Toc222992808 \h </w:instrText>
        </w:r>
        <w:r>
          <w:rPr>
            <w:noProof/>
            <w:webHidden/>
          </w:rPr>
        </w:r>
        <w:r>
          <w:rPr>
            <w:noProof/>
            <w:webHidden/>
          </w:rPr>
          <w:fldChar w:fldCharType="separate"/>
        </w:r>
        <w:r w:rsidR="00846AD6">
          <w:rPr>
            <w:noProof/>
            <w:webHidden/>
          </w:rPr>
          <w:t>14</w:t>
        </w:r>
        <w:r>
          <w:rPr>
            <w:noProof/>
            <w:webHidden/>
          </w:rPr>
          <w:fldChar w:fldCharType="end"/>
        </w:r>
      </w:hyperlink>
    </w:p>
    <w:p w14:paraId="2A1C992C" w14:textId="32FA5678"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09" w:history="1">
        <w:r w:rsidRPr="00CE2CA9">
          <w:rPr>
            <w:rStyle w:val="Hyperlink"/>
            <w:noProof/>
            <w:lang w:val="ru-RU"/>
          </w:rPr>
          <w:t xml:space="preserve">Решение МК-6/8. Кустарная и мелкомасштабная золотодобыча: обзор хода </w:t>
        </w:r>
        <w:r>
          <w:rPr>
            <w:rStyle w:val="Hyperlink"/>
            <w:noProof/>
            <w:lang w:val="en-US"/>
          </w:rPr>
          <w:br/>
        </w:r>
        <w:r w:rsidRPr="00CE2CA9">
          <w:rPr>
            <w:rStyle w:val="Hyperlink"/>
            <w:noProof/>
            <w:lang w:val="ru-RU"/>
          </w:rPr>
          <w:t>выполнения статьи 7</w:t>
        </w:r>
        <w:r>
          <w:rPr>
            <w:noProof/>
            <w:webHidden/>
          </w:rPr>
          <w:tab/>
        </w:r>
        <w:r>
          <w:rPr>
            <w:noProof/>
            <w:webHidden/>
          </w:rPr>
          <w:fldChar w:fldCharType="begin"/>
        </w:r>
        <w:r>
          <w:rPr>
            <w:noProof/>
            <w:webHidden/>
          </w:rPr>
          <w:instrText xml:space="preserve"> PAGEREF _Toc222992809 \h </w:instrText>
        </w:r>
        <w:r>
          <w:rPr>
            <w:noProof/>
            <w:webHidden/>
          </w:rPr>
        </w:r>
        <w:r>
          <w:rPr>
            <w:noProof/>
            <w:webHidden/>
          </w:rPr>
          <w:fldChar w:fldCharType="separate"/>
        </w:r>
        <w:r w:rsidR="00846AD6">
          <w:rPr>
            <w:noProof/>
            <w:webHidden/>
          </w:rPr>
          <w:t>15</w:t>
        </w:r>
        <w:r>
          <w:rPr>
            <w:noProof/>
            <w:webHidden/>
          </w:rPr>
          <w:fldChar w:fldCharType="end"/>
        </w:r>
      </w:hyperlink>
    </w:p>
    <w:p w14:paraId="262D01E1" w14:textId="06F2696E"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10" w:history="1">
        <w:r w:rsidRPr="00CE2CA9">
          <w:rPr>
            <w:rStyle w:val="Hyperlink"/>
            <w:noProof/>
            <w:lang w:val="ru-RU"/>
          </w:rPr>
          <w:t>Решение МК-6/9. Продвижение работы в области ртутных отходов</w:t>
        </w:r>
        <w:r>
          <w:rPr>
            <w:noProof/>
            <w:webHidden/>
          </w:rPr>
          <w:tab/>
        </w:r>
        <w:r>
          <w:rPr>
            <w:noProof/>
            <w:webHidden/>
          </w:rPr>
          <w:fldChar w:fldCharType="begin"/>
        </w:r>
        <w:r>
          <w:rPr>
            <w:noProof/>
            <w:webHidden/>
          </w:rPr>
          <w:instrText xml:space="preserve"> PAGEREF _Toc222992810 \h </w:instrText>
        </w:r>
        <w:r>
          <w:rPr>
            <w:noProof/>
            <w:webHidden/>
          </w:rPr>
        </w:r>
        <w:r>
          <w:rPr>
            <w:noProof/>
            <w:webHidden/>
          </w:rPr>
          <w:fldChar w:fldCharType="separate"/>
        </w:r>
        <w:r w:rsidR="00846AD6">
          <w:rPr>
            <w:noProof/>
            <w:webHidden/>
          </w:rPr>
          <w:t>17</w:t>
        </w:r>
        <w:r>
          <w:rPr>
            <w:noProof/>
            <w:webHidden/>
          </w:rPr>
          <w:fldChar w:fldCharType="end"/>
        </w:r>
      </w:hyperlink>
    </w:p>
    <w:p w14:paraId="27ADE6DD" w14:textId="09F8DBFB"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11" w:history="1">
        <w:r w:rsidRPr="00CE2CA9">
          <w:rPr>
            <w:rStyle w:val="Hyperlink"/>
            <w:noProof/>
            <w:lang w:val="ru-RU"/>
          </w:rPr>
          <w:t>Решение МК-6/10. Механизм финансирования</w:t>
        </w:r>
        <w:r>
          <w:rPr>
            <w:noProof/>
            <w:webHidden/>
          </w:rPr>
          <w:tab/>
        </w:r>
        <w:r>
          <w:rPr>
            <w:noProof/>
            <w:webHidden/>
          </w:rPr>
          <w:fldChar w:fldCharType="begin"/>
        </w:r>
        <w:r>
          <w:rPr>
            <w:noProof/>
            <w:webHidden/>
          </w:rPr>
          <w:instrText xml:space="preserve"> PAGEREF _Toc222992811 \h </w:instrText>
        </w:r>
        <w:r>
          <w:rPr>
            <w:noProof/>
            <w:webHidden/>
          </w:rPr>
        </w:r>
        <w:r>
          <w:rPr>
            <w:noProof/>
            <w:webHidden/>
          </w:rPr>
          <w:fldChar w:fldCharType="separate"/>
        </w:r>
        <w:r w:rsidR="00846AD6">
          <w:rPr>
            <w:noProof/>
            <w:webHidden/>
          </w:rPr>
          <w:t>18</w:t>
        </w:r>
        <w:r>
          <w:rPr>
            <w:noProof/>
            <w:webHidden/>
          </w:rPr>
          <w:fldChar w:fldCharType="end"/>
        </w:r>
      </w:hyperlink>
    </w:p>
    <w:p w14:paraId="557E62C2" w14:textId="6501A35A"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12" w:history="1">
        <w:r w:rsidRPr="00CE2CA9">
          <w:rPr>
            <w:rStyle w:val="Hyperlink"/>
            <w:noProof/>
            <w:lang w:val="ru-RU"/>
          </w:rPr>
          <w:t>Решение MК-6/11: Третий обзор механизма финансирования</w:t>
        </w:r>
        <w:r>
          <w:rPr>
            <w:noProof/>
            <w:webHidden/>
          </w:rPr>
          <w:tab/>
        </w:r>
        <w:r>
          <w:rPr>
            <w:noProof/>
            <w:webHidden/>
          </w:rPr>
          <w:fldChar w:fldCharType="begin"/>
        </w:r>
        <w:r>
          <w:rPr>
            <w:noProof/>
            <w:webHidden/>
          </w:rPr>
          <w:instrText xml:space="preserve"> PAGEREF _Toc222992812 \h </w:instrText>
        </w:r>
        <w:r>
          <w:rPr>
            <w:noProof/>
            <w:webHidden/>
          </w:rPr>
        </w:r>
        <w:r>
          <w:rPr>
            <w:noProof/>
            <w:webHidden/>
          </w:rPr>
          <w:fldChar w:fldCharType="separate"/>
        </w:r>
        <w:r w:rsidR="00846AD6">
          <w:rPr>
            <w:noProof/>
            <w:webHidden/>
          </w:rPr>
          <w:t>20</w:t>
        </w:r>
        <w:r>
          <w:rPr>
            <w:noProof/>
            <w:webHidden/>
          </w:rPr>
          <w:fldChar w:fldCharType="end"/>
        </w:r>
      </w:hyperlink>
    </w:p>
    <w:p w14:paraId="3A71F191" w14:textId="00D9871F"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19" w:history="1">
        <w:r w:rsidRPr="00CE2CA9">
          <w:rPr>
            <w:rStyle w:val="Hyperlink"/>
            <w:noProof/>
            <w:lang w:val="ru-RU"/>
          </w:rPr>
          <w:t xml:space="preserve">Решение МК-6/12. Осуществление статьи 14 Минаматской конвенции о ртути, </w:t>
        </w:r>
        <w:r>
          <w:rPr>
            <w:rStyle w:val="Hyperlink"/>
            <w:noProof/>
            <w:lang w:val="en-US"/>
          </w:rPr>
          <w:br/>
        </w:r>
        <w:r w:rsidRPr="00CE2CA9">
          <w:rPr>
            <w:rStyle w:val="Hyperlink"/>
            <w:noProof/>
            <w:lang w:val="ru-RU"/>
          </w:rPr>
          <w:t xml:space="preserve">касающейся создания потенциала, технического содействия </w:t>
        </w:r>
        <w:r>
          <w:rPr>
            <w:rStyle w:val="Hyperlink"/>
            <w:noProof/>
            <w:lang w:val="en-US"/>
          </w:rPr>
          <w:br/>
        </w:r>
        <w:r w:rsidRPr="00CE2CA9">
          <w:rPr>
            <w:rStyle w:val="Hyperlink"/>
            <w:noProof/>
            <w:lang w:val="ru-RU"/>
          </w:rPr>
          <w:t>и передачи технологии</w:t>
        </w:r>
        <w:r>
          <w:rPr>
            <w:noProof/>
            <w:webHidden/>
          </w:rPr>
          <w:tab/>
        </w:r>
        <w:r>
          <w:rPr>
            <w:noProof/>
            <w:webHidden/>
          </w:rPr>
          <w:fldChar w:fldCharType="begin"/>
        </w:r>
        <w:r>
          <w:rPr>
            <w:noProof/>
            <w:webHidden/>
          </w:rPr>
          <w:instrText xml:space="preserve"> PAGEREF _Toc222992819 \h </w:instrText>
        </w:r>
        <w:r>
          <w:rPr>
            <w:noProof/>
            <w:webHidden/>
          </w:rPr>
        </w:r>
        <w:r>
          <w:rPr>
            <w:noProof/>
            <w:webHidden/>
          </w:rPr>
          <w:fldChar w:fldCharType="separate"/>
        </w:r>
        <w:r w:rsidR="00846AD6">
          <w:rPr>
            <w:noProof/>
            <w:webHidden/>
          </w:rPr>
          <w:t>23</w:t>
        </w:r>
        <w:r>
          <w:rPr>
            <w:noProof/>
            <w:webHidden/>
          </w:rPr>
          <w:fldChar w:fldCharType="end"/>
        </w:r>
      </w:hyperlink>
    </w:p>
    <w:p w14:paraId="404D1AC6" w14:textId="7FFEFB33"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0" w:history="1">
        <w:r w:rsidRPr="00CE2CA9">
          <w:rPr>
            <w:rStyle w:val="Hyperlink"/>
            <w:noProof/>
            <w:lang w:val="ru-RU"/>
          </w:rPr>
          <w:t xml:space="preserve">Решение МК-6/13. Национальные доклады (статья 21): вторые краткие национальные </w:t>
        </w:r>
        <w:r>
          <w:rPr>
            <w:rStyle w:val="Hyperlink"/>
            <w:noProof/>
            <w:lang w:val="en-US"/>
          </w:rPr>
          <w:br/>
        </w:r>
        <w:r w:rsidRPr="00CE2CA9">
          <w:rPr>
            <w:rStyle w:val="Hyperlink"/>
            <w:noProof/>
            <w:lang w:val="ru-RU"/>
          </w:rPr>
          <w:t>доклады</w:t>
        </w:r>
        <w:r>
          <w:rPr>
            <w:noProof/>
            <w:webHidden/>
          </w:rPr>
          <w:tab/>
        </w:r>
        <w:r>
          <w:rPr>
            <w:noProof/>
            <w:webHidden/>
          </w:rPr>
          <w:fldChar w:fldCharType="begin"/>
        </w:r>
        <w:r>
          <w:rPr>
            <w:noProof/>
            <w:webHidden/>
          </w:rPr>
          <w:instrText xml:space="preserve"> PAGEREF _Toc222992820 \h </w:instrText>
        </w:r>
        <w:r>
          <w:rPr>
            <w:noProof/>
            <w:webHidden/>
          </w:rPr>
        </w:r>
        <w:r>
          <w:rPr>
            <w:noProof/>
            <w:webHidden/>
          </w:rPr>
          <w:fldChar w:fldCharType="separate"/>
        </w:r>
        <w:r w:rsidR="00846AD6">
          <w:rPr>
            <w:noProof/>
            <w:webHidden/>
          </w:rPr>
          <w:t>25</w:t>
        </w:r>
        <w:r>
          <w:rPr>
            <w:noProof/>
            <w:webHidden/>
          </w:rPr>
          <w:fldChar w:fldCharType="end"/>
        </w:r>
      </w:hyperlink>
    </w:p>
    <w:p w14:paraId="6908E243" w14:textId="068C62AF"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1" w:history="1">
        <w:r w:rsidRPr="00CE2CA9">
          <w:rPr>
            <w:rStyle w:val="Hyperlink"/>
            <w:noProof/>
            <w:lang w:val="ru-RU"/>
          </w:rPr>
          <w:t>Решение MК-6/14. Ход работы по проведению первой оценки эффективности Минаматской конвенции о ртути</w:t>
        </w:r>
        <w:r>
          <w:rPr>
            <w:noProof/>
            <w:webHidden/>
          </w:rPr>
          <w:tab/>
        </w:r>
        <w:r>
          <w:rPr>
            <w:noProof/>
            <w:webHidden/>
          </w:rPr>
          <w:fldChar w:fldCharType="begin"/>
        </w:r>
        <w:r>
          <w:rPr>
            <w:noProof/>
            <w:webHidden/>
          </w:rPr>
          <w:instrText xml:space="preserve"> PAGEREF _Toc222992821 \h </w:instrText>
        </w:r>
        <w:r>
          <w:rPr>
            <w:noProof/>
            <w:webHidden/>
          </w:rPr>
        </w:r>
        <w:r>
          <w:rPr>
            <w:noProof/>
            <w:webHidden/>
          </w:rPr>
          <w:fldChar w:fldCharType="separate"/>
        </w:r>
        <w:r w:rsidR="00846AD6">
          <w:rPr>
            <w:noProof/>
            <w:webHidden/>
          </w:rPr>
          <w:t>27</w:t>
        </w:r>
        <w:r>
          <w:rPr>
            <w:noProof/>
            <w:webHidden/>
          </w:rPr>
          <w:fldChar w:fldCharType="end"/>
        </w:r>
      </w:hyperlink>
    </w:p>
    <w:p w14:paraId="14DD175C" w14:textId="26C885D4"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2" w:history="1">
        <w:r w:rsidRPr="00CE2CA9">
          <w:rPr>
            <w:rStyle w:val="Hyperlink"/>
            <w:noProof/>
            <w:lang w:val="ru-RU"/>
          </w:rPr>
          <w:t xml:space="preserve">Решение МК-6/15. </w:t>
        </w:r>
        <w:r w:rsidR="001024A0">
          <w:rPr>
            <w:noProof/>
            <w:lang w:val="ru-RU"/>
          </w:rPr>
          <w:t>Усиление</w:t>
        </w:r>
        <w:r w:rsidR="001024A0" w:rsidRPr="00A659FB">
          <w:rPr>
            <w:noProof/>
            <w:lang w:val="ru-RU"/>
          </w:rPr>
          <w:t xml:space="preserve"> эффективно</w:t>
        </w:r>
        <w:r w:rsidR="001024A0">
          <w:rPr>
            <w:noProof/>
            <w:lang w:val="ru-RU"/>
          </w:rPr>
          <w:t>го</w:t>
        </w:r>
        <w:r w:rsidR="001024A0" w:rsidRPr="00A659FB">
          <w:rPr>
            <w:noProof/>
            <w:lang w:val="ru-RU"/>
          </w:rPr>
          <w:t xml:space="preserve"> взаимодействи</w:t>
        </w:r>
        <w:r w:rsidR="001024A0">
          <w:rPr>
            <w:noProof/>
            <w:lang w:val="ru-RU"/>
          </w:rPr>
          <w:t>я</w:t>
        </w:r>
        <w:r w:rsidR="001024A0" w:rsidRPr="00A659FB">
          <w:rPr>
            <w:noProof/>
            <w:lang w:val="ru-RU"/>
          </w:rPr>
          <w:t xml:space="preserve"> с коренными народами и с местными общинами</w:t>
        </w:r>
        <w:r>
          <w:rPr>
            <w:noProof/>
            <w:webHidden/>
          </w:rPr>
          <w:tab/>
        </w:r>
        <w:r>
          <w:rPr>
            <w:noProof/>
            <w:webHidden/>
          </w:rPr>
          <w:fldChar w:fldCharType="begin"/>
        </w:r>
        <w:r>
          <w:rPr>
            <w:noProof/>
            <w:webHidden/>
          </w:rPr>
          <w:instrText xml:space="preserve"> PAGEREF _Toc222992822 \h </w:instrText>
        </w:r>
        <w:r>
          <w:rPr>
            <w:noProof/>
            <w:webHidden/>
          </w:rPr>
        </w:r>
        <w:r>
          <w:rPr>
            <w:noProof/>
            <w:webHidden/>
          </w:rPr>
          <w:fldChar w:fldCharType="separate"/>
        </w:r>
        <w:r w:rsidR="00846AD6">
          <w:rPr>
            <w:noProof/>
            <w:webHidden/>
          </w:rPr>
          <w:t>28</w:t>
        </w:r>
        <w:r>
          <w:rPr>
            <w:noProof/>
            <w:webHidden/>
          </w:rPr>
          <w:fldChar w:fldCharType="end"/>
        </w:r>
      </w:hyperlink>
    </w:p>
    <w:p w14:paraId="00D5D0EF" w14:textId="4CF235DC"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3" w:history="1">
        <w:r w:rsidRPr="00CE2CA9">
          <w:rPr>
            <w:rStyle w:val="Hyperlink"/>
            <w:noProof/>
            <w:lang w:val="ru-RU"/>
          </w:rPr>
          <w:t>Решение МК-6/16. Решение вопросов здоровья женщин и детей</w:t>
        </w:r>
        <w:r>
          <w:rPr>
            <w:noProof/>
            <w:webHidden/>
          </w:rPr>
          <w:tab/>
        </w:r>
        <w:r>
          <w:rPr>
            <w:noProof/>
            <w:webHidden/>
          </w:rPr>
          <w:fldChar w:fldCharType="begin"/>
        </w:r>
        <w:r>
          <w:rPr>
            <w:noProof/>
            <w:webHidden/>
          </w:rPr>
          <w:instrText xml:space="preserve"> PAGEREF _Toc222992823 \h </w:instrText>
        </w:r>
        <w:r>
          <w:rPr>
            <w:noProof/>
            <w:webHidden/>
          </w:rPr>
        </w:r>
        <w:r>
          <w:rPr>
            <w:noProof/>
            <w:webHidden/>
          </w:rPr>
          <w:fldChar w:fldCharType="separate"/>
        </w:r>
        <w:r w:rsidR="00846AD6">
          <w:rPr>
            <w:noProof/>
            <w:webHidden/>
          </w:rPr>
          <w:t>29</w:t>
        </w:r>
        <w:r>
          <w:rPr>
            <w:noProof/>
            <w:webHidden/>
          </w:rPr>
          <w:fldChar w:fldCharType="end"/>
        </w:r>
      </w:hyperlink>
    </w:p>
    <w:p w14:paraId="25BD1041" w14:textId="0D3B9EDC"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4" w:history="1">
        <w:r w:rsidRPr="00CE2CA9">
          <w:rPr>
            <w:rStyle w:val="Hyperlink"/>
            <w:noProof/>
            <w:lang w:val="ru-RU"/>
          </w:rPr>
          <w:t>Решение МК-6/17. Менеджмент знаний и осуществление цифровой стратегии</w:t>
        </w:r>
        <w:r>
          <w:rPr>
            <w:noProof/>
            <w:webHidden/>
          </w:rPr>
          <w:tab/>
        </w:r>
        <w:r>
          <w:rPr>
            <w:noProof/>
            <w:webHidden/>
          </w:rPr>
          <w:fldChar w:fldCharType="begin"/>
        </w:r>
        <w:r>
          <w:rPr>
            <w:noProof/>
            <w:webHidden/>
          </w:rPr>
          <w:instrText xml:space="preserve"> PAGEREF _Toc222992824 \h </w:instrText>
        </w:r>
        <w:r>
          <w:rPr>
            <w:noProof/>
            <w:webHidden/>
          </w:rPr>
        </w:r>
        <w:r>
          <w:rPr>
            <w:noProof/>
            <w:webHidden/>
          </w:rPr>
          <w:fldChar w:fldCharType="separate"/>
        </w:r>
        <w:r w:rsidR="00846AD6">
          <w:rPr>
            <w:noProof/>
            <w:webHidden/>
          </w:rPr>
          <w:t>30</w:t>
        </w:r>
        <w:r>
          <w:rPr>
            <w:noProof/>
            <w:webHidden/>
          </w:rPr>
          <w:fldChar w:fldCharType="end"/>
        </w:r>
      </w:hyperlink>
    </w:p>
    <w:p w14:paraId="612566A1" w14:textId="0EE2F82F"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5" w:history="1">
        <w:r w:rsidRPr="00CE2CA9">
          <w:rPr>
            <w:rStyle w:val="Hyperlink"/>
            <w:noProof/>
            <w:lang w:val="ru-RU"/>
          </w:rPr>
          <w:t>Решение MК-6/18. «Дорожная карта» для расширения сопутствующих выгод при осуществлении Минаматской конвенции и Куньминско-Монреальской глобальной рамочной программы в области биоразнообразия</w:t>
        </w:r>
        <w:r>
          <w:rPr>
            <w:noProof/>
            <w:webHidden/>
          </w:rPr>
          <w:tab/>
        </w:r>
        <w:r>
          <w:rPr>
            <w:noProof/>
            <w:webHidden/>
          </w:rPr>
          <w:fldChar w:fldCharType="begin"/>
        </w:r>
        <w:r>
          <w:rPr>
            <w:noProof/>
            <w:webHidden/>
          </w:rPr>
          <w:instrText xml:space="preserve"> PAGEREF _Toc222992825 \h </w:instrText>
        </w:r>
        <w:r>
          <w:rPr>
            <w:noProof/>
            <w:webHidden/>
          </w:rPr>
        </w:r>
        <w:r>
          <w:rPr>
            <w:noProof/>
            <w:webHidden/>
          </w:rPr>
          <w:fldChar w:fldCharType="separate"/>
        </w:r>
        <w:r w:rsidR="00846AD6">
          <w:rPr>
            <w:noProof/>
            <w:webHidden/>
          </w:rPr>
          <w:t>31</w:t>
        </w:r>
        <w:r>
          <w:rPr>
            <w:noProof/>
            <w:webHidden/>
          </w:rPr>
          <w:fldChar w:fldCharType="end"/>
        </w:r>
      </w:hyperlink>
    </w:p>
    <w:p w14:paraId="72DF0BBC" w14:textId="2AC5BA44"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6" w:history="1">
        <w:r w:rsidRPr="00CE2CA9">
          <w:rPr>
            <w:rStyle w:val="Hyperlink"/>
            <w:noProof/>
            <w:lang w:val="ru-RU"/>
          </w:rPr>
          <w:t>Решение MК-6/19. Международное сотрудничество и координация</w:t>
        </w:r>
        <w:r>
          <w:rPr>
            <w:noProof/>
            <w:webHidden/>
          </w:rPr>
          <w:tab/>
        </w:r>
        <w:r>
          <w:rPr>
            <w:noProof/>
            <w:webHidden/>
          </w:rPr>
          <w:fldChar w:fldCharType="begin"/>
        </w:r>
        <w:r>
          <w:rPr>
            <w:noProof/>
            <w:webHidden/>
          </w:rPr>
          <w:instrText xml:space="preserve"> PAGEREF _Toc222992826 \h </w:instrText>
        </w:r>
        <w:r>
          <w:rPr>
            <w:noProof/>
            <w:webHidden/>
          </w:rPr>
        </w:r>
        <w:r>
          <w:rPr>
            <w:noProof/>
            <w:webHidden/>
          </w:rPr>
          <w:fldChar w:fldCharType="separate"/>
        </w:r>
        <w:r w:rsidR="00846AD6">
          <w:rPr>
            <w:noProof/>
            <w:webHidden/>
          </w:rPr>
          <w:t>33</w:t>
        </w:r>
        <w:r>
          <w:rPr>
            <w:noProof/>
            <w:webHidden/>
          </w:rPr>
          <w:fldChar w:fldCharType="end"/>
        </w:r>
      </w:hyperlink>
    </w:p>
    <w:p w14:paraId="71D21A57" w14:textId="2EE467D7"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7" w:history="1">
        <w:r w:rsidRPr="00CE2CA9">
          <w:rPr>
            <w:rStyle w:val="Hyperlink"/>
            <w:noProof/>
            <w:lang w:val="ru-RU"/>
          </w:rPr>
          <w:t>Решение МК-6/20. Сотрудничество и координация между секретариатами Минаматской конвенции о ртути и Базельской, Роттердамской и Стокгольмской конвенций</w:t>
        </w:r>
        <w:r>
          <w:rPr>
            <w:noProof/>
            <w:webHidden/>
          </w:rPr>
          <w:tab/>
        </w:r>
        <w:r>
          <w:rPr>
            <w:noProof/>
            <w:webHidden/>
          </w:rPr>
          <w:fldChar w:fldCharType="begin"/>
        </w:r>
        <w:r>
          <w:rPr>
            <w:noProof/>
            <w:webHidden/>
          </w:rPr>
          <w:instrText xml:space="preserve"> PAGEREF _Toc222992827 \h </w:instrText>
        </w:r>
        <w:r>
          <w:rPr>
            <w:noProof/>
            <w:webHidden/>
          </w:rPr>
        </w:r>
        <w:r>
          <w:rPr>
            <w:noProof/>
            <w:webHidden/>
          </w:rPr>
          <w:fldChar w:fldCharType="separate"/>
        </w:r>
        <w:r w:rsidR="00846AD6">
          <w:rPr>
            <w:noProof/>
            <w:webHidden/>
          </w:rPr>
          <w:t>35</w:t>
        </w:r>
        <w:r>
          <w:rPr>
            <w:noProof/>
            <w:webHidden/>
          </w:rPr>
          <w:fldChar w:fldCharType="end"/>
        </w:r>
      </w:hyperlink>
    </w:p>
    <w:p w14:paraId="24495CF0" w14:textId="72FDBE09"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28" w:history="1">
        <w:r w:rsidRPr="00CE2CA9">
          <w:rPr>
            <w:rStyle w:val="Hyperlink"/>
            <w:noProof/>
            <w:lang w:val="ru-RU"/>
          </w:rPr>
          <w:t xml:space="preserve">Решение MК-6/21. Программа работы и бюджет на двухгодичный </w:t>
        </w:r>
        <w:r>
          <w:rPr>
            <w:rStyle w:val="Hyperlink"/>
            <w:noProof/>
            <w:lang w:val="en-US"/>
          </w:rPr>
          <w:br/>
        </w:r>
        <w:r w:rsidRPr="00CE2CA9">
          <w:rPr>
            <w:rStyle w:val="Hyperlink"/>
            <w:noProof/>
            <w:lang w:val="ru-RU"/>
          </w:rPr>
          <w:t>период 2026‒2027 годов</w:t>
        </w:r>
        <w:r>
          <w:rPr>
            <w:noProof/>
            <w:webHidden/>
          </w:rPr>
          <w:tab/>
        </w:r>
        <w:r>
          <w:rPr>
            <w:noProof/>
            <w:webHidden/>
          </w:rPr>
          <w:fldChar w:fldCharType="begin"/>
        </w:r>
        <w:r>
          <w:rPr>
            <w:noProof/>
            <w:webHidden/>
          </w:rPr>
          <w:instrText xml:space="preserve"> PAGEREF _Toc222992828 \h </w:instrText>
        </w:r>
        <w:r>
          <w:rPr>
            <w:noProof/>
            <w:webHidden/>
          </w:rPr>
        </w:r>
        <w:r>
          <w:rPr>
            <w:noProof/>
            <w:webHidden/>
          </w:rPr>
          <w:fldChar w:fldCharType="separate"/>
        </w:r>
        <w:r w:rsidR="00846AD6">
          <w:rPr>
            <w:noProof/>
            <w:webHidden/>
          </w:rPr>
          <w:t>36</w:t>
        </w:r>
        <w:r>
          <w:rPr>
            <w:noProof/>
            <w:webHidden/>
          </w:rPr>
          <w:fldChar w:fldCharType="end"/>
        </w:r>
      </w:hyperlink>
    </w:p>
    <w:p w14:paraId="0F0DF50E" w14:textId="6EDDCFCA" w:rsidR="009D7A6C" w:rsidRDefault="009D7A6C">
      <w:pPr>
        <w:pStyle w:val="TOC1"/>
        <w:rPr>
          <w:rFonts w:asciiTheme="minorHAnsi" w:eastAsiaTheme="minorEastAsia" w:hAnsiTheme="minorHAnsi" w:cstheme="minorBidi"/>
          <w:bCs w:val="0"/>
          <w:noProof/>
          <w:kern w:val="2"/>
          <w:sz w:val="24"/>
          <w:szCs w:val="24"/>
          <w:lang w:eastAsia="en-GB"/>
          <w14:ligatures w14:val="standardContextual"/>
        </w:rPr>
      </w:pPr>
      <w:hyperlink w:anchor="_Toc222992838" w:history="1">
        <w:r w:rsidRPr="00CE2CA9">
          <w:rPr>
            <w:rStyle w:val="Hyperlink"/>
            <w:noProof/>
            <w:lang w:val="ru-RU"/>
          </w:rPr>
          <w:t>Решение МК-6/22. Сроки и место проведения седьмого совещания Конференции Сторон Минаматской конвенции о ртути</w:t>
        </w:r>
        <w:r>
          <w:rPr>
            <w:noProof/>
            <w:webHidden/>
          </w:rPr>
          <w:tab/>
        </w:r>
        <w:r>
          <w:rPr>
            <w:noProof/>
            <w:webHidden/>
          </w:rPr>
          <w:fldChar w:fldCharType="begin"/>
        </w:r>
        <w:r>
          <w:rPr>
            <w:noProof/>
            <w:webHidden/>
          </w:rPr>
          <w:instrText xml:space="preserve"> PAGEREF _Toc222992838 \h </w:instrText>
        </w:r>
        <w:r>
          <w:rPr>
            <w:noProof/>
            <w:webHidden/>
          </w:rPr>
        </w:r>
        <w:r>
          <w:rPr>
            <w:noProof/>
            <w:webHidden/>
          </w:rPr>
          <w:fldChar w:fldCharType="separate"/>
        </w:r>
        <w:r w:rsidR="00846AD6">
          <w:rPr>
            <w:noProof/>
            <w:webHidden/>
          </w:rPr>
          <w:t>48</w:t>
        </w:r>
        <w:r>
          <w:rPr>
            <w:noProof/>
            <w:webHidden/>
          </w:rPr>
          <w:fldChar w:fldCharType="end"/>
        </w:r>
      </w:hyperlink>
    </w:p>
    <w:p w14:paraId="7588EB03" w14:textId="257EE278" w:rsidR="00546B6B" w:rsidRDefault="00312042" w:rsidP="00546B6B">
      <w:pPr>
        <w:pStyle w:val="Normal-pool"/>
        <w:tabs>
          <w:tab w:val="clear" w:pos="624"/>
          <w:tab w:val="clear" w:pos="1247"/>
          <w:tab w:val="clear" w:pos="1871"/>
          <w:tab w:val="clear" w:pos="2495"/>
          <w:tab w:val="clear" w:pos="3119"/>
          <w:tab w:val="clear" w:pos="3742"/>
          <w:tab w:val="clear" w:pos="4366"/>
          <w:tab w:val="clear" w:pos="4990"/>
        </w:tabs>
      </w:pPr>
      <w:r w:rsidRPr="00631C1C">
        <w:fldChar w:fldCharType="end"/>
      </w:r>
    </w:p>
    <w:p w14:paraId="77E0837B" w14:textId="6193935B" w:rsidR="00312042" w:rsidRPr="00631C1C" w:rsidRDefault="00312042" w:rsidP="00546B6B">
      <w:pPr>
        <w:pStyle w:val="Normal-pool"/>
        <w:tabs>
          <w:tab w:val="clear" w:pos="624"/>
          <w:tab w:val="clear" w:pos="1247"/>
          <w:tab w:val="clear" w:pos="1871"/>
          <w:tab w:val="clear" w:pos="2495"/>
          <w:tab w:val="clear" w:pos="3119"/>
          <w:tab w:val="clear" w:pos="3742"/>
          <w:tab w:val="clear" w:pos="4366"/>
          <w:tab w:val="clear" w:pos="4990"/>
        </w:tabs>
        <w:rPr>
          <w:rFonts w:asciiTheme="majorBidi" w:hAnsiTheme="majorBidi" w:cstheme="majorBidi"/>
        </w:rPr>
      </w:pPr>
      <w:r w:rsidRPr="00631C1C">
        <w:rPr>
          <w:rFonts w:asciiTheme="majorBidi" w:hAnsiTheme="majorBidi" w:cstheme="majorBidi"/>
        </w:rPr>
        <w:br w:type="page"/>
      </w:r>
    </w:p>
    <w:p w14:paraId="7B210F79" w14:textId="79FC197B" w:rsidR="00312042" w:rsidRPr="00D20C0A" w:rsidRDefault="00312042" w:rsidP="00F541C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rPr>
          <w:lang w:val="ru-RU"/>
        </w:rPr>
      </w:pPr>
      <w:bookmarkStart w:id="0" w:name="_Toc222992801"/>
      <w:r>
        <w:rPr>
          <w:lang w:val="ru-RU"/>
        </w:rPr>
        <w:lastRenderedPageBreak/>
        <w:t xml:space="preserve">Решение МК-6/1. </w:t>
      </w:r>
      <w:r w:rsidRPr="00453870">
        <w:rPr>
          <w:lang w:val="ru-RU"/>
        </w:rPr>
        <w:t>Источники</w:t>
      </w:r>
      <w:r>
        <w:rPr>
          <w:lang w:val="ru-RU"/>
        </w:rPr>
        <w:t xml:space="preserve"> поставок и торговля</w:t>
      </w:r>
      <w:bookmarkEnd w:id="0"/>
    </w:p>
    <w:p w14:paraId="3E5B96A9"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ru-RU"/>
        </w:rPr>
      </w:pPr>
      <w:r>
        <w:rPr>
          <w:i/>
          <w:iCs/>
          <w:lang w:val="ru-RU"/>
        </w:rPr>
        <w:t>Конференция Сторон,</w:t>
      </w:r>
    </w:p>
    <w:p w14:paraId="5AAF950E" w14:textId="49FF0ED6"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выражая</w:t>
      </w:r>
      <w:r>
        <w:rPr>
          <w:lang w:val="ru-RU"/>
        </w:rPr>
        <w:t xml:space="preserve"> признательность Сторонам за обмен информацией об опыте и трудностях, возникающих при осуществлении статьи 3 Минаматской конвенции о ртути, а также информацией о мероприятиях, проведенных в связи с Балийской декларацией о борьбе с незаконной торговлей ртутью, в ответ на пункт 4 решения MК-5/2,</w:t>
      </w:r>
      <w:bookmarkStart w:id="1" w:name="_Hlk216866538"/>
      <w:bookmarkEnd w:id="1"/>
    </w:p>
    <w:p w14:paraId="1CF614C0" w14:textId="60187436"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lang w:val="ru-RU"/>
        </w:rPr>
      </w:pPr>
      <w:r w:rsidRPr="007D254B">
        <w:rPr>
          <w:i/>
          <w:iCs/>
          <w:lang w:val="ru-RU"/>
        </w:rPr>
        <w:t>отмечая</w:t>
      </w:r>
      <w:r>
        <w:rPr>
          <w:lang w:val="ru-RU"/>
        </w:rPr>
        <w:t>, что в своих национальных докладах в соответствии со статьей 21 и в информации, представленной в ответ на пункт 4 решения MК-5/2, Стороны подняли вопрос о наличии не согласующейся с Конвенцией неофициальной или незаконной первичной добычи на своих территориях, а также о незаконном обороте ртути, незаконной торговле ртутью или контрабанде ртути, в частности для использования в кустарной и мелкомасштабной золотодобыче,</w:t>
      </w:r>
    </w:p>
    <w:p w14:paraId="2786DB59" w14:textId="7DAE05C1"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lang w:val="ru-RU"/>
        </w:rPr>
      </w:pPr>
      <w:r w:rsidRPr="007D254B">
        <w:rPr>
          <w:i/>
          <w:iCs/>
          <w:lang w:val="ru-RU"/>
        </w:rPr>
        <w:t>признавая</w:t>
      </w:r>
      <w:r>
        <w:rPr>
          <w:lang w:val="ru-RU"/>
        </w:rPr>
        <w:t>, что такого рода первичная добыча и торговля создают трудности для осуществления статьи 3 Конвенции,</w:t>
      </w:r>
    </w:p>
    <w:p w14:paraId="7B99B7C0" w14:textId="120CE0D5" w:rsidR="00312042" w:rsidRPr="00546B6B"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учитывая</w:t>
      </w:r>
      <w:r>
        <w:rPr>
          <w:lang w:val="ru-RU"/>
        </w:rPr>
        <w:t xml:space="preserve"> рекомендацию Комитета по осуществлению и соблюдению Минаматской конвенции, представленную Конференции Сторон на ее шестом совещании</w:t>
      </w:r>
      <w:r w:rsidRPr="00631C1C">
        <w:rPr>
          <w:rStyle w:val="FootnoteReference"/>
          <w:rFonts w:asciiTheme="majorBidi" w:hAnsiTheme="majorBidi" w:cstheme="majorBidi"/>
          <w:lang w:val="ru-RU"/>
        </w:rPr>
        <w:footnoteReference w:id="2"/>
      </w:r>
      <w:r>
        <w:rPr>
          <w:lang w:val="ru-RU"/>
        </w:rPr>
        <w:t>,</w:t>
      </w:r>
    </w:p>
    <w:p w14:paraId="532B3975" w14:textId="181FBB85"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отмечая</w:t>
      </w:r>
      <w:r>
        <w:rPr>
          <w:lang w:val="ru-RU"/>
        </w:rPr>
        <w:t>, что, несмотря на достигнутый по настоящее время прогресс, Стороны заявили о необходимости укрепления сотрудничества и получения дополнительной поддержки и помощи для более эффективного осуществления статьи 3, признавая роль Глобального экологического фонда в оказании такой поддержки</w:t>
      </w:r>
      <w:r w:rsidRPr="00631C1C">
        <w:rPr>
          <w:rStyle w:val="FootnoteReference"/>
          <w:rFonts w:asciiTheme="majorBidi" w:hAnsiTheme="majorBidi" w:cstheme="majorBidi"/>
          <w:lang w:val="ru-RU"/>
        </w:rPr>
        <w:footnoteReference w:id="3"/>
      </w:r>
      <w:r>
        <w:rPr>
          <w:lang w:val="ru-RU"/>
        </w:rPr>
        <w:t>,</w:t>
      </w:r>
    </w:p>
    <w:p w14:paraId="3C482F52" w14:textId="48981391"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bookmarkStart w:id="2" w:name="_Hlk216877385"/>
      <w:r w:rsidRPr="007D254B">
        <w:rPr>
          <w:i/>
          <w:iCs/>
          <w:lang w:val="ru-RU"/>
        </w:rPr>
        <w:t>принимает</w:t>
      </w:r>
      <w:r>
        <w:rPr>
          <w:lang w:val="ru-RU"/>
        </w:rPr>
        <w:t xml:space="preserve"> обновления</w:t>
      </w:r>
      <w:r w:rsidR="006A51FD" w:rsidRPr="00D86B1A">
        <w:rPr>
          <w:rStyle w:val="FootnoteReference"/>
          <w:rFonts w:asciiTheme="majorBidi" w:hAnsiTheme="majorBidi" w:cstheme="majorBidi"/>
          <w:lang w:val="ru-RU"/>
        </w:rPr>
        <w:footnoteReference w:id="4"/>
      </w:r>
      <w:r>
        <w:rPr>
          <w:lang w:val="ru-RU"/>
        </w:rPr>
        <w:t xml:space="preserve"> к руководству</w:t>
      </w:r>
      <w:r w:rsidR="00D86B1A" w:rsidRPr="00D86B1A">
        <w:rPr>
          <w:rStyle w:val="FootnoteReference"/>
          <w:rFonts w:asciiTheme="majorBidi" w:hAnsiTheme="majorBidi" w:cstheme="majorBidi"/>
          <w:lang w:val="ru-RU"/>
        </w:rPr>
        <w:footnoteReference w:id="5"/>
      </w:r>
      <w:r>
        <w:rPr>
          <w:lang w:val="ru-RU"/>
        </w:rPr>
        <w:t xml:space="preserve"> по выявлению отдельных запасов ртути или ртутных соединений в объеме свыше 50 тонн и источников поставок ртути, обеспечивающих создание запасов ртути в объеме свыше 10 тонн в год;</w:t>
      </w:r>
      <w:bookmarkStart w:id="3" w:name="_Hlk219451192"/>
      <w:bookmarkStart w:id="4" w:name="_Hlk216876899"/>
      <w:bookmarkEnd w:id="2"/>
      <w:bookmarkEnd w:id="3"/>
      <w:bookmarkEnd w:id="4"/>
    </w:p>
    <w:p w14:paraId="384C3342" w14:textId="193D9123"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принимает также</w:t>
      </w:r>
      <w:r>
        <w:rPr>
          <w:lang w:val="ru-RU"/>
        </w:rPr>
        <w:t xml:space="preserve"> обновления</w:t>
      </w:r>
      <w:r w:rsidR="00924456" w:rsidRPr="00D86B1A">
        <w:rPr>
          <w:rStyle w:val="FootnoteReference"/>
          <w:rFonts w:asciiTheme="majorBidi" w:hAnsiTheme="majorBidi" w:cstheme="majorBidi"/>
          <w:lang w:val="ru-RU"/>
        </w:rPr>
        <w:footnoteReference w:id="6"/>
      </w:r>
      <w:r>
        <w:rPr>
          <w:lang w:val="ru-RU"/>
        </w:rPr>
        <w:t xml:space="preserve"> к руководству</w:t>
      </w:r>
      <w:r w:rsidR="00D86B1A" w:rsidRPr="00636DE0">
        <w:rPr>
          <w:rStyle w:val="FootnoteReference"/>
          <w:rFonts w:asciiTheme="majorBidi" w:hAnsiTheme="majorBidi" w:cstheme="majorBidi"/>
          <w:lang w:val="ru-RU"/>
        </w:rPr>
        <w:footnoteReference w:id="7"/>
      </w:r>
      <w:r>
        <w:rPr>
          <w:lang w:val="ru-RU"/>
        </w:rPr>
        <w:t xml:space="preserve"> по использованию форм для данных об импорте и экспорте ртути для оказания помощи Сторонам в выявлении, регулировании и сокращении торговли ртутью, полученной в результате первичной добычи ртути;</w:t>
      </w:r>
    </w:p>
    <w:p w14:paraId="5E5735FA" w14:textId="11918B57"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предлагает</w:t>
      </w:r>
      <w:r>
        <w:rPr>
          <w:lang w:val="ru-RU"/>
        </w:rPr>
        <w:t xml:space="preserve"> Сторонам, которые в своих национальных докладах в соответствии со статьей 21 сообщили об опыте и трудностях, связанных с осуществлением пункта 3 статьи 3 о первичной добыче ртути, направить дополнительную информацию в секретариат, с тем чтобы она была передана Комитету по осуществлению и соблюдению для дальнейшего рассмотрения;</w:t>
      </w:r>
    </w:p>
    <w:p w14:paraId="52BEB134" w14:textId="179B3E42"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призывает</w:t>
      </w:r>
      <w:r>
        <w:rPr>
          <w:lang w:val="ru-RU"/>
        </w:rPr>
        <w:t xml:space="preserve"> Стороны, в том числе получающие поддержку в рамках текущих проектов Глобального экологического фонда, продолжать обмениваться с секретариатом информацией об опыте предупреждения и пресечения незаконной торговли ртутью, в том числе касающейся использования форм, относящихся к статье 3 о торговле ртутью;</w:t>
      </w:r>
    </w:p>
    <w:p w14:paraId="78A0FB9E" w14:textId="3632AC5F"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секретариату в сотрудничестве со Сторонами и организациями, обладающими экспертными знаниями в области незаконной торговли, и при наличии ресурсов</w:t>
      </w:r>
      <w:r w:rsidR="00B50083">
        <w:rPr>
          <w:lang w:val="ru-RU"/>
        </w:rPr>
        <w:t>,</w:t>
      </w:r>
      <w:r>
        <w:rPr>
          <w:lang w:val="ru-RU"/>
        </w:rPr>
        <w:t xml:space="preserve"> подготовить доклад с изложением стратегий в отношении вопроса поставок ртути и торговли ею для Сторон, не соблюдающих положения статьи 3, а секретариату при подготовке доклада следует:</w:t>
      </w:r>
    </w:p>
    <w:p w14:paraId="52E1D389" w14:textId="4AFA368D" w:rsidR="00312042" w:rsidRPr="00DA0337" w:rsidRDefault="00312042" w:rsidP="00546B6B">
      <w:pPr>
        <w:pStyle w:val="ANorma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использовать информацию, полученную от Сторон и других соответствующих источников;</w:t>
      </w:r>
    </w:p>
    <w:p w14:paraId="3C7D016A" w14:textId="4AEF89EA" w:rsidR="00312042" w:rsidRPr="00DA0337" w:rsidRDefault="00312042" w:rsidP="00546B6B">
      <w:pPr>
        <w:pStyle w:val="ANorma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 xml:space="preserve">принимать во внимание информацию о стратегиях предотвращения перенаправления ртути из иностранных и внутренних источников для использования в кустарной и мелкомасштабной добыче и обработке золота, содержащуюся в национальных </w:t>
      </w:r>
      <w:r>
        <w:rPr>
          <w:lang w:val="ru-RU"/>
        </w:rPr>
        <w:lastRenderedPageBreak/>
        <w:t>планах действий в отношении кустарной и мелкомасштабной золотодобычи, представленных Сторонами в соответствии с пунктом 3 b) статьи 7;</w:t>
      </w:r>
    </w:p>
    <w:p w14:paraId="22AC26C3" w14:textId="4E7DF2A5" w:rsidR="00312042" w:rsidRPr="00DA0337" w:rsidRDefault="00312042" w:rsidP="00546B6B">
      <w:pPr>
        <w:pStyle w:val="ANorma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предложить Сторонам, Комитету по осуществлению и соблюдению и други</w:t>
      </w:r>
      <w:r w:rsidR="002834F8">
        <w:rPr>
          <w:lang w:val="ru-RU"/>
        </w:rPr>
        <w:t>м</w:t>
      </w:r>
      <w:r>
        <w:rPr>
          <w:lang w:val="ru-RU"/>
        </w:rPr>
        <w:t xml:space="preserve"> заинтересованны</w:t>
      </w:r>
      <w:r w:rsidR="002834F8">
        <w:rPr>
          <w:lang w:val="ru-RU"/>
        </w:rPr>
        <w:t>м</w:t>
      </w:r>
      <w:r>
        <w:rPr>
          <w:lang w:val="ru-RU"/>
        </w:rPr>
        <w:t xml:space="preserve"> субъектам представить свои материалы;</w:t>
      </w:r>
    </w:p>
    <w:p w14:paraId="4157C5DB" w14:textId="483F5FB6"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секретариату разработать, при наличии ресурсов, руководство по единообразному использованию кодов Гармонизированной системы описания и кодирования товаров, относящихся к ртутьсодержащим товарам, в частности к ртути, соединениям ртути и ртутным отходам;</w:t>
      </w:r>
    </w:p>
    <w:p w14:paraId="5F4E332E" w14:textId="5AC45A88" w:rsidR="00312042" w:rsidRPr="00DA0337" w:rsidDel="001D6D3D" w:rsidRDefault="00DF3411"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секретариату представить доклад, испрошенный в пункте 5 выше, для рассмотрения Конференцией Сторон на ее седьмом совещании;</w:t>
      </w:r>
    </w:p>
    <w:p w14:paraId="560E56A2" w14:textId="77777777"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Комитету по осуществлению и соблюдению:</w:t>
      </w:r>
    </w:p>
    <w:p w14:paraId="7F1E6668" w14:textId="0D5DE7BA" w:rsidR="00312042" w:rsidRPr="00DA0337" w:rsidRDefault="00DF3411" w:rsidP="00546B6B">
      <w:pPr>
        <w:pStyle w:val="Normal-poo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 xml:space="preserve">оценить причины, которые приводятся Сторонами в качестве указаний на то, что они сталкиваются с трудностями при осуществлении положений, касающихся торговли, согласно статье 3, и рассмотреть вопрос о том, могут ли рекомендации, выходящие за рамки мер, уже принятых Конференцией </w:t>
      </w:r>
      <w:r w:rsidR="00F858A5">
        <w:rPr>
          <w:lang w:val="ru-RU"/>
        </w:rPr>
        <w:t xml:space="preserve">Сторон </w:t>
      </w:r>
      <w:r>
        <w:rPr>
          <w:lang w:val="ru-RU"/>
        </w:rPr>
        <w:t>на ее пятом и шестом совещаниях, оказаться полезными для совершенствования осуществления;</w:t>
      </w:r>
    </w:p>
    <w:p w14:paraId="4C4B90A7" w14:textId="37912BC9" w:rsidR="00312042" w:rsidRPr="00DA0337" w:rsidRDefault="00312042" w:rsidP="00546B6B">
      <w:pPr>
        <w:pStyle w:val="Normal-pool"/>
        <w:numPr>
          <w:ilvl w:val="1"/>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 xml:space="preserve">работать совместно, по мере необходимости, с органами по соблюдению других многосторонних природоохранных соглашений по вопросам их деятельности с целью оказания поддержки Сторонам в предотвращении и пресечении незаконной торговли; </w:t>
      </w:r>
    </w:p>
    <w:p w14:paraId="09F92DAA" w14:textId="3B73A2BE"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призывает</w:t>
      </w:r>
      <w:r>
        <w:rPr>
          <w:lang w:val="ru-RU"/>
        </w:rPr>
        <w:t xml:space="preserve"> Управление Организации Объединенных Наций по наркотикам и преступности, Всемирную таможенную организацию, Международную организацию уголовной полиции (ИНТЕРПОЛ), организации – члены Межорганизационной программы по рациональному регулированию химических веществ, секретариат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а также соответствующие глобальные и региональные сети по обеспечению соблюдения оказывать Сторонам помощь в деле предупреждения и пресечения незаконной торговли ртутью;</w:t>
      </w:r>
    </w:p>
    <w:p w14:paraId="375981D0" w14:textId="142269CB"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7D254B">
        <w:rPr>
          <w:i/>
          <w:iCs/>
          <w:lang w:val="ru-RU"/>
        </w:rPr>
        <w:t>поручает</w:t>
      </w:r>
      <w:r>
        <w:rPr>
          <w:lang w:val="ru-RU"/>
        </w:rPr>
        <w:t xml:space="preserve"> секретариату Минаматской конвенции, при наличии ресурсов, продолжать предоставлять консультации и проводить мероприятия по повышению осведомленности и оказанию технической помощи с целью укрепления потенциала Сторон для выполнения их касающихся торговли обязательств согласно статье 3;</w:t>
      </w:r>
    </w:p>
    <w:p w14:paraId="7FD5E518" w14:textId="07413A2F" w:rsidR="00312042" w:rsidRPr="00DA0337" w:rsidRDefault="00312042" w:rsidP="00546B6B">
      <w:pPr>
        <w:pStyle w:val="Normal-pool"/>
        <w:numPr>
          <w:ilvl w:val="0"/>
          <w:numId w:val="30"/>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sectPr w:rsidR="00312042" w:rsidRPr="00DA0337" w:rsidSect="00E84D8D">
          <w:headerReference w:type="even" r:id="rId13"/>
          <w:headerReference w:type="default" r:id="rId14"/>
          <w:footerReference w:type="even" r:id="rId15"/>
          <w:footerReference w:type="default" r:id="rId16"/>
          <w:footerReference w:type="first" r:id="rId17"/>
          <w:pgSz w:w="11906" w:h="16838" w:code="9"/>
          <w:pgMar w:top="907" w:right="992" w:bottom="1418" w:left="1418" w:header="539" w:footer="975" w:gutter="0"/>
          <w:cols w:space="539"/>
          <w:titlePg/>
          <w:docGrid w:linePitch="360"/>
        </w:sectPr>
      </w:pPr>
      <w:r w:rsidRPr="007D254B">
        <w:rPr>
          <w:i/>
          <w:iCs/>
          <w:lang w:val="ru-RU"/>
        </w:rPr>
        <w:t>также поручает</w:t>
      </w:r>
      <w:r>
        <w:rPr>
          <w:lang w:val="ru-RU"/>
        </w:rPr>
        <w:t xml:space="preserve"> секретариату представить Конференции Сторон на ее следующем совещании доклад о выполнении настоящего решения.</w:t>
      </w:r>
    </w:p>
    <w:p w14:paraId="4BC2D66F" w14:textId="77777777" w:rsidR="00312042" w:rsidRPr="00DA0337" w:rsidRDefault="00312042" w:rsidP="00546B6B">
      <w:pPr>
        <w:tabs>
          <w:tab w:val="clear" w:pos="1247"/>
          <w:tab w:val="clear" w:pos="1814"/>
          <w:tab w:val="clear" w:pos="2381"/>
          <w:tab w:val="clear" w:pos="2948"/>
          <w:tab w:val="clear" w:pos="3515"/>
        </w:tabs>
        <w:spacing w:after="160" w:line="278" w:lineRule="auto"/>
        <w:rPr>
          <w:rFonts w:asciiTheme="majorBidi" w:hAnsiTheme="majorBidi" w:cstheme="majorBidi"/>
          <w:lang w:val="ru-RU"/>
        </w:rPr>
      </w:pPr>
      <w:r w:rsidRPr="00DA0337">
        <w:rPr>
          <w:rFonts w:asciiTheme="majorBidi" w:hAnsiTheme="majorBidi" w:cstheme="majorBidi"/>
          <w:lang w:val="ru-RU"/>
        </w:rPr>
        <w:br w:type="page"/>
      </w:r>
    </w:p>
    <w:p w14:paraId="0CA93EF6" w14:textId="52FB0506" w:rsidR="00312042" w:rsidRPr="00453870" w:rsidRDefault="00312042" w:rsidP="00AD4ED5">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6" w:name="_Toc213853059"/>
      <w:bookmarkStart w:id="7" w:name="_Toc222992802"/>
      <w:r w:rsidRPr="00453870">
        <w:rPr>
          <w:lang w:val="ru-RU"/>
        </w:rPr>
        <w:lastRenderedPageBreak/>
        <w:t>Решение МК-6/2</w:t>
      </w:r>
      <w:r w:rsidR="00705289" w:rsidRPr="00453870">
        <w:rPr>
          <w:lang w:val="ru-RU"/>
        </w:rPr>
        <w:t>.</w:t>
      </w:r>
      <w:r w:rsidRPr="00453870">
        <w:rPr>
          <w:lang w:val="ru-RU"/>
        </w:rPr>
        <w:t xml:space="preserve"> Продвижение работы, связанной с потенциальными ограничениями на торговлю ртутными соединениями</w:t>
      </w:r>
      <w:bookmarkEnd w:id="6"/>
      <w:bookmarkEnd w:id="7"/>
    </w:p>
    <w:p w14:paraId="53E126A7"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7F94B2D9" w14:textId="24C91D9F"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7D254B">
        <w:rPr>
          <w:i/>
          <w:iCs/>
          <w:lang w:val="ru-RU"/>
        </w:rPr>
        <w:t>принимая во внимание</w:t>
      </w:r>
      <w:r>
        <w:rPr>
          <w:lang w:val="ru-RU"/>
        </w:rPr>
        <w:t>, что согласно пункту 13 статьи 3 Минаматской конвенции о ртути Конференция Сторон проводит оценку того, не противоречит ли торговля конкретными ртутными соединениями цели Конвенции – охране здоровья человека и окружающей среды,</w:t>
      </w:r>
    </w:p>
    <w:p w14:paraId="069E3B67" w14:textId="75B110D4"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7D254B">
        <w:rPr>
          <w:i/>
          <w:iCs/>
          <w:lang w:val="ru-RU"/>
        </w:rPr>
        <w:t>напоминая</w:t>
      </w:r>
      <w:r>
        <w:rPr>
          <w:lang w:val="ru-RU"/>
        </w:rPr>
        <w:t>, что согласно пункту 13 статьи 3 Конвенции Конференция Сторон также рассматривает вопрос о том, не следует ли распространить действие пунктов 6 и 8 статьи 3 на конкретные ртутные соединения путем их включения в перечень дополнительного приложения, принятого в соответствии со статьей 27 Конвенции</w:t>
      </w:r>
      <w:r w:rsidR="00032C09">
        <w:rPr>
          <w:lang w:val="ru-RU"/>
        </w:rPr>
        <w:t>,</w:t>
      </w:r>
    </w:p>
    <w:p w14:paraId="7F598899" w14:textId="6ED0FF7A" w:rsidR="00312042" w:rsidRPr="00546B6B"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7D254B">
        <w:rPr>
          <w:i/>
          <w:iCs/>
          <w:lang w:val="ru-RU"/>
        </w:rPr>
        <w:t>признавая</w:t>
      </w:r>
      <w:r>
        <w:rPr>
          <w:lang w:val="ru-RU"/>
        </w:rPr>
        <w:t xml:space="preserve"> работу, выполненную в последний межсессионный период согласно решению</w:t>
      </w:r>
      <w:r w:rsidR="007D254B">
        <w:rPr>
          <w:lang w:val="ru-RU"/>
        </w:rPr>
        <w:t> </w:t>
      </w:r>
      <w:r>
        <w:rPr>
          <w:lang w:val="ru-RU"/>
        </w:rPr>
        <w:t xml:space="preserve">МК-5/3, </w:t>
      </w:r>
    </w:p>
    <w:p w14:paraId="28DA5FE7" w14:textId="2AC1EC85"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7D254B">
        <w:rPr>
          <w:i/>
          <w:iCs/>
          <w:lang w:val="ru-RU"/>
        </w:rPr>
        <w:t>намереваясь</w:t>
      </w:r>
      <w:r>
        <w:rPr>
          <w:lang w:val="ru-RU"/>
        </w:rPr>
        <w:t xml:space="preserve"> углубить понимание текущих глобальных источников поставок и использования конкретных ртутных соединений и торговли ими, чтобы принимать обоснованные решения применительно к Конвенции,</w:t>
      </w:r>
    </w:p>
    <w:p w14:paraId="5C9DE061" w14:textId="31C1474A"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принимает к сведению</w:t>
      </w:r>
      <w:r>
        <w:rPr>
          <w:lang w:val="ru-RU"/>
        </w:rPr>
        <w:t xml:space="preserve"> доклад о глобальных поставках, производстве и использовании ртутных соединений и торговле ими</w:t>
      </w:r>
      <w:r w:rsidR="00E10A40" w:rsidRPr="00631C1C">
        <w:rPr>
          <w:rStyle w:val="FootnoteReference"/>
          <w:rFonts w:cstheme="majorBidi"/>
          <w:lang w:val="ru-RU"/>
        </w:rPr>
        <w:footnoteReference w:id="8"/>
      </w:r>
      <w:r>
        <w:rPr>
          <w:lang w:val="ru-RU"/>
        </w:rPr>
        <w:t>;</w:t>
      </w:r>
    </w:p>
    <w:p w14:paraId="2FB5E3AC" w14:textId="5ED8A16C"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призывает</w:t>
      </w:r>
      <w:r>
        <w:rPr>
          <w:lang w:val="ru-RU"/>
        </w:rPr>
        <w:t xml:space="preserve"> Стороны и заинтересованные субъекты изучить содержащуюся в докладе информацию и рассмотреть вопрос о необходимости дополнительного приложения, согласно которому ртутные соединения будут подпадать под действие касающихся торговли положений пунктов 6 и 8 статьи 3;</w:t>
      </w:r>
    </w:p>
    <w:p w14:paraId="6FEC0FAE" w14:textId="1B2D7219"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предлагает</w:t>
      </w:r>
      <w:r>
        <w:rPr>
          <w:lang w:val="ru-RU"/>
        </w:rPr>
        <w:t xml:space="preserve"> Сторонам и заинтересованным субъектам представить в секретариат до 31 марта 2026 года в добровольном порядке имеющуюся информацию о поставках и использовании ртутных соединений и торговле ими, а также поделиться своими мнениями и материалами в отношении ртутных соединений</w:t>
      </w:r>
      <w:r w:rsidR="00DD04C4" w:rsidRPr="00631C1C">
        <w:rPr>
          <w:rStyle w:val="FootnoteReference"/>
          <w:rFonts w:cstheme="majorBidi"/>
          <w:lang w:val="ru-RU"/>
        </w:rPr>
        <w:footnoteReference w:id="9"/>
      </w:r>
      <w:r>
        <w:rPr>
          <w:lang w:val="ru-RU"/>
        </w:rPr>
        <w:t>, которые могут быть перечислены в предлагаемом приложении;</w:t>
      </w:r>
    </w:p>
    <w:p w14:paraId="4E226A04" w14:textId="7E694BDA"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постановляет</w:t>
      </w:r>
      <w:r>
        <w:rPr>
          <w:lang w:val="ru-RU"/>
        </w:rPr>
        <w:t xml:space="preserve"> учредить экспертную группу открытого состава, мандат которой будет включать рассмотрение информации, содержащейся в указанном выше докладе, и информации, представленной в соответствии с пунктом 3 выше, работу на английском языке в онлайновом режиме и представление ее рекомендаций в секретариат не позднее чем за </w:t>
      </w:r>
      <w:r w:rsidR="00C13487">
        <w:rPr>
          <w:lang w:val="ru-RU"/>
        </w:rPr>
        <w:t xml:space="preserve">восемь </w:t>
      </w:r>
      <w:r>
        <w:rPr>
          <w:lang w:val="ru-RU"/>
        </w:rPr>
        <w:t xml:space="preserve">месяцев до седьмого совещания Конференции Сторон; </w:t>
      </w:r>
    </w:p>
    <w:p w14:paraId="1949F332" w14:textId="77777777"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предлагает</w:t>
      </w:r>
      <w:r>
        <w:rPr>
          <w:lang w:val="ru-RU"/>
        </w:rPr>
        <w:t xml:space="preserve"> Сторонам и заинтересованным субъектам принять участие в работе экспертной группы;</w:t>
      </w:r>
    </w:p>
    <w:p w14:paraId="4503938A" w14:textId="77777777"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sectPr w:rsidR="00312042" w:rsidRPr="00DA0337" w:rsidSect="00E84D8D">
          <w:footnotePr>
            <w:numRestart w:val="eachSect"/>
          </w:footnotePr>
          <w:type w:val="continuous"/>
          <w:pgSz w:w="11906" w:h="16838" w:code="9"/>
          <w:pgMar w:top="907" w:right="992" w:bottom="1418" w:left="1418" w:header="539" w:footer="975" w:gutter="0"/>
          <w:cols w:space="539"/>
          <w:docGrid w:linePitch="360"/>
        </w:sectPr>
      </w:pPr>
      <w:r w:rsidRPr="001C713E">
        <w:rPr>
          <w:i/>
          <w:iCs/>
          <w:lang w:val="ru-RU"/>
        </w:rPr>
        <w:t>поручает</w:t>
      </w:r>
      <w:r>
        <w:rPr>
          <w:lang w:val="ru-RU"/>
        </w:rPr>
        <w:t xml:space="preserve"> секретариату оказывать экспертной группе поддержку в ее усилиях и представить доклад о работе группы и ее выводах для рассмотрения Конференцией Сторон на ее седьмом совещании.</w:t>
      </w:r>
    </w:p>
    <w:p w14:paraId="353FEED3"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r w:rsidRPr="00DA0337">
        <w:rPr>
          <w:lang w:val="ru-RU"/>
        </w:rPr>
        <w:br w:type="page"/>
      </w:r>
    </w:p>
    <w:p w14:paraId="1B9EEFE0" w14:textId="7A7DB709" w:rsidR="005F5311" w:rsidRPr="00453870" w:rsidRDefault="00453870" w:rsidP="0040357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Fonts w:asciiTheme="majorBidi" w:hAnsiTheme="majorBidi" w:cstheme="majorBidi"/>
          <w:lang w:val="ru-RU"/>
        </w:rPr>
      </w:pPr>
      <w:r>
        <w:rPr>
          <w:lang w:val="ru-RU"/>
        </w:rPr>
        <w:lastRenderedPageBreak/>
        <w:tab/>
      </w:r>
      <w:bookmarkStart w:id="8" w:name="_Toc222992803"/>
      <w:r w:rsidR="005F5311" w:rsidRPr="00453870">
        <w:rPr>
          <w:lang w:val="ru-RU"/>
        </w:rPr>
        <w:t>Решение МК-6/3. Поправки к приложению A</w:t>
      </w:r>
      <w:bookmarkEnd w:id="8"/>
      <w:r w:rsidR="005F5311" w:rsidRPr="00453870">
        <w:rPr>
          <w:lang w:val="ru-RU"/>
        </w:rPr>
        <w:t xml:space="preserve"> </w:t>
      </w:r>
      <w:bookmarkStart w:id="9" w:name="_Toc213853060"/>
      <w:bookmarkEnd w:id="9"/>
    </w:p>
    <w:p w14:paraId="3B6528DC" w14:textId="77777777" w:rsidR="005F5311" w:rsidRPr="005F5311" w:rsidRDefault="005F5311" w:rsidP="00546B6B">
      <w:pPr>
        <w:pStyle w:val="NormalNonumber"/>
        <w:tabs>
          <w:tab w:val="clear" w:pos="624"/>
          <w:tab w:val="clear" w:pos="1247"/>
          <w:tab w:val="clear" w:pos="1871"/>
          <w:tab w:val="clear" w:pos="2495"/>
          <w:tab w:val="clear" w:pos="3119"/>
          <w:tab w:val="clear" w:pos="3742"/>
          <w:tab w:val="clear" w:pos="4366"/>
          <w:tab w:val="clear" w:pos="4990"/>
        </w:tabs>
        <w:ind w:firstLine="624"/>
        <w:rPr>
          <w:i/>
          <w:iCs/>
          <w:lang w:val="ru-RU"/>
        </w:rPr>
      </w:pPr>
      <w:r w:rsidRPr="005F5311">
        <w:rPr>
          <w:i/>
          <w:iCs/>
          <w:lang w:val="ru-RU"/>
        </w:rPr>
        <w:t>Конференция Сторон,</w:t>
      </w:r>
    </w:p>
    <w:p w14:paraId="32DD5A83" w14:textId="77777777" w:rsidR="005F5311" w:rsidRPr="005F5311" w:rsidRDefault="005F5311"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5F5311">
        <w:rPr>
          <w:i/>
          <w:iCs/>
          <w:lang w:val="ru-RU"/>
        </w:rPr>
        <w:t>рассмотрев</w:t>
      </w:r>
      <w:r w:rsidRPr="005F5311">
        <w:rPr>
          <w:lang w:val="ru-RU"/>
        </w:rPr>
        <w:t xml:space="preserve"> предложение о внесении поправок в приложение А к Минаматской конвенции о ртути, содержащееся в документе </w:t>
      </w:r>
      <w:r>
        <w:t>UNEP</w:t>
      </w:r>
      <w:r w:rsidRPr="005F5311">
        <w:rPr>
          <w:lang w:val="ru-RU"/>
        </w:rPr>
        <w:t>/</w:t>
      </w:r>
      <w:r>
        <w:t>MC</w:t>
      </w:r>
      <w:r w:rsidRPr="005F5311">
        <w:rPr>
          <w:lang w:val="ru-RU"/>
        </w:rPr>
        <w:t>/</w:t>
      </w:r>
      <w:r>
        <w:t>COP</w:t>
      </w:r>
      <w:r w:rsidRPr="005F5311">
        <w:rPr>
          <w:lang w:val="ru-RU"/>
        </w:rPr>
        <w:t>.6/6,</w:t>
      </w:r>
    </w:p>
    <w:p w14:paraId="70E61E37" w14:textId="77777777" w:rsidR="005F5311" w:rsidRPr="005F5311" w:rsidRDefault="005F5311" w:rsidP="00546B6B">
      <w:pPr>
        <w:pStyle w:val="NormalNonumber"/>
        <w:numPr>
          <w:ilvl w:val="0"/>
          <w:numId w:val="91"/>
        </w:numPr>
        <w:tabs>
          <w:tab w:val="clear" w:pos="624"/>
          <w:tab w:val="clear" w:pos="1247"/>
          <w:tab w:val="clear" w:pos="1871"/>
          <w:tab w:val="clear" w:pos="2495"/>
          <w:tab w:val="clear" w:pos="3119"/>
          <w:tab w:val="clear" w:pos="3742"/>
          <w:tab w:val="clear" w:pos="4366"/>
          <w:tab w:val="clear" w:pos="4990"/>
        </w:tabs>
        <w:ind w:left="1247" w:firstLine="624"/>
        <w:rPr>
          <w:lang w:val="ru-RU"/>
        </w:rPr>
      </w:pPr>
      <w:r w:rsidRPr="005F5311">
        <w:rPr>
          <w:i/>
          <w:iCs/>
          <w:lang w:val="ru-RU"/>
        </w:rPr>
        <w:t>постановляет</w:t>
      </w:r>
      <w:r w:rsidRPr="005F5311">
        <w:rPr>
          <w:lang w:val="ru-RU"/>
        </w:rPr>
        <w:t xml:space="preserve"> внести в часть </w:t>
      </w:r>
      <w:r>
        <w:t>I</w:t>
      </w:r>
      <w:r w:rsidRPr="005F5311">
        <w:rPr>
          <w:lang w:val="ru-RU"/>
        </w:rPr>
        <w:t xml:space="preserve"> приложения А к Конвенции поправки, изложенные в следующей таблице</w:t>
      </w:r>
      <w:r w:rsidRPr="00337EEA">
        <w:rPr>
          <w:vertAlign w:val="superscript"/>
        </w:rPr>
        <w:footnoteReference w:id="10"/>
      </w:r>
      <w:r w:rsidRPr="005F5311">
        <w:rPr>
          <w:lang w:val="ru-RU"/>
        </w:rPr>
        <w:t>:</w:t>
      </w:r>
    </w:p>
    <w:tbl>
      <w:tblPr>
        <w:tblStyle w:val="TableGrid10"/>
        <w:tblW w:w="8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9"/>
        <w:gridCol w:w="2598"/>
      </w:tblGrid>
      <w:tr w:rsidR="005F5311" w:rsidRPr="00A87A26" w14:paraId="5A535575" w14:textId="77777777" w:rsidTr="00D123F0">
        <w:trPr>
          <w:trHeight w:val="57"/>
          <w:tblHeader/>
          <w:jc w:val="right"/>
        </w:trPr>
        <w:tc>
          <w:tcPr>
            <w:tcW w:w="5709" w:type="dxa"/>
            <w:vAlign w:val="bottom"/>
          </w:tcPr>
          <w:p w14:paraId="472220E3" w14:textId="77777777" w:rsidR="005F5311" w:rsidRPr="003F4774" w:rsidRDefault="005F5311" w:rsidP="00546B6B">
            <w:pPr>
              <w:tabs>
                <w:tab w:val="clear" w:pos="1247"/>
                <w:tab w:val="clear" w:pos="1814"/>
                <w:tab w:val="clear" w:pos="2381"/>
                <w:tab w:val="clear" w:pos="2948"/>
                <w:tab w:val="clear" w:pos="3515"/>
              </w:tabs>
              <w:spacing w:before="40" w:after="40"/>
              <w:rPr>
                <w:i/>
                <w:iCs/>
                <w:sz w:val="18"/>
                <w:szCs w:val="18"/>
                <w:lang w:val="ru-RU"/>
              </w:rPr>
            </w:pPr>
            <w:r w:rsidRPr="003F4774">
              <w:rPr>
                <w:i/>
                <w:iCs/>
                <w:color w:val="000000"/>
                <w:sz w:val="18"/>
                <w:szCs w:val="18"/>
                <w:lang w:val="ru-RU"/>
              </w:rPr>
              <w:t>Продукты с добавлением ртути</w:t>
            </w:r>
          </w:p>
        </w:tc>
        <w:tc>
          <w:tcPr>
            <w:tcW w:w="2598" w:type="dxa"/>
            <w:vAlign w:val="bottom"/>
          </w:tcPr>
          <w:p w14:paraId="03547684" w14:textId="77777777" w:rsidR="005F5311" w:rsidRPr="003F4774" w:rsidRDefault="005F5311" w:rsidP="00546B6B">
            <w:pPr>
              <w:tabs>
                <w:tab w:val="clear" w:pos="1247"/>
                <w:tab w:val="clear" w:pos="1814"/>
                <w:tab w:val="clear" w:pos="2381"/>
                <w:tab w:val="clear" w:pos="2948"/>
                <w:tab w:val="clear" w:pos="3515"/>
              </w:tabs>
              <w:spacing w:before="40" w:after="40"/>
              <w:rPr>
                <w:i/>
                <w:iCs/>
                <w:sz w:val="18"/>
                <w:szCs w:val="18"/>
                <w:lang w:val="ru-RU"/>
              </w:rPr>
            </w:pPr>
            <w:r w:rsidRPr="003F4774">
              <w:rPr>
                <w:i/>
                <w:iCs/>
                <w:color w:val="000000"/>
                <w:sz w:val="18"/>
                <w:szCs w:val="18"/>
                <w:lang w:val="ru-RU"/>
              </w:rPr>
              <w:t>Срок, после которого производство, импорт или экспорт продукта не разрешается (срок поэтапного вывода из обращения)</w:t>
            </w:r>
          </w:p>
        </w:tc>
      </w:tr>
      <w:tr w:rsidR="005F5311" w:rsidRPr="00E126C8" w14:paraId="69FBC84C" w14:textId="77777777" w:rsidTr="00D123F0">
        <w:trPr>
          <w:trHeight w:val="57"/>
          <w:jc w:val="right"/>
        </w:trPr>
        <w:tc>
          <w:tcPr>
            <w:tcW w:w="5709" w:type="dxa"/>
          </w:tcPr>
          <w:p w14:paraId="4A02497D"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Аккумуляторы, кроме серебряно-цинковых таблеточных аккумуляторов с содержанием ртути менее 2 процентов и воздушно</w:t>
            </w:r>
            <w:r w:rsidRPr="005F5311">
              <w:rPr>
                <w:color w:val="000000"/>
                <w:sz w:val="18"/>
                <w:szCs w:val="18"/>
                <w:lang w:val="ru-RU"/>
              </w:rPr>
              <w:noBreakHyphen/>
              <w:t>цинковых таблеточных аккумуляторов с содержанием ртути менее 2 процентов</w:t>
            </w:r>
          </w:p>
        </w:tc>
        <w:tc>
          <w:tcPr>
            <w:tcW w:w="2598" w:type="dxa"/>
          </w:tcPr>
          <w:p w14:paraId="54CA250A"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4C5CA215" w14:textId="77777777" w:rsidTr="00D123F0">
        <w:trPr>
          <w:trHeight w:val="57"/>
          <w:jc w:val="right"/>
        </w:trPr>
        <w:tc>
          <w:tcPr>
            <w:tcW w:w="5709" w:type="dxa"/>
          </w:tcPr>
          <w:p w14:paraId="7B3FF960"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Серебряно-цинковые таблеточные аккумуляторы с содержанием ртути менее 2 процентов и воздушно-цинковые таблеточные аккумуляторы с содержанием ртути менее 2 процентов</w:t>
            </w:r>
          </w:p>
        </w:tc>
        <w:tc>
          <w:tcPr>
            <w:tcW w:w="2598" w:type="dxa"/>
          </w:tcPr>
          <w:p w14:paraId="604EDC0C"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456F5995" w14:textId="77777777" w:rsidTr="00D123F0">
        <w:trPr>
          <w:trHeight w:val="57"/>
          <w:jc w:val="right"/>
        </w:trPr>
        <w:tc>
          <w:tcPr>
            <w:tcW w:w="5709" w:type="dxa"/>
          </w:tcPr>
          <w:p w14:paraId="18C2E4C9"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Переключатели и реле, за исключением высокоточных конденсаторных мостов и мостов для измерения потерь и высокочастотных радиочастотных переключателей и реле контрольных приборов и регуляторов с максимальным содержанием ртути 20 мг на каждый мост, переключатель или реле</w:t>
            </w:r>
          </w:p>
        </w:tc>
        <w:tc>
          <w:tcPr>
            <w:tcW w:w="2598" w:type="dxa"/>
          </w:tcPr>
          <w:p w14:paraId="07CFAEBE"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5D54DFF8" w14:textId="77777777" w:rsidTr="00D123F0">
        <w:trPr>
          <w:trHeight w:val="57"/>
          <w:jc w:val="right"/>
        </w:trPr>
        <w:tc>
          <w:tcPr>
            <w:tcW w:w="5709" w:type="dxa"/>
          </w:tcPr>
          <w:p w14:paraId="5BCC898F"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Высокоточные конденсаторные мосты и мосты для измерения потерь и высокочастотные радиочастотные переключатели и реле контрольных приборов и регуляторов с максимальным содержанием ртути 20 мг на каждый мост, переключатель или реле, кроме используемых в научно-исследовательских и опытно-конструкторских целях</w:t>
            </w:r>
          </w:p>
        </w:tc>
        <w:tc>
          <w:tcPr>
            <w:tcW w:w="2598" w:type="dxa"/>
          </w:tcPr>
          <w:p w14:paraId="50C62A62"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6996545D" w14:textId="77777777" w:rsidTr="00D123F0">
        <w:trPr>
          <w:trHeight w:val="57"/>
          <w:jc w:val="right"/>
        </w:trPr>
        <w:tc>
          <w:tcPr>
            <w:tcW w:w="5709" w:type="dxa"/>
          </w:tcPr>
          <w:p w14:paraId="1C211C4A"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Лампы люминесцентные малогабаритные (ЛЛМ) общего освещения мощностью 30 ватт или менее и содержанием ртути свыше 5 мг в колбе лампы</w:t>
            </w:r>
          </w:p>
        </w:tc>
        <w:tc>
          <w:tcPr>
            <w:tcW w:w="2598" w:type="dxa"/>
          </w:tcPr>
          <w:p w14:paraId="3D470BA4"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2851609B" w14:textId="77777777" w:rsidTr="00D123F0">
        <w:trPr>
          <w:trHeight w:val="57"/>
          <w:jc w:val="right"/>
        </w:trPr>
        <w:tc>
          <w:tcPr>
            <w:tcW w:w="5709" w:type="dxa"/>
          </w:tcPr>
          <w:p w14:paraId="472F600E"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Лампы люминесцентные малогабаритные (ЛЛМ) для общего освещения мощностью более 30 ватт</w:t>
            </w:r>
          </w:p>
        </w:tc>
        <w:tc>
          <w:tcPr>
            <w:tcW w:w="2598" w:type="dxa"/>
          </w:tcPr>
          <w:p w14:paraId="7F84E4FB"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2026 год</w:t>
            </w:r>
          </w:p>
        </w:tc>
      </w:tr>
      <w:tr w:rsidR="005F5311" w:rsidRPr="00E126C8" w14:paraId="64730701" w14:textId="77777777" w:rsidTr="00D123F0">
        <w:trPr>
          <w:trHeight w:val="57"/>
          <w:jc w:val="right"/>
        </w:trPr>
        <w:tc>
          <w:tcPr>
            <w:tcW w:w="5709" w:type="dxa"/>
          </w:tcPr>
          <w:p w14:paraId="54F3D1AE"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Лампы люминесцентные малогабаритные со встроенным пускорегулирующим аппаратом (ЛЛМ-ПРА) общего освещения мощностью 30 ватт или менее и содержанием ртути не более 5 мг в колбе лампы</w:t>
            </w:r>
          </w:p>
        </w:tc>
        <w:tc>
          <w:tcPr>
            <w:tcW w:w="2598" w:type="dxa"/>
          </w:tcPr>
          <w:p w14:paraId="28BFE2F8"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2A94AB39" w14:textId="77777777" w:rsidTr="00D123F0">
        <w:trPr>
          <w:trHeight w:val="57"/>
          <w:jc w:val="right"/>
        </w:trPr>
        <w:tc>
          <w:tcPr>
            <w:tcW w:w="5709" w:type="dxa"/>
          </w:tcPr>
          <w:p w14:paraId="2BE09312"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Лампы люминесцентные малогабаритные с внешним пускорегулирующим аппаратом (ЛЛМ-</w:t>
            </w:r>
            <w:proofErr w:type="spellStart"/>
            <w:r w:rsidRPr="005F5311">
              <w:rPr>
                <w:color w:val="000000"/>
                <w:sz w:val="18"/>
                <w:szCs w:val="18"/>
                <w:lang w:val="ru-RU"/>
              </w:rPr>
              <w:t>ВнПРА</w:t>
            </w:r>
            <w:proofErr w:type="spellEnd"/>
            <w:r w:rsidRPr="005F5311">
              <w:rPr>
                <w:color w:val="000000"/>
                <w:sz w:val="18"/>
                <w:szCs w:val="18"/>
                <w:lang w:val="ru-RU"/>
              </w:rPr>
              <w:t>) для общего освещения мощностью 30 ватт или менее и содержанием ртути не более 5 мг в колбе лампы</w:t>
            </w:r>
          </w:p>
        </w:tc>
        <w:tc>
          <w:tcPr>
            <w:tcW w:w="2598" w:type="dxa"/>
          </w:tcPr>
          <w:p w14:paraId="6176EDFB"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2026 год</w:t>
            </w:r>
          </w:p>
        </w:tc>
      </w:tr>
      <w:tr w:rsidR="005F5311" w:rsidRPr="00E126C8" w14:paraId="75BE9198" w14:textId="77777777" w:rsidTr="00D123F0">
        <w:trPr>
          <w:trHeight w:val="57"/>
          <w:jc w:val="right"/>
        </w:trPr>
        <w:tc>
          <w:tcPr>
            <w:tcW w:w="5709" w:type="dxa"/>
          </w:tcPr>
          <w:p w14:paraId="247978E9"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Лампы люминесцентные трубчатые (ЛЛТ) общего освещения:</w:t>
            </w:r>
          </w:p>
          <w:p w14:paraId="632035E5" w14:textId="77777777" w:rsidR="005F5311" w:rsidRPr="005F5311" w:rsidRDefault="005F5311" w:rsidP="00546B6B">
            <w:pPr>
              <w:numPr>
                <w:ilvl w:val="0"/>
                <w:numId w:val="33"/>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с трехцветным люминофором, мощностью менее 60 ватт, с содержанием ртути свыше 5 мг в лампе</w:t>
            </w:r>
          </w:p>
          <w:p w14:paraId="65C07552" w14:textId="77777777" w:rsidR="005F5311" w:rsidRPr="005F5311" w:rsidRDefault="005F5311" w:rsidP="00546B6B">
            <w:pPr>
              <w:numPr>
                <w:ilvl w:val="0"/>
                <w:numId w:val="33"/>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с </w:t>
            </w:r>
            <w:proofErr w:type="spellStart"/>
            <w:r w:rsidRPr="005F5311">
              <w:rPr>
                <w:color w:val="000000"/>
                <w:sz w:val="18"/>
                <w:szCs w:val="18"/>
                <w:lang w:val="ru-RU"/>
              </w:rPr>
              <w:t>галофосфатным</w:t>
            </w:r>
            <w:proofErr w:type="spellEnd"/>
            <w:r w:rsidRPr="005F5311">
              <w:rPr>
                <w:color w:val="000000"/>
                <w:sz w:val="18"/>
                <w:szCs w:val="18"/>
                <w:lang w:val="ru-RU"/>
              </w:rPr>
              <w:t xml:space="preserve"> люминофором мощностью 40 ватт или менее и содержанием ртути свыше 10 мг в лампе </w:t>
            </w:r>
          </w:p>
        </w:tc>
        <w:tc>
          <w:tcPr>
            <w:tcW w:w="2598" w:type="dxa"/>
          </w:tcPr>
          <w:p w14:paraId="2361B08B"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3BA74487" w14:textId="77777777" w:rsidTr="00D123F0">
        <w:trPr>
          <w:trHeight w:val="57"/>
          <w:jc w:val="right"/>
        </w:trPr>
        <w:tc>
          <w:tcPr>
            <w:tcW w:w="5709" w:type="dxa"/>
          </w:tcPr>
          <w:p w14:paraId="2AE470E7"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Лампы люминесцентные трубчатые (ЛЛТ) общего освещения:</w:t>
            </w:r>
          </w:p>
          <w:p w14:paraId="18CC0AFD" w14:textId="77777777" w:rsidR="005F5311" w:rsidRPr="005F5311" w:rsidRDefault="005F5311" w:rsidP="00546B6B">
            <w:pPr>
              <w:numPr>
                <w:ilvl w:val="0"/>
                <w:numId w:val="36"/>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с </w:t>
            </w:r>
            <w:proofErr w:type="spellStart"/>
            <w:r w:rsidRPr="005F5311">
              <w:rPr>
                <w:color w:val="000000"/>
                <w:sz w:val="18"/>
                <w:szCs w:val="18"/>
                <w:lang w:val="ru-RU"/>
              </w:rPr>
              <w:t>галофосфатным</w:t>
            </w:r>
            <w:proofErr w:type="spellEnd"/>
            <w:r w:rsidRPr="005F5311">
              <w:rPr>
                <w:color w:val="000000"/>
                <w:sz w:val="18"/>
                <w:szCs w:val="18"/>
                <w:lang w:val="ru-RU"/>
              </w:rPr>
              <w:t xml:space="preserve"> люминофором мощностью 40 ватт или менее и содержанием ртути не более 10 мг в лампе </w:t>
            </w:r>
          </w:p>
          <w:p w14:paraId="66CE40CF" w14:textId="77777777" w:rsidR="005F5311" w:rsidRPr="005F5311" w:rsidRDefault="005F5311" w:rsidP="00546B6B">
            <w:pPr>
              <w:numPr>
                <w:ilvl w:val="0"/>
                <w:numId w:val="36"/>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с </w:t>
            </w:r>
            <w:proofErr w:type="spellStart"/>
            <w:r w:rsidRPr="005F5311">
              <w:rPr>
                <w:color w:val="000000"/>
                <w:sz w:val="18"/>
                <w:szCs w:val="18"/>
                <w:lang w:val="ru-RU"/>
              </w:rPr>
              <w:t>галофосфатным</w:t>
            </w:r>
            <w:proofErr w:type="spellEnd"/>
            <w:r w:rsidRPr="005F5311">
              <w:rPr>
                <w:color w:val="000000"/>
                <w:sz w:val="18"/>
                <w:szCs w:val="18"/>
                <w:lang w:val="ru-RU"/>
              </w:rPr>
              <w:t xml:space="preserve"> люминофором мощностью более 40 ватт</w:t>
            </w:r>
          </w:p>
        </w:tc>
        <w:tc>
          <w:tcPr>
            <w:tcW w:w="2598" w:type="dxa"/>
          </w:tcPr>
          <w:p w14:paraId="1199282F"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2026 год</w:t>
            </w:r>
          </w:p>
        </w:tc>
      </w:tr>
      <w:tr w:rsidR="005F5311" w:rsidRPr="00E126C8" w14:paraId="5ED2A1BC" w14:textId="77777777" w:rsidTr="00D123F0">
        <w:trPr>
          <w:trHeight w:val="57"/>
          <w:jc w:val="right"/>
        </w:trPr>
        <w:tc>
          <w:tcPr>
            <w:tcW w:w="5709" w:type="dxa"/>
          </w:tcPr>
          <w:p w14:paraId="1AFCC464"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Лампы люминесцентные трубчатые (ЛЛТ) общего освещения:</w:t>
            </w:r>
          </w:p>
          <w:p w14:paraId="6E06DF88" w14:textId="77777777" w:rsidR="005F5311" w:rsidRPr="005F5311" w:rsidRDefault="005F5311" w:rsidP="00546B6B">
            <w:pPr>
              <w:numPr>
                <w:ilvl w:val="0"/>
                <w:numId w:val="35"/>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с трехцветным люминофором мощностью менее 60 ватт с содержанием ртути не более 5 мг в лампе</w:t>
            </w:r>
          </w:p>
          <w:p w14:paraId="18BA4EE2" w14:textId="77777777" w:rsidR="005F5311" w:rsidRPr="005F5311" w:rsidRDefault="005F5311" w:rsidP="00546B6B">
            <w:pPr>
              <w:numPr>
                <w:ilvl w:val="0"/>
                <w:numId w:val="35"/>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с трехцветным люминофором мощностью 60 ватт или менее с содержанием ртути не более 5 мг в лампе</w:t>
            </w:r>
          </w:p>
          <w:p w14:paraId="3E70EBEC" w14:textId="77777777" w:rsidR="005F5311" w:rsidRPr="005F5311" w:rsidRDefault="005F5311" w:rsidP="00546B6B">
            <w:pPr>
              <w:numPr>
                <w:ilvl w:val="0"/>
                <w:numId w:val="35"/>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lastRenderedPageBreak/>
              <w:t>с трехцветным люминофором, мощностью 60 ватт и менее, с содержанием ртути свыше 5 мг в лампе</w:t>
            </w:r>
          </w:p>
        </w:tc>
        <w:tc>
          <w:tcPr>
            <w:tcW w:w="2598" w:type="dxa"/>
          </w:tcPr>
          <w:p w14:paraId="0D17A2F1"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lastRenderedPageBreak/>
              <w:t>2027 год</w:t>
            </w:r>
          </w:p>
        </w:tc>
      </w:tr>
      <w:tr w:rsidR="005F5311" w:rsidRPr="00E126C8" w14:paraId="23996EA9" w14:textId="77777777" w:rsidTr="00D123F0">
        <w:trPr>
          <w:trHeight w:val="57"/>
          <w:jc w:val="right"/>
        </w:trPr>
        <w:tc>
          <w:tcPr>
            <w:tcW w:w="5709" w:type="dxa"/>
          </w:tcPr>
          <w:p w14:paraId="51938D40"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Лампы люминесцентные трубчатые непрямые (ЛЛТН) для общего освещения (например, </w:t>
            </w:r>
            <w:r w:rsidRPr="009C7A04">
              <w:rPr>
                <w:color w:val="000000"/>
                <w:sz w:val="18"/>
                <w:szCs w:val="18"/>
              </w:rPr>
              <w:t>U</w:t>
            </w:r>
            <w:r w:rsidRPr="005F5311">
              <w:rPr>
                <w:color w:val="000000"/>
                <w:sz w:val="18"/>
                <w:szCs w:val="18"/>
                <w:lang w:val="ru-RU"/>
              </w:rPr>
              <w:t>-образные и кольцевые):</w:t>
            </w:r>
          </w:p>
          <w:p w14:paraId="249EB5EE" w14:textId="77777777" w:rsidR="005F5311" w:rsidRPr="005F5311" w:rsidRDefault="005F5311" w:rsidP="00546B6B">
            <w:pPr>
              <w:numPr>
                <w:ilvl w:val="0"/>
                <w:numId w:val="34"/>
              </w:numPr>
              <w:tabs>
                <w:tab w:val="clear" w:pos="1247"/>
                <w:tab w:val="clear" w:pos="1814"/>
                <w:tab w:val="clear" w:pos="2381"/>
                <w:tab w:val="clear" w:pos="2948"/>
                <w:tab w:val="clear" w:pos="3515"/>
              </w:tabs>
              <w:spacing w:before="40" w:after="40"/>
              <w:ind w:left="318" w:hanging="318"/>
              <w:rPr>
                <w:sz w:val="18"/>
                <w:szCs w:val="18"/>
                <w:lang w:val="ru-RU"/>
              </w:rPr>
            </w:pPr>
            <w:r w:rsidRPr="005F5311">
              <w:rPr>
                <w:color w:val="000000"/>
                <w:sz w:val="18"/>
                <w:szCs w:val="18"/>
                <w:lang w:val="ru-RU"/>
              </w:rPr>
              <w:t>с трехцветным люминофором, любой мощности</w:t>
            </w:r>
          </w:p>
        </w:tc>
        <w:tc>
          <w:tcPr>
            <w:tcW w:w="2598" w:type="dxa"/>
          </w:tcPr>
          <w:p w14:paraId="77B63197"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2027 год</w:t>
            </w:r>
          </w:p>
        </w:tc>
      </w:tr>
      <w:tr w:rsidR="005F5311" w:rsidRPr="00E126C8" w14:paraId="592E0568" w14:textId="77777777" w:rsidTr="00D123F0">
        <w:trPr>
          <w:trHeight w:val="57"/>
          <w:jc w:val="right"/>
        </w:trPr>
        <w:tc>
          <w:tcPr>
            <w:tcW w:w="5709" w:type="dxa"/>
          </w:tcPr>
          <w:p w14:paraId="50370629" w14:textId="77777777" w:rsidR="005F5311" w:rsidRPr="005F5311" w:rsidRDefault="005F5311" w:rsidP="00546B6B">
            <w:pPr>
              <w:numPr>
                <w:ilvl w:val="0"/>
                <w:numId w:val="34"/>
              </w:numPr>
              <w:tabs>
                <w:tab w:val="clear" w:pos="1247"/>
                <w:tab w:val="clear" w:pos="1814"/>
                <w:tab w:val="clear" w:pos="2381"/>
                <w:tab w:val="clear" w:pos="2948"/>
                <w:tab w:val="clear" w:pos="3515"/>
              </w:tabs>
              <w:spacing w:before="40" w:after="40"/>
              <w:ind w:left="318" w:hanging="318"/>
              <w:rPr>
                <w:sz w:val="18"/>
                <w:szCs w:val="18"/>
                <w:lang w:val="ru-RU"/>
              </w:rPr>
            </w:pPr>
            <w:r w:rsidRPr="005F5311">
              <w:rPr>
                <w:color w:val="000000"/>
                <w:sz w:val="18"/>
                <w:szCs w:val="18"/>
                <w:lang w:val="ru-RU"/>
              </w:rPr>
              <w:t xml:space="preserve">с </w:t>
            </w:r>
            <w:proofErr w:type="spellStart"/>
            <w:r w:rsidRPr="005F5311">
              <w:rPr>
                <w:color w:val="000000"/>
                <w:sz w:val="18"/>
                <w:szCs w:val="18"/>
                <w:lang w:val="ru-RU"/>
              </w:rPr>
              <w:t>галофосфатным</w:t>
            </w:r>
            <w:proofErr w:type="spellEnd"/>
            <w:r w:rsidRPr="005F5311">
              <w:rPr>
                <w:color w:val="000000"/>
                <w:sz w:val="18"/>
                <w:szCs w:val="18"/>
                <w:lang w:val="ru-RU"/>
              </w:rPr>
              <w:t xml:space="preserve"> люминофором, любой мощности</w:t>
            </w:r>
          </w:p>
        </w:tc>
        <w:tc>
          <w:tcPr>
            <w:tcW w:w="2598" w:type="dxa"/>
          </w:tcPr>
          <w:p w14:paraId="69F438A5"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2026 год</w:t>
            </w:r>
          </w:p>
        </w:tc>
      </w:tr>
      <w:tr w:rsidR="005F5311" w:rsidRPr="00E126C8" w14:paraId="12123BDB" w14:textId="77777777" w:rsidTr="00D123F0">
        <w:trPr>
          <w:trHeight w:val="57"/>
          <w:jc w:val="right"/>
        </w:trPr>
        <w:tc>
          <w:tcPr>
            <w:tcW w:w="5709" w:type="dxa"/>
          </w:tcPr>
          <w:p w14:paraId="55923D19"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Лампы общего освещения ртутные высокого давления </w:t>
            </w:r>
            <w:proofErr w:type="spellStart"/>
            <w:r w:rsidRPr="005F5311">
              <w:rPr>
                <w:color w:val="000000"/>
                <w:sz w:val="18"/>
                <w:szCs w:val="18"/>
                <w:lang w:val="ru-RU"/>
              </w:rPr>
              <w:t>паросветные</w:t>
            </w:r>
            <w:proofErr w:type="spellEnd"/>
            <w:r w:rsidRPr="005F5311">
              <w:rPr>
                <w:color w:val="000000"/>
                <w:sz w:val="18"/>
                <w:szCs w:val="18"/>
                <w:lang w:val="ru-RU"/>
              </w:rPr>
              <w:t xml:space="preserve"> (РВДП) </w:t>
            </w:r>
          </w:p>
        </w:tc>
        <w:tc>
          <w:tcPr>
            <w:tcW w:w="2598" w:type="dxa"/>
          </w:tcPr>
          <w:p w14:paraId="663ECB83"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64CA1FA9" w14:textId="77777777" w:rsidTr="00D123F0">
        <w:trPr>
          <w:trHeight w:val="57"/>
          <w:jc w:val="right"/>
        </w:trPr>
        <w:tc>
          <w:tcPr>
            <w:tcW w:w="5709" w:type="dxa"/>
          </w:tcPr>
          <w:p w14:paraId="608EFD2D"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Ртуть в лампах люминесцентных с холодным катодом и лампах люминесцентных с внешним электродом (ЛЛХК и ЛЛВЭ) для электронных дисплеев: </w:t>
            </w:r>
          </w:p>
          <w:p w14:paraId="68937F29" w14:textId="77777777" w:rsidR="005F5311" w:rsidRPr="005F5311" w:rsidRDefault="005F5311" w:rsidP="00546B6B">
            <w:pPr>
              <w:numPr>
                <w:ilvl w:val="0"/>
                <w:numId w:val="37"/>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коротких (≤ 500 мм), с содержанием ртути свыше 3,5 мг в лампе</w:t>
            </w:r>
          </w:p>
          <w:p w14:paraId="7D824399" w14:textId="77777777" w:rsidR="005F5311" w:rsidRPr="005F5311" w:rsidRDefault="005F5311" w:rsidP="00546B6B">
            <w:pPr>
              <w:numPr>
                <w:ilvl w:val="0"/>
                <w:numId w:val="37"/>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средних (&gt; 500 мм и ≤ 1500 мм), с содержанием ртути свыше 5 мг в лампе</w:t>
            </w:r>
          </w:p>
          <w:p w14:paraId="09684084" w14:textId="77777777" w:rsidR="005F5311" w:rsidRPr="005F5311" w:rsidRDefault="005F5311" w:rsidP="00546B6B">
            <w:pPr>
              <w:numPr>
                <w:ilvl w:val="0"/>
                <w:numId w:val="37"/>
              </w:num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длинных (&gt; 1500 мм), с содержанием ртути свыше 13 мг в лампе </w:t>
            </w:r>
          </w:p>
        </w:tc>
        <w:tc>
          <w:tcPr>
            <w:tcW w:w="2598" w:type="dxa"/>
          </w:tcPr>
          <w:p w14:paraId="7F7FCC36"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3A0EDBF1" w14:textId="77777777" w:rsidTr="00D123F0">
        <w:trPr>
          <w:trHeight w:val="57"/>
          <w:jc w:val="right"/>
        </w:trPr>
        <w:tc>
          <w:tcPr>
            <w:tcW w:w="5709" w:type="dxa"/>
          </w:tcPr>
          <w:p w14:paraId="392D93E6"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Лампы люминесцентные с холодным катодом (ЛЛХК) и лампы люминесцентные с внешним электродом (ЛЛВЭ) любых габаритов по длине для электронных дисплеев, не включенные в перечень выше </w:t>
            </w:r>
          </w:p>
        </w:tc>
        <w:tc>
          <w:tcPr>
            <w:tcW w:w="2598" w:type="dxa"/>
          </w:tcPr>
          <w:p w14:paraId="248FC1E9"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4DC55404" w14:textId="77777777" w:rsidTr="00D123F0">
        <w:trPr>
          <w:trHeight w:val="57"/>
          <w:jc w:val="right"/>
        </w:trPr>
        <w:tc>
          <w:tcPr>
            <w:tcW w:w="5709" w:type="dxa"/>
          </w:tcPr>
          <w:p w14:paraId="67186D49"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Косметика (с содержанием ртути свыше 1 части на миллион), включая мыло и кремы для осветления кожи, за исключением косметики для зоны глаз, в которой ртуть применяется в качестве консерванта и для которой эффективные и безопасные консерванты-заменители не существуют</w:t>
            </w:r>
            <w:r w:rsidRPr="005F5311">
              <w:rPr>
                <w:color w:val="000000"/>
                <w:sz w:val="18"/>
                <w:szCs w:val="18"/>
                <w:vertAlign w:val="superscript"/>
                <w:lang w:val="ru-RU"/>
              </w:rPr>
              <w:t>1/</w:t>
            </w:r>
          </w:p>
        </w:tc>
        <w:tc>
          <w:tcPr>
            <w:tcW w:w="2598" w:type="dxa"/>
          </w:tcPr>
          <w:p w14:paraId="2F258753"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4FE841ED" w14:textId="77777777" w:rsidTr="00D123F0">
        <w:trPr>
          <w:trHeight w:val="57"/>
          <w:jc w:val="right"/>
        </w:trPr>
        <w:tc>
          <w:tcPr>
            <w:tcW w:w="5709" w:type="dxa"/>
          </w:tcPr>
          <w:p w14:paraId="263507A1"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Косметика, включая мыло и кремы для осветления кожи, за исключением косметики для зоны глаз, в которой ртуть применяется в качестве консерванта и для которой эффективные и безопасные консерванты-заменители не существуют</w:t>
            </w:r>
            <w:r w:rsidRPr="005F5311">
              <w:rPr>
                <w:color w:val="000000"/>
                <w:sz w:val="18"/>
                <w:szCs w:val="18"/>
                <w:vertAlign w:val="superscript"/>
                <w:lang w:val="ru-RU"/>
              </w:rPr>
              <w:t>1/</w:t>
            </w:r>
          </w:p>
        </w:tc>
        <w:tc>
          <w:tcPr>
            <w:tcW w:w="2598" w:type="dxa"/>
          </w:tcPr>
          <w:p w14:paraId="5B726DB9"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690EF30A" w14:textId="77777777" w:rsidTr="00D123F0">
        <w:trPr>
          <w:trHeight w:val="57"/>
          <w:jc w:val="right"/>
        </w:trPr>
        <w:tc>
          <w:tcPr>
            <w:tcW w:w="5709" w:type="dxa"/>
          </w:tcPr>
          <w:p w14:paraId="1C35F445"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Пестициды, биоциды и антисептики местного действия </w:t>
            </w:r>
          </w:p>
        </w:tc>
        <w:tc>
          <w:tcPr>
            <w:tcW w:w="2598" w:type="dxa"/>
          </w:tcPr>
          <w:p w14:paraId="5CE8C65E"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3109FBB0" w14:textId="77777777" w:rsidTr="00D123F0">
        <w:trPr>
          <w:trHeight w:val="57"/>
          <w:jc w:val="right"/>
        </w:trPr>
        <w:tc>
          <w:tcPr>
            <w:tcW w:w="5709" w:type="dxa"/>
          </w:tcPr>
          <w:p w14:paraId="7D8EC03D"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Перечисленные ниже неэлектронные измерительные устройства, кроме неэлектронных измерительных устройств, установленных на крупногабаритном оборудовании или используемых для высокоточного измерения, если отсутствуют приемлемые безртутные альтернативы:</w:t>
            </w:r>
          </w:p>
          <w:p w14:paraId="6871DCCB" w14:textId="77777777" w:rsidR="005F5311" w:rsidRPr="009C7A04" w:rsidRDefault="005F5311" w:rsidP="00546B6B">
            <w:pPr>
              <w:numPr>
                <w:ilvl w:val="0"/>
                <w:numId w:val="38"/>
              </w:numPr>
              <w:tabs>
                <w:tab w:val="clear" w:pos="1247"/>
                <w:tab w:val="clear" w:pos="1814"/>
                <w:tab w:val="clear" w:pos="2381"/>
                <w:tab w:val="clear" w:pos="2948"/>
                <w:tab w:val="clear" w:pos="3515"/>
              </w:tabs>
              <w:spacing w:before="40" w:after="40"/>
              <w:rPr>
                <w:sz w:val="18"/>
                <w:szCs w:val="18"/>
              </w:rPr>
            </w:pPr>
            <w:proofErr w:type="spellStart"/>
            <w:proofErr w:type="gramStart"/>
            <w:r w:rsidRPr="009C7A04">
              <w:rPr>
                <w:color w:val="000000"/>
                <w:sz w:val="18"/>
                <w:szCs w:val="18"/>
              </w:rPr>
              <w:t>барометры</w:t>
            </w:r>
            <w:proofErr w:type="spellEnd"/>
            <w:r w:rsidRPr="009C7A04">
              <w:rPr>
                <w:color w:val="000000"/>
                <w:sz w:val="18"/>
                <w:szCs w:val="18"/>
              </w:rPr>
              <w:t>;</w:t>
            </w:r>
            <w:proofErr w:type="gramEnd"/>
          </w:p>
          <w:p w14:paraId="733042AA" w14:textId="77777777" w:rsidR="005F5311" w:rsidRPr="009C7A04" w:rsidRDefault="005F5311" w:rsidP="00546B6B">
            <w:pPr>
              <w:numPr>
                <w:ilvl w:val="0"/>
                <w:numId w:val="38"/>
              </w:numPr>
              <w:tabs>
                <w:tab w:val="clear" w:pos="1247"/>
                <w:tab w:val="clear" w:pos="1814"/>
                <w:tab w:val="clear" w:pos="2381"/>
                <w:tab w:val="clear" w:pos="2948"/>
                <w:tab w:val="clear" w:pos="3515"/>
              </w:tabs>
              <w:spacing w:before="40" w:after="40"/>
              <w:rPr>
                <w:sz w:val="18"/>
                <w:szCs w:val="18"/>
              </w:rPr>
            </w:pPr>
            <w:proofErr w:type="spellStart"/>
            <w:proofErr w:type="gramStart"/>
            <w:r w:rsidRPr="009C7A04">
              <w:rPr>
                <w:color w:val="000000"/>
                <w:sz w:val="18"/>
                <w:szCs w:val="18"/>
              </w:rPr>
              <w:t>гигрометры</w:t>
            </w:r>
            <w:proofErr w:type="spellEnd"/>
            <w:r w:rsidRPr="009C7A04">
              <w:rPr>
                <w:color w:val="000000"/>
                <w:sz w:val="18"/>
                <w:szCs w:val="18"/>
              </w:rPr>
              <w:t>;</w:t>
            </w:r>
            <w:proofErr w:type="gramEnd"/>
          </w:p>
          <w:p w14:paraId="1D7A7BAE" w14:textId="77777777" w:rsidR="005F5311" w:rsidRPr="009C7A04" w:rsidRDefault="005F5311" w:rsidP="00546B6B">
            <w:pPr>
              <w:numPr>
                <w:ilvl w:val="0"/>
                <w:numId w:val="38"/>
              </w:numPr>
              <w:tabs>
                <w:tab w:val="clear" w:pos="1247"/>
                <w:tab w:val="clear" w:pos="1814"/>
                <w:tab w:val="clear" w:pos="2381"/>
                <w:tab w:val="clear" w:pos="2948"/>
                <w:tab w:val="clear" w:pos="3515"/>
              </w:tabs>
              <w:spacing w:before="40" w:after="40"/>
              <w:rPr>
                <w:sz w:val="18"/>
                <w:szCs w:val="18"/>
              </w:rPr>
            </w:pPr>
            <w:proofErr w:type="spellStart"/>
            <w:proofErr w:type="gramStart"/>
            <w:r w:rsidRPr="009C7A04">
              <w:rPr>
                <w:color w:val="000000"/>
                <w:sz w:val="18"/>
                <w:szCs w:val="18"/>
              </w:rPr>
              <w:t>манометры</w:t>
            </w:r>
            <w:proofErr w:type="spellEnd"/>
            <w:r w:rsidRPr="009C7A04">
              <w:rPr>
                <w:color w:val="000000"/>
                <w:sz w:val="18"/>
                <w:szCs w:val="18"/>
              </w:rPr>
              <w:t>;</w:t>
            </w:r>
            <w:proofErr w:type="gramEnd"/>
          </w:p>
          <w:p w14:paraId="7EE788DD" w14:textId="77777777" w:rsidR="005F5311" w:rsidRPr="009C7A04" w:rsidRDefault="005F5311" w:rsidP="00546B6B">
            <w:pPr>
              <w:numPr>
                <w:ilvl w:val="0"/>
                <w:numId w:val="38"/>
              </w:numPr>
              <w:tabs>
                <w:tab w:val="clear" w:pos="1247"/>
                <w:tab w:val="clear" w:pos="1814"/>
                <w:tab w:val="clear" w:pos="2381"/>
                <w:tab w:val="clear" w:pos="2948"/>
                <w:tab w:val="clear" w:pos="3515"/>
              </w:tabs>
              <w:spacing w:before="40" w:after="40"/>
              <w:rPr>
                <w:sz w:val="18"/>
                <w:szCs w:val="18"/>
              </w:rPr>
            </w:pPr>
            <w:proofErr w:type="spellStart"/>
            <w:proofErr w:type="gramStart"/>
            <w:r w:rsidRPr="009C7A04">
              <w:rPr>
                <w:color w:val="000000"/>
                <w:sz w:val="18"/>
                <w:szCs w:val="18"/>
              </w:rPr>
              <w:t>термометры</w:t>
            </w:r>
            <w:proofErr w:type="spellEnd"/>
            <w:r w:rsidRPr="009C7A04">
              <w:rPr>
                <w:color w:val="000000"/>
                <w:sz w:val="18"/>
                <w:szCs w:val="18"/>
              </w:rPr>
              <w:t>;</w:t>
            </w:r>
            <w:proofErr w:type="gramEnd"/>
          </w:p>
          <w:p w14:paraId="137A9181" w14:textId="77777777" w:rsidR="005F5311" w:rsidRPr="009C7A04" w:rsidRDefault="005F5311" w:rsidP="00546B6B">
            <w:pPr>
              <w:numPr>
                <w:ilvl w:val="0"/>
                <w:numId w:val="38"/>
              </w:numPr>
              <w:tabs>
                <w:tab w:val="clear" w:pos="1247"/>
                <w:tab w:val="clear" w:pos="1814"/>
                <w:tab w:val="clear" w:pos="2381"/>
                <w:tab w:val="clear" w:pos="2948"/>
                <w:tab w:val="clear" w:pos="3515"/>
              </w:tabs>
              <w:spacing w:before="40" w:after="40"/>
              <w:rPr>
                <w:sz w:val="18"/>
                <w:szCs w:val="18"/>
              </w:rPr>
            </w:pPr>
            <w:proofErr w:type="spellStart"/>
            <w:r w:rsidRPr="009C7A04">
              <w:rPr>
                <w:color w:val="000000"/>
                <w:sz w:val="18"/>
                <w:szCs w:val="18"/>
              </w:rPr>
              <w:t>сфигмоманометры</w:t>
            </w:r>
            <w:proofErr w:type="spellEnd"/>
          </w:p>
        </w:tc>
        <w:tc>
          <w:tcPr>
            <w:tcW w:w="2598" w:type="dxa"/>
          </w:tcPr>
          <w:p w14:paraId="602CC838"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2020 год</w:t>
            </w:r>
          </w:p>
        </w:tc>
      </w:tr>
      <w:tr w:rsidR="005F5311" w:rsidRPr="00E126C8" w14:paraId="267E5CB7" w14:textId="77777777" w:rsidTr="00D123F0">
        <w:trPr>
          <w:trHeight w:val="57"/>
          <w:jc w:val="right"/>
        </w:trPr>
        <w:tc>
          <w:tcPr>
            <w:tcW w:w="5709" w:type="dxa"/>
          </w:tcPr>
          <w:p w14:paraId="670965A1"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 xml:space="preserve">Тензодатчики для использования в плетизмографах </w:t>
            </w:r>
          </w:p>
        </w:tc>
        <w:tc>
          <w:tcPr>
            <w:tcW w:w="2598" w:type="dxa"/>
          </w:tcPr>
          <w:p w14:paraId="6E8CB165"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3627BD65" w14:textId="77777777" w:rsidTr="00D123F0">
        <w:trPr>
          <w:trHeight w:val="57"/>
          <w:jc w:val="right"/>
        </w:trPr>
        <w:tc>
          <w:tcPr>
            <w:tcW w:w="5709" w:type="dxa"/>
          </w:tcPr>
          <w:p w14:paraId="58B7970B"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Перечисленные ниже электрические и электронные измерительные устройства, кроме установленных на крупногабаритном оборудовании или используемых для высокоточного измерения, если отсутствуют приемлемые безртутные альтернативы:</w:t>
            </w:r>
          </w:p>
          <w:p w14:paraId="162A748A" w14:textId="77777777" w:rsidR="005F5311" w:rsidRPr="005F5311" w:rsidRDefault="005F5311" w:rsidP="00546B6B">
            <w:pPr>
              <w:numPr>
                <w:ilvl w:val="0"/>
                <w:numId w:val="39"/>
              </w:numPr>
              <w:tabs>
                <w:tab w:val="clear" w:pos="1247"/>
                <w:tab w:val="clear" w:pos="1814"/>
                <w:tab w:val="clear" w:pos="2381"/>
                <w:tab w:val="clear" w:pos="2948"/>
                <w:tab w:val="clear" w:pos="3515"/>
              </w:tabs>
              <w:spacing w:before="60" w:after="40"/>
              <w:ind w:left="357" w:hanging="357"/>
              <w:rPr>
                <w:sz w:val="18"/>
                <w:szCs w:val="18"/>
                <w:lang w:val="ru-RU"/>
              </w:rPr>
            </w:pPr>
            <w:r w:rsidRPr="005F5311">
              <w:rPr>
                <w:color w:val="000000"/>
                <w:sz w:val="18"/>
                <w:szCs w:val="18"/>
                <w:lang w:val="ru-RU"/>
              </w:rPr>
              <w:t>преобразователи, трансмиттеры и датчики давления расплава</w:t>
            </w:r>
          </w:p>
        </w:tc>
        <w:tc>
          <w:tcPr>
            <w:tcW w:w="2598" w:type="dxa"/>
          </w:tcPr>
          <w:p w14:paraId="75C5890D"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11BEDA09" w14:textId="77777777" w:rsidTr="00D123F0">
        <w:trPr>
          <w:trHeight w:val="57"/>
          <w:jc w:val="right"/>
        </w:trPr>
        <w:tc>
          <w:tcPr>
            <w:tcW w:w="5709" w:type="dxa"/>
          </w:tcPr>
          <w:p w14:paraId="2D99A755" w14:textId="77777777" w:rsidR="005F5311" w:rsidRPr="009C7A04" w:rsidRDefault="005F5311" w:rsidP="00546B6B">
            <w:pPr>
              <w:tabs>
                <w:tab w:val="clear" w:pos="1247"/>
                <w:tab w:val="clear" w:pos="1814"/>
                <w:tab w:val="clear" w:pos="2381"/>
                <w:tab w:val="clear" w:pos="2948"/>
                <w:tab w:val="clear" w:pos="3515"/>
              </w:tabs>
              <w:spacing w:before="40" w:after="40"/>
              <w:rPr>
                <w:sz w:val="18"/>
                <w:szCs w:val="18"/>
              </w:rPr>
            </w:pPr>
            <w:proofErr w:type="spellStart"/>
            <w:r w:rsidRPr="009C7A04">
              <w:rPr>
                <w:color w:val="000000"/>
                <w:sz w:val="18"/>
                <w:szCs w:val="18"/>
              </w:rPr>
              <w:t>Ртутно-поршневые</w:t>
            </w:r>
            <w:proofErr w:type="spellEnd"/>
            <w:r w:rsidRPr="009C7A04">
              <w:rPr>
                <w:color w:val="000000"/>
                <w:sz w:val="18"/>
                <w:szCs w:val="18"/>
              </w:rPr>
              <w:t xml:space="preserve"> </w:t>
            </w:r>
            <w:proofErr w:type="spellStart"/>
            <w:r w:rsidRPr="009C7A04">
              <w:rPr>
                <w:color w:val="000000"/>
                <w:sz w:val="18"/>
                <w:szCs w:val="18"/>
              </w:rPr>
              <w:t>насосы</w:t>
            </w:r>
            <w:proofErr w:type="spellEnd"/>
          </w:p>
        </w:tc>
        <w:tc>
          <w:tcPr>
            <w:tcW w:w="2598" w:type="dxa"/>
          </w:tcPr>
          <w:p w14:paraId="7AB520F9"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2C76C38F" w14:textId="77777777" w:rsidTr="00D123F0">
        <w:trPr>
          <w:trHeight w:val="57"/>
          <w:jc w:val="right"/>
        </w:trPr>
        <w:tc>
          <w:tcPr>
            <w:tcW w:w="5709" w:type="dxa"/>
          </w:tcPr>
          <w:p w14:paraId="61BF3C32"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Балансировочные грузики для покрышек и колес</w:t>
            </w:r>
          </w:p>
        </w:tc>
        <w:tc>
          <w:tcPr>
            <w:tcW w:w="2598" w:type="dxa"/>
          </w:tcPr>
          <w:p w14:paraId="00753B76"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5673A932" w14:textId="77777777" w:rsidTr="00D123F0">
        <w:trPr>
          <w:trHeight w:val="57"/>
          <w:jc w:val="right"/>
        </w:trPr>
        <w:tc>
          <w:tcPr>
            <w:tcW w:w="5709" w:type="dxa"/>
          </w:tcPr>
          <w:p w14:paraId="63390670" w14:textId="77777777" w:rsidR="005F5311" w:rsidRPr="009C7A04" w:rsidRDefault="005F5311" w:rsidP="00546B6B">
            <w:pPr>
              <w:tabs>
                <w:tab w:val="clear" w:pos="1247"/>
                <w:tab w:val="clear" w:pos="1814"/>
                <w:tab w:val="clear" w:pos="2381"/>
                <w:tab w:val="clear" w:pos="2948"/>
                <w:tab w:val="clear" w:pos="3515"/>
              </w:tabs>
              <w:spacing w:before="40" w:after="40"/>
              <w:rPr>
                <w:sz w:val="18"/>
                <w:szCs w:val="18"/>
              </w:rPr>
            </w:pPr>
            <w:proofErr w:type="spellStart"/>
            <w:r w:rsidRPr="009C7A04">
              <w:rPr>
                <w:color w:val="000000"/>
                <w:sz w:val="18"/>
                <w:szCs w:val="18"/>
              </w:rPr>
              <w:t>Пленка</w:t>
            </w:r>
            <w:proofErr w:type="spellEnd"/>
            <w:r w:rsidRPr="009C7A04">
              <w:rPr>
                <w:color w:val="000000"/>
                <w:sz w:val="18"/>
                <w:szCs w:val="18"/>
              </w:rPr>
              <w:t xml:space="preserve"> </w:t>
            </w:r>
            <w:proofErr w:type="spellStart"/>
            <w:r w:rsidRPr="009C7A04">
              <w:rPr>
                <w:color w:val="000000"/>
                <w:sz w:val="18"/>
                <w:szCs w:val="18"/>
              </w:rPr>
              <w:t>фотографическая</w:t>
            </w:r>
            <w:proofErr w:type="spellEnd"/>
            <w:r w:rsidRPr="009C7A04">
              <w:rPr>
                <w:color w:val="000000"/>
                <w:sz w:val="18"/>
                <w:szCs w:val="18"/>
              </w:rPr>
              <w:t xml:space="preserve"> и </w:t>
            </w:r>
            <w:proofErr w:type="spellStart"/>
            <w:r w:rsidRPr="009C7A04">
              <w:rPr>
                <w:color w:val="000000"/>
                <w:sz w:val="18"/>
                <w:szCs w:val="18"/>
              </w:rPr>
              <w:t>фотобумага</w:t>
            </w:r>
            <w:proofErr w:type="spellEnd"/>
          </w:p>
        </w:tc>
        <w:tc>
          <w:tcPr>
            <w:tcW w:w="2598" w:type="dxa"/>
          </w:tcPr>
          <w:p w14:paraId="1DB8D297"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346A28AA" w14:textId="77777777" w:rsidTr="00D123F0">
        <w:trPr>
          <w:trHeight w:val="336"/>
          <w:jc w:val="right"/>
        </w:trPr>
        <w:tc>
          <w:tcPr>
            <w:tcW w:w="5709" w:type="dxa"/>
          </w:tcPr>
          <w:p w14:paraId="2E2EC1CD"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Реактивное топливо для спутников и космических аппаратов</w:t>
            </w:r>
          </w:p>
        </w:tc>
        <w:tc>
          <w:tcPr>
            <w:tcW w:w="2598" w:type="dxa"/>
          </w:tcPr>
          <w:p w14:paraId="52CD98C2"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2025 год</w:t>
            </w:r>
          </w:p>
        </w:tc>
      </w:tr>
      <w:tr w:rsidR="005F5311" w:rsidRPr="00E126C8" w14:paraId="42AC64F1" w14:textId="77777777" w:rsidTr="00D123F0">
        <w:trPr>
          <w:trHeight w:val="604"/>
          <w:jc w:val="right"/>
        </w:trPr>
        <w:tc>
          <w:tcPr>
            <w:tcW w:w="5709" w:type="dxa"/>
            <w:shd w:val="clear" w:color="auto" w:fill="D9D9D9"/>
          </w:tcPr>
          <w:p w14:paraId="67A6C198" w14:textId="77777777" w:rsidR="005F5311" w:rsidRPr="005F5311" w:rsidRDefault="005F5311" w:rsidP="00546B6B">
            <w:pPr>
              <w:tabs>
                <w:tab w:val="clear" w:pos="1247"/>
                <w:tab w:val="clear" w:pos="1814"/>
                <w:tab w:val="clear" w:pos="2381"/>
                <w:tab w:val="clear" w:pos="2948"/>
                <w:tab w:val="clear" w:pos="3515"/>
              </w:tabs>
              <w:spacing w:before="40" w:after="40"/>
              <w:rPr>
                <w:sz w:val="18"/>
                <w:szCs w:val="18"/>
                <w:lang w:val="ru-RU"/>
              </w:rPr>
            </w:pPr>
            <w:r w:rsidRPr="005F5311">
              <w:rPr>
                <w:color w:val="000000"/>
                <w:sz w:val="18"/>
                <w:szCs w:val="18"/>
                <w:lang w:val="ru-RU"/>
              </w:rPr>
              <w:t>Амальгама для зубных пломб, за исключением случаев, когда ее использование сочтено врачом-стоматологом строго обязательным, исходя из конкретных медицинских показаний пациента</w:t>
            </w:r>
          </w:p>
        </w:tc>
        <w:tc>
          <w:tcPr>
            <w:tcW w:w="2598" w:type="dxa"/>
            <w:shd w:val="clear" w:color="auto" w:fill="D9D9D9"/>
          </w:tcPr>
          <w:p w14:paraId="035DDB22" w14:textId="77777777" w:rsidR="005F5311" w:rsidRPr="003F4774" w:rsidRDefault="005F5311" w:rsidP="00546B6B">
            <w:pPr>
              <w:tabs>
                <w:tab w:val="clear" w:pos="1247"/>
                <w:tab w:val="clear" w:pos="1814"/>
                <w:tab w:val="clear" w:pos="2381"/>
                <w:tab w:val="clear" w:pos="2948"/>
                <w:tab w:val="clear" w:pos="3515"/>
              </w:tabs>
              <w:spacing w:before="40" w:after="40"/>
              <w:rPr>
                <w:sz w:val="18"/>
                <w:szCs w:val="18"/>
                <w:lang w:val="ru-RU"/>
              </w:rPr>
            </w:pPr>
            <w:r w:rsidRPr="003F4774">
              <w:rPr>
                <w:color w:val="000000"/>
                <w:sz w:val="18"/>
                <w:szCs w:val="18"/>
                <w:lang w:val="ru-RU"/>
              </w:rPr>
              <w:t>2034 год</w:t>
            </w:r>
          </w:p>
        </w:tc>
      </w:tr>
    </w:tbl>
    <w:p w14:paraId="6AA9573A" w14:textId="77777777" w:rsidR="005F5311" w:rsidRPr="005F5311" w:rsidRDefault="005F5311" w:rsidP="00546B6B">
      <w:pPr>
        <w:pStyle w:val="Normal-pool"/>
        <w:tabs>
          <w:tab w:val="clear" w:pos="624"/>
          <w:tab w:val="clear" w:pos="1247"/>
          <w:tab w:val="clear" w:pos="1871"/>
          <w:tab w:val="clear" w:pos="2495"/>
          <w:tab w:val="clear" w:pos="3119"/>
          <w:tab w:val="clear" w:pos="3742"/>
          <w:tab w:val="clear" w:pos="4366"/>
          <w:tab w:val="clear" w:pos="4990"/>
        </w:tabs>
        <w:spacing w:before="60" w:after="120"/>
        <w:ind w:left="1247" w:firstLine="624"/>
        <w:rPr>
          <w:sz w:val="18"/>
          <w:szCs w:val="18"/>
          <w:lang w:val="ru-RU"/>
        </w:rPr>
      </w:pPr>
      <w:r w:rsidRPr="005F5311">
        <w:rPr>
          <w:sz w:val="18"/>
          <w:szCs w:val="18"/>
          <w:vertAlign w:val="superscript"/>
          <w:lang w:val="ru-RU"/>
        </w:rPr>
        <w:t xml:space="preserve">1/ </w:t>
      </w:r>
      <w:r w:rsidRPr="005F5311">
        <w:rPr>
          <w:sz w:val="18"/>
          <w:szCs w:val="18"/>
          <w:lang w:val="ru-RU"/>
        </w:rPr>
        <w:t>Предполагается не учитывать косметические средства, мыло или кремы, имеющие следовые загрязнения ртутью.</w:t>
      </w:r>
    </w:p>
    <w:p w14:paraId="7D843890" w14:textId="77777777" w:rsidR="005F5311" w:rsidRPr="005F5311" w:rsidRDefault="005F5311" w:rsidP="00546B6B">
      <w:pPr>
        <w:pStyle w:val="NormalNonumber"/>
        <w:numPr>
          <w:ilvl w:val="0"/>
          <w:numId w:val="91"/>
        </w:numPr>
        <w:tabs>
          <w:tab w:val="clear" w:pos="624"/>
          <w:tab w:val="clear" w:pos="1247"/>
          <w:tab w:val="clear" w:pos="1871"/>
          <w:tab w:val="clear" w:pos="2495"/>
          <w:tab w:val="clear" w:pos="3119"/>
          <w:tab w:val="clear" w:pos="3742"/>
          <w:tab w:val="clear" w:pos="4366"/>
          <w:tab w:val="clear" w:pos="4990"/>
        </w:tabs>
        <w:spacing w:before="240"/>
        <w:ind w:left="1247" w:firstLine="624"/>
        <w:rPr>
          <w:rFonts w:asciiTheme="majorBidi" w:hAnsiTheme="majorBidi" w:cstheme="majorBidi"/>
          <w:iCs/>
          <w:lang w:val="ru-RU"/>
        </w:rPr>
      </w:pPr>
      <w:r w:rsidRPr="005F5311">
        <w:rPr>
          <w:i/>
          <w:iCs/>
          <w:lang w:val="ru-RU"/>
        </w:rPr>
        <w:lastRenderedPageBreak/>
        <w:t>постановляет также</w:t>
      </w:r>
      <w:r w:rsidRPr="005F5311">
        <w:rPr>
          <w:lang w:val="ru-RU"/>
        </w:rPr>
        <w:t xml:space="preserve"> рассмотреть на своем двенадцатом совещании вопрос о необходимости исключения для использования амальгамы для зубных пломб, как указано в части </w:t>
      </w:r>
      <w:r>
        <w:t>I</w:t>
      </w:r>
      <w:r w:rsidRPr="005F5311">
        <w:rPr>
          <w:lang w:val="ru-RU"/>
        </w:rPr>
        <w:t xml:space="preserve"> приложения А к Конвенции;</w:t>
      </w:r>
    </w:p>
    <w:p w14:paraId="547AED1D" w14:textId="77777777" w:rsidR="005F5311" w:rsidRPr="005F5311" w:rsidRDefault="005F5311" w:rsidP="00546B6B">
      <w:pPr>
        <w:pStyle w:val="NormalNonumber"/>
        <w:numPr>
          <w:ilvl w:val="0"/>
          <w:numId w:val="9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iCs/>
          <w:lang w:val="ru-RU"/>
        </w:rPr>
      </w:pPr>
      <w:r w:rsidRPr="005F5311">
        <w:rPr>
          <w:i/>
          <w:iCs/>
          <w:lang w:val="ru-RU"/>
        </w:rPr>
        <w:t>постановляет далее</w:t>
      </w:r>
      <w:r w:rsidRPr="005F5311">
        <w:rPr>
          <w:lang w:val="ru-RU"/>
        </w:rPr>
        <w:t xml:space="preserve"> внести в часть </w:t>
      </w:r>
      <w:r>
        <w:t>II</w:t>
      </w:r>
      <w:r w:rsidRPr="005F5311">
        <w:rPr>
          <w:lang w:val="ru-RU"/>
        </w:rPr>
        <w:t xml:space="preserve"> приложения А к Конвенции поправки, изложенные в следующей таблице</w:t>
      </w:r>
      <w:r w:rsidRPr="00337EEA">
        <w:rPr>
          <w:rFonts w:asciiTheme="majorBidi" w:hAnsiTheme="majorBidi" w:cstheme="majorBidi"/>
          <w:vertAlign w:val="superscript"/>
        </w:rPr>
        <w:footnoteReference w:id="11"/>
      </w:r>
      <w:r w:rsidRPr="005F5311">
        <w:rPr>
          <w:lang w:val="ru-RU"/>
        </w:rPr>
        <w:t>:</w:t>
      </w:r>
    </w:p>
    <w:tbl>
      <w:tblPr>
        <w:tblW w:w="8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09"/>
        <w:gridCol w:w="5798"/>
      </w:tblGrid>
      <w:tr w:rsidR="005F5311" w:rsidRPr="0016431F" w14:paraId="2ECFE5B1" w14:textId="77777777" w:rsidTr="004507DD">
        <w:trPr>
          <w:trHeight w:val="57"/>
          <w:tblHeader/>
          <w:jc w:val="right"/>
        </w:trPr>
        <w:tc>
          <w:tcPr>
            <w:tcW w:w="2509" w:type="dxa"/>
            <w:tcBorders>
              <w:bottom w:val="single" w:sz="4" w:space="0" w:color="auto"/>
            </w:tcBorders>
            <w:vAlign w:val="bottom"/>
          </w:tcPr>
          <w:p w14:paraId="0AE754AB" w14:textId="77777777" w:rsidR="005F5311" w:rsidRPr="003F4774" w:rsidRDefault="005F5311" w:rsidP="00546B6B">
            <w:pPr>
              <w:tabs>
                <w:tab w:val="clear" w:pos="1247"/>
                <w:tab w:val="clear" w:pos="1814"/>
                <w:tab w:val="clear" w:pos="2381"/>
                <w:tab w:val="clear" w:pos="2948"/>
                <w:tab w:val="clear" w:pos="3515"/>
              </w:tabs>
              <w:spacing w:before="40" w:after="40"/>
              <w:rPr>
                <w:rFonts w:asciiTheme="majorBidi" w:hAnsiTheme="majorBidi" w:cstheme="majorBidi"/>
                <w:i/>
                <w:iCs/>
                <w:sz w:val="18"/>
                <w:szCs w:val="18"/>
                <w:lang w:val="ru-RU"/>
              </w:rPr>
            </w:pPr>
            <w:r w:rsidRPr="003F4774">
              <w:rPr>
                <w:i/>
                <w:iCs/>
                <w:color w:val="000000"/>
                <w:sz w:val="18"/>
                <w:szCs w:val="18"/>
                <w:lang w:val="ru-RU"/>
              </w:rPr>
              <w:t>Продукты с добавлением ртути</w:t>
            </w:r>
          </w:p>
        </w:tc>
        <w:tc>
          <w:tcPr>
            <w:tcW w:w="5798" w:type="dxa"/>
            <w:tcBorders>
              <w:bottom w:val="single" w:sz="4" w:space="0" w:color="auto"/>
            </w:tcBorders>
            <w:vAlign w:val="bottom"/>
          </w:tcPr>
          <w:p w14:paraId="67A7E382" w14:textId="77777777" w:rsidR="005F5311" w:rsidRPr="003F4774" w:rsidRDefault="005F5311" w:rsidP="00546B6B">
            <w:pPr>
              <w:tabs>
                <w:tab w:val="clear" w:pos="1247"/>
                <w:tab w:val="clear" w:pos="1814"/>
                <w:tab w:val="clear" w:pos="2381"/>
                <w:tab w:val="clear" w:pos="2948"/>
                <w:tab w:val="clear" w:pos="3515"/>
              </w:tabs>
              <w:spacing w:before="40" w:after="40"/>
              <w:rPr>
                <w:rFonts w:asciiTheme="majorBidi" w:hAnsiTheme="majorBidi" w:cstheme="majorBidi"/>
                <w:i/>
                <w:iCs/>
                <w:sz w:val="18"/>
                <w:szCs w:val="18"/>
                <w:lang w:val="ru-RU"/>
              </w:rPr>
            </w:pPr>
            <w:r w:rsidRPr="003F4774">
              <w:rPr>
                <w:i/>
                <w:iCs/>
                <w:color w:val="000000"/>
                <w:sz w:val="18"/>
                <w:szCs w:val="18"/>
                <w:lang w:val="ru-RU"/>
              </w:rPr>
              <w:t>Положения</w:t>
            </w:r>
            <w:r w:rsidRPr="003F4774">
              <w:rPr>
                <w:color w:val="000000"/>
                <w:sz w:val="18"/>
                <w:szCs w:val="18"/>
                <w:lang w:val="ru-RU"/>
              </w:rPr>
              <w:t xml:space="preserve"> </w:t>
            </w:r>
          </w:p>
        </w:tc>
      </w:tr>
      <w:tr w:rsidR="005F5311" w:rsidRPr="00A87A26" w14:paraId="15111EEB" w14:textId="77777777" w:rsidTr="004507DD">
        <w:trPr>
          <w:trHeight w:val="57"/>
          <w:jc w:val="right"/>
        </w:trPr>
        <w:tc>
          <w:tcPr>
            <w:tcW w:w="2509" w:type="dxa"/>
            <w:vMerge w:val="restart"/>
            <w:tcBorders>
              <w:top w:val="single" w:sz="4" w:space="0" w:color="auto"/>
              <w:bottom w:val="nil"/>
            </w:tcBorders>
          </w:tcPr>
          <w:p w14:paraId="78AB8D9D" w14:textId="77777777" w:rsidR="005F5311" w:rsidRPr="003F4774" w:rsidRDefault="005F5311" w:rsidP="00546B6B">
            <w:pPr>
              <w:tabs>
                <w:tab w:val="clear" w:pos="1247"/>
                <w:tab w:val="clear" w:pos="1814"/>
                <w:tab w:val="clear" w:pos="2381"/>
                <w:tab w:val="clear" w:pos="2948"/>
                <w:tab w:val="clear" w:pos="3515"/>
              </w:tabs>
              <w:spacing w:before="40" w:after="40"/>
              <w:rPr>
                <w:rFonts w:asciiTheme="majorBidi" w:hAnsiTheme="majorBidi" w:cstheme="majorBidi"/>
                <w:b/>
                <w:bCs/>
                <w:sz w:val="18"/>
                <w:szCs w:val="18"/>
                <w:lang w:val="ru-RU"/>
              </w:rPr>
            </w:pPr>
            <w:r w:rsidRPr="003F4774">
              <w:rPr>
                <w:color w:val="000000"/>
                <w:sz w:val="18"/>
                <w:szCs w:val="18"/>
                <w:lang w:val="ru-RU"/>
              </w:rPr>
              <w:t>Амальгама для зубных пломб</w:t>
            </w:r>
          </w:p>
        </w:tc>
        <w:tc>
          <w:tcPr>
            <w:tcW w:w="5798" w:type="dxa"/>
            <w:tcBorders>
              <w:bottom w:val="nil"/>
            </w:tcBorders>
          </w:tcPr>
          <w:p w14:paraId="6864C9D3" w14:textId="77777777" w:rsidR="005F5311" w:rsidRPr="003F4774" w:rsidRDefault="005F5311" w:rsidP="00546B6B">
            <w:pPr>
              <w:tabs>
                <w:tab w:val="clear" w:pos="1247"/>
                <w:tab w:val="clear" w:pos="1814"/>
                <w:tab w:val="clear" w:pos="2381"/>
                <w:tab w:val="clear" w:pos="2948"/>
                <w:tab w:val="clear" w:pos="3515"/>
              </w:tabs>
              <w:spacing w:before="40" w:after="40"/>
              <w:rPr>
                <w:rFonts w:asciiTheme="majorBidi" w:hAnsiTheme="majorBidi" w:cstheme="majorBidi"/>
                <w:sz w:val="18"/>
                <w:szCs w:val="18"/>
                <w:lang w:val="ru-RU"/>
              </w:rPr>
            </w:pPr>
            <w:r w:rsidRPr="003F4774">
              <w:rPr>
                <w:color w:val="000000"/>
                <w:sz w:val="18"/>
                <w:szCs w:val="18"/>
                <w:lang w:val="ru-RU"/>
              </w:rPr>
              <w:t>Мероприятия, проводимые Стороной для сокращения использования амальгамы для зубных пломб, учитывают внутренние обстоятельства Стороны и соответствующие международные руководящие принципы, а также предусматривают два или более мероприятий из следующего перечня:</w:t>
            </w:r>
          </w:p>
          <w:p w14:paraId="7D9FA55A"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 xml:space="preserve">установление национальных целей, направленных на профилактику кариеса зубов и поощрение здорового образа жизни, которые, таким образом, сводят к минимуму потребность в восстановлении зубов; </w:t>
            </w:r>
          </w:p>
          <w:p w14:paraId="709757A4"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установление национальных целей, направленных на минимизацию ее использования;</w:t>
            </w:r>
          </w:p>
          <w:p w14:paraId="790A28C8"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 xml:space="preserve">содействие использованию рентабельных и клинически эффективных безртутных альтернатив для восстановления зубов; </w:t>
            </w:r>
          </w:p>
          <w:p w14:paraId="15CB8AC1"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u w:val="single"/>
                <w:lang w:val="ru-RU"/>
              </w:rPr>
            </w:pPr>
            <w:r w:rsidRPr="003F4774">
              <w:rPr>
                <w:color w:val="000000"/>
                <w:sz w:val="18"/>
                <w:szCs w:val="18"/>
                <w:lang w:val="ru-RU"/>
              </w:rPr>
              <w:t>содействие проведению исследований и разработке качественных безртутных материалов для восстановления зубов;</w:t>
            </w:r>
          </w:p>
          <w:p w14:paraId="3C96B899"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стимулирование профильных профессиональных организаций и стоматологических учебных заведений к обучению и подготовке специалистов и студентов-стоматологов в области использования безртутных альтернатив при восстановлении зубов, а также содействие применению передовых практических методов управления;</w:t>
            </w:r>
          </w:p>
          <w:p w14:paraId="7D349F0B"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 xml:space="preserve">препятствование использованию договоров и программ страхования, которыми поощряется применение амальгамы для зубных пломб вместо восстановления зубов без использования ртути; </w:t>
            </w:r>
          </w:p>
          <w:p w14:paraId="66C6648D"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стимулирование договоров и программ страхования, которыми поощряется применение качественных альтернатив амальгаме для зубных пломб при восстановлении зубов;</w:t>
            </w:r>
          </w:p>
          <w:p w14:paraId="640C634A"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ограничение использования амальгамы для зубных пломб ее герметизированной формой;</w:t>
            </w:r>
          </w:p>
          <w:p w14:paraId="4A4A0791" w14:textId="77777777" w:rsidR="005F5311" w:rsidRPr="003F4774" w:rsidRDefault="005F5311" w:rsidP="00546B6B">
            <w:pPr>
              <w:numPr>
                <w:ilvl w:val="0"/>
                <w:numId w:val="40"/>
              </w:numPr>
              <w:tabs>
                <w:tab w:val="clear" w:pos="1247"/>
                <w:tab w:val="clear" w:pos="1814"/>
                <w:tab w:val="clear" w:pos="2381"/>
                <w:tab w:val="clear" w:pos="2948"/>
                <w:tab w:val="clear" w:pos="3515"/>
              </w:tabs>
              <w:spacing w:before="40" w:after="40"/>
              <w:ind w:left="454" w:hanging="454"/>
              <w:rPr>
                <w:rFonts w:asciiTheme="majorBidi" w:hAnsiTheme="majorBidi" w:cstheme="majorBidi"/>
                <w:b/>
                <w:bCs/>
                <w:sz w:val="18"/>
                <w:szCs w:val="18"/>
                <w:lang w:val="ru-RU"/>
              </w:rPr>
            </w:pPr>
            <w:r w:rsidRPr="003F4774">
              <w:rPr>
                <w:color w:val="000000"/>
                <w:sz w:val="18"/>
                <w:szCs w:val="18"/>
                <w:lang w:val="ru-RU"/>
              </w:rPr>
              <w:t>поощрение использования наилучших видов природоохранной деятельности в стоматологических учреждениях в целях сокращения высвобождений ртути и ртутных соединений в воды и на землю.</w:t>
            </w:r>
          </w:p>
        </w:tc>
      </w:tr>
      <w:tr w:rsidR="005F5311" w:rsidRPr="00A87A26" w14:paraId="1DE0FAF5" w14:textId="77777777" w:rsidTr="004507DD">
        <w:trPr>
          <w:trHeight w:val="57"/>
          <w:jc w:val="right"/>
        </w:trPr>
        <w:tc>
          <w:tcPr>
            <w:tcW w:w="2509" w:type="dxa"/>
            <w:vMerge/>
            <w:tcBorders>
              <w:top w:val="nil"/>
              <w:bottom w:val="nil"/>
            </w:tcBorders>
          </w:tcPr>
          <w:p w14:paraId="4CDBDDA9" w14:textId="77777777" w:rsidR="005F5311" w:rsidRPr="003F4774" w:rsidRDefault="005F5311" w:rsidP="00546B6B">
            <w:pPr>
              <w:tabs>
                <w:tab w:val="clear" w:pos="1247"/>
                <w:tab w:val="clear" w:pos="1814"/>
                <w:tab w:val="clear" w:pos="2381"/>
                <w:tab w:val="clear" w:pos="2948"/>
                <w:tab w:val="clear" w:pos="3515"/>
              </w:tabs>
              <w:snapToGrid w:val="0"/>
              <w:spacing w:before="40" w:after="40"/>
              <w:ind w:right="4060"/>
              <w:rPr>
                <w:rFonts w:asciiTheme="majorBidi" w:hAnsiTheme="majorBidi" w:cstheme="majorBidi"/>
                <w:sz w:val="18"/>
                <w:szCs w:val="18"/>
                <w:lang w:val="ru-RU"/>
              </w:rPr>
            </w:pPr>
          </w:p>
        </w:tc>
        <w:tc>
          <w:tcPr>
            <w:tcW w:w="5798" w:type="dxa"/>
            <w:tcBorders>
              <w:top w:val="nil"/>
              <w:bottom w:val="nil"/>
            </w:tcBorders>
          </w:tcPr>
          <w:p w14:paraId="29D37064" w14:textId="77777777" w:rsidR="005F5311" w:rsidRPr="003F4774" w:rsidRDefault="005F5311" w:rsidP="00546B6B">
            <w:pPr>
              <w:tabs>
                <w:tab w:val="clear" w:pos="1247"/>
                <w:tab w:val="clear" w:pos="1814"/>
                <w:tab w:val="clear" w:pos="2381"/>
                <w:tab w:val="clear" w:pos="2948"/>
                <w:tab w:val="clear" w:pos="3515"/>
              </w:tabs>
              <w:spacing w:before="40" w:after="40"/>
              <w:rPr>
                <w:rFonts w:asciiTheme="majorBidi" w:hAnsiTheme="majorBidi" w:cstheme="majorBidi"/>
                <w:sz w:val="18"/>
                <w:szCs w:val="18"/>
                <w:lang w:val="ru-RU"/>
              </w:rPr>
            </w:pPr>
            <w:r w:rsidRPr="003F4774">
              <w:rPr>
                <w:color w:val="000000"/>
                <w:sz w:val="18"/>
                <w:szCs w:val="18"/>
                <w:lang w:val="ru-RU"/>
              </w:rPr>
              <w:t>Кроме того, Стороны обязуются:</w:t>
            </w:r>
          </w:p>
          <w:p w14:paraId="2F8B778F" w14:textId="77777777" w:rsidR="005F5311" w:rsidRPr="003F4774" w:rsidRDefault="005F5311" w:rsidP="00546B6B">
            <w:pPr>
              <w:numPr>
                <w:ilvl w:val="0"/>
                <w:numId w:val="41"/>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исключить или не допускать, принимая соответствующие меры, использование ртути в нерасфасованном виде врачами</w:t>
            </w:r>
            <w:r w:rsidRPr="003F4774">
              <w:rPr>
                <w:color w:val="000000"/>
                <w:sz w:val="18"/>
                <w:szCs w:val="18"/>
                <w:lang w:val="ru-RU"/>
              </w:rPr>
              <w:noBreakHyphen/>
              <w:t xml:space="preserve">стоматологами; </w:t>
            </w:r>
          </w:p>
          <w:p w14:paraId="14766A84" w14:textId="77777777" w:rsidR="005F5311" w:rsidRPr="003F4774" w:rsidRDefault="005F5311" w:rsidP="00546B6B">
            <w:pPr>
              <w:numPr>
                <w:ilvl w:val="0"/>
                <w:numId w:val="41"/>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исключить или запретить, принимая соответствующие меры, или не рекомендовать использование амальгамы для зубных пломб при лечении молочных зубов, а также зубов у пациентов в возрасте до 15 лет и беременных и кормящих женщин, за исключением случаев, когда такое использование сочтено врачом-стоматологом строго обязательным, исходя из конкретных медицинских показаний пациента.</w:t>
            </w:r>
          </w:p>
        </w:tc>
      </w:tr>
      <w:tr w:rsidR="005F5311" w:rsidRPr="00A87A26" w14:paraId="64FEB453" w14:textId="77777777" w:rsidTr="00E83747">
        <w:trPr>
          <w:trHeight w:val="606"/>
          <w:jc w:val="right"/>
        </w:trPr>
        <w:tc>
          <w:tcPr>
            <w:tcW w:w="2509" w:type="dxa"/>
            <w:vMerge w:val="restart"/>
            <w:tcBorders>
              <w:top w:val="nil"/>
            </w:tcBorders>
          </w:tcPr>
          <w:p w14:paraId="5B085AE6" w14:textId="77777777" w:rsidR="005F5311" w:rsidRPr="003F4774" w:rsidRDefault="005F5311" w:rsidP="00546B6B">
            <w:pPr>
              <w:tabs>
                <w:tab w:val="clear" w:pos="1247"/>
                <w:tab w:val="clear" w:pos="1814"/>
                <w:tab w:val="clear" w:pos="2381"/>
                <w:tab w:val="clear" w:pos="2948"/>
                <w:tab w:val="clear" w:pos="3515"/>
              </w:tabs>
              <w:snapToGrid w:val="0"/>
              <w:spacing w:before="40" w:after="40"/>
              <w:ind w:right="4060"/>
              <w:rPr>
                <w:rFonts w:asciiTheme="majorBidi" w:hAnsiTheme="majorBidi" w:cstheme="majorBidi"/>
                <w:sz w:val="18"/>
                <w:szCs w:val="18"/>
                <w:lang w:val="ru-RU"/>
              </w:rPr>
            </w:pPr>
          </w:p>
        </w:tc>
        <w:tc>
          <w:tcPr>
            <w:tcW w:w="5798" w:type="dxa"/>
            <w:tcBorders>
              <w:top w:val="nil"/>
              <w:bottom w:val="single" w:sz="4" w:space="0" w:color="auto"/>
            </w:tcBorders>
          </w:tcPr>
          <w:p w14:paraId="6A9417D9" w14:textId="77777777" w:rsidR="005F5311" w:rsidRPr="003F4774" w:rsidRDefault="005F5311" w:rsidP="00546B6B">
            <w:pPr>
              <w:tabs>
                <w:tab w:val="clear" w:pos="1247"/>
                <w:tab w:val="clear" w:pos="1814"/>
                <w:tab w:val="clear" w:pos="2381"/>
                <w:tab w:val="clear" w:pos="2948"/>
                <w:tab w:val="clear" w:pos="3515"/>
              </w:tabs>
              <w:spacing w:before="40" w:after="40"/>
              <w:rPr>
                <w:rFonts w:asciiTheme="majorBidi" w:hAnsiTheme="majorBidi" w:cstheme="majorBidi"/>
                <w:sz w:val="18"/>
                <w:szCs w:val="18"/>
                <w:lang w:val="ru-RU"/>
              </w:rPr>
            </w:pPr>
            <w:r w:rsidRPr="003F4774">
              <w:rPr>
                <w:color w:val="000000"/>
                <w:sz w:val="18"/>
                <w:szCs w:val="18"/>
                <w:lang w:val="ru-RU"/>
              </w:rPr>
              <w:t>Кроме того, Стороны, которые еще не осуществили поэтапный вывод из обращения амальгамы для зубных пломб, обязуются:</w:t>
            </w:r>
          </w:p>
          <w:p w14:paraId="4E63C80F" w14:textId="5F0D012C" w:rsidR="005F5311" w:rsidRPr="003F4774" w:rsidRDefault="0052179F" w:rsidP="00D16998">
            <w:p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proofErr w:type="spellStart"/>
            <w:r>
              <w:rPr>
                <w:color w:val="000000"/>
                <w:sz w:val="18"/>
                <w:szCs w:val="18"/>
                <w:lang w:val="en-US"/>
              </w:rPr>
              <w:t>i</w:t>
            </w:r>
            <w:proofErr w:type="spellEnd"/>
            <w:r w:rsidRPr="0052179F">
              <w:rPr>
                <w:color w:val="000000"/>
                <w:sz w:val="18"/>
                <w:szCs w:val="18"/>
                <w:lang w:val="ru-RU"/>
              </w:rPr>
              <w:t>)</w:t>
            </w:r>
            <w:r>
              <w:rPr>
                <w:color w:val="000000"/>
                <w:sz w:val="18"/>
                <w:szCs w:val="18"/>
                <w:lang w:val="en-US"/>
              </w:rPr>
              <w:tab/>
            </w:r>
            <w:r w:rsidR="005F5311" w:rsidRPr="003F4774">
              <w:rPr>
                <w:color w:val="000000"/>
                <w:sz w:val="18"/>
                <w:szCs w:val="18"/>
                <w:lang w:val="ru-RU"/>
              </w:rPr>
              <w:t xml:space="preserve">представлять в секретариат национальный план действий или основанный на имеющейся информации доклад о достигнутых или достигаемых ими результатах в деле поэтапного сокращения использования или поэтапного вывода из обращения амальгамы </w:t>
            </w:r>
            <w:r w:rsidR="005F5311" w:rsidRPr="003F4774">
              <w:rPr>
                <w:color w:val="000000"/>
                <w:sz w:val="18"/>
                <w:szCs w:val="18"/>
                <w:lang w:val="ru-RU"/>
              </w:rPr>
              <w:lastRenderedPageBreak/>
              <w:t>для зубных пломб, каждые четыре года как часть национальных сведений.</w:t>
            </w:r>
          </w:p>
        </w:tc>
      </w:tr>
      <w:tr w:rsidR="005F5311" w:rsidRPr="00A87A26" w14:paraId="57A35746" w14:textId="77777777" w:rsidTr="00D123F0">
        <w:trPr>
          <w:trHeight w:val="778"/>
          <w:jc w:val="right"/>
        </w:trPr>
        <w:tc>
          <w:tcPr>
            <w:tcW w:w="2509" w:type="dxa"/>
            <w:vMerge/>
          </w:tcPr>
          <w:p w14:paraId="1A58BBEE" w14:textId="77777777" w:rsidR="005F5311" w:rsidRPr="003F4774" w:rsidRDefault="005F5311" w:rsidP="00546B6B">
            <w:pPr>
              <w:tabs>
                <w:tab w:val="clear" w:pos="1247"/>
                <w:tab w:val="clear" w:pos="1814"/>
                <w:tab w:val="clear" w:pos="2381"/>
                <w:tab w:val="clear" w:pos="2948"/>
                <w:tab w:val="clear" w:pos="3515"/>
              </w:tabs>
              <w:snapToGrid w:val="0"/>
              <w:spacing w:before="40" w:after="40"/>
              <w:ind w:right="4060"/>
              <w:rPr>
                <w:rFonts w:asciiTheme="majorBidi" w:hAnsiTheme="majorBidi" w:cstheme="majorBidi"/>
                <w:sz w:val="18"/>
                <w:szCs w:val="18"/>
                <w:lang w:val="ru-RU"/>
              </w:rPr>
            </w:pPr>
          </w:p>
        </w:tc>
        <w:tc>
          <w:tcPr>
            <w:tcW w:w="5798" w:type="dxa"/>
            <w:tcBorders>
              <w:top w:val="single" w:sz="4" w:space="0" w:color="auto"/>
            </w:tcBorders>
            <w:shd w:val="clear" w:color="auto" w:fill="D9D9D9"/>
          </w:tcPr>
          <w:p w14:paraId="592E62E4" w14:textId="77777777" w:rsidR="005F5311" w:rsidRPr="003F4774" w:rsidRDefault="005F5311" w:rsidP="00546B6B">
            <w:pPr>
              <w:tabs>
                <w:tab w:val="clear" w:pos="1247"/>
                <w:tab w:val="clear" w:pos="1814"/>
                <w:tab w:val="clear" w:pos="2381"/>
                <w:tab w:val="clear" w:pos="2948"/>
                <w:tab w:val="clear" w:pos="3515"/>
              </w:tabs>
              <w:spacing w:before="40" w:after="40"/>
              <w:rPr>
                <w:rFonts w:asciiTheme="majorBidi" w:hAnsiTheme="majorBidi" w:cstheme="majorBidi"/>
                <w:sz w:val="18"/>
                <w:szCs w:val="18"/>
                <w:lang w:val="ru-RU"/>
              </w:rPr>
            </w:pPr>
            <w:r w:rsidRPr="003F4774">
              <w:rPr>
                <w:color w:val="000000"/>
                <w:sz w:val="18"/>
                <w:szCs w:val="18"/>
                <w:lang w:val="ru-RU"/>
              </w:rPr>
              <w:t>Кроме того, Стороны, которые еще не осуществили поэтапный вывод из обращения амальгамы для зубных пломб, обязуются:</w:t>
            </w:r>
          </w:p>
          <w:p w14:paraId="63949EF7" w14:textId="77777777" w:rsidR="005F5311" w:rsidRPr="003F4774" w:rsidRDefault="005F5311" w:rsidP="00D16998">
            <w:p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lang w:val="ru-RU"/>
              </w:rPr>
            </w:pPr>
            <w:r w:rsidRPr="003F4774">
              <w:rPr>
                <w:color w:val="000000"/>
                <w:sz w:val="18"/>
                <w:szCs w:val="18"/>
                <w:lang w:val="ru-RU"/>
              </w:rPr>
              <w:t>i)</w:t>
            </w:r>
            <w:r w:rsidRPr="003F4774">
              <w:rPr>
                <w:color w:val="000000"/>
                <w:sz w:val="18"/>
                <w:szCs w:val="18"/>
                <w:lang w:val="ru-RU"/>
              </w:rPr>
              <w:tab/>
              <w:t>принять надлежащие меры для запрещения или существенного поэтапного сокращения оборота амальгамы для зубных пломб, за исключением случаев, когда ее использование сочтено врачом</w:t>
            </w:r>
            <w:r w:rsidRPr="003F4774">
              <w:rPr>
                <w:color w:val="000000"/>
                <w:sz w:val="18"/>
                <w:szCs w:val="18"/>
                <w:lang w:val="ru-RU"/>
              </w:rPr>
              <w:noBreakHyphen/>
              <w:t>стоматологом строго обязательным, исходя из конкретных медицинских показаний пациента.</w:t>
            </w:r>
          </w:p>
        </w:tc>
      </w:tr>
    </w:tbl>
    <w:p w14:paraId="305807B3" w14:textId="77777777" w:rsidR="005F5311" w:rsidRPr="005F5311" w:rsidRDefault="005F5311" w:rsidP="00546B6B">
      <w:pPr>
        <w:pStyle w:val="NormalNonumber"/>
        <w:numPr>
          <w:ilvl w:val="0"/>
          <w:numId w:val="91"/>
        </w:numPr>
        <w:tabs>
          <w:tab w:val="clear" w:pos="624"/>
          <w:tab w:val="clear" w:pos="1247"/>
          <w:tab w:val="clear" w:pos="1871"/>
          <w:tab w:val="clear" w:pos="2495"/>
          <w:tab w:val="clear" w:pos="3119"/>
          <w:tab w:val="clear" w:pos="3742"/>
          <w:tab w:val="clear" w:pos="4366"/>
          <w:tab w:val="clear" w:pos="4990"/>
        </w:tabs>
        <w:spacing w:before="240"/>
        <w:ind w:left="1247" w:firstLine="624"/>
        <w:rPr>
          <w:rFonts w:asciiTheme="majorBidi" w:hAnsiTheme="majorBidi" w:cstheme="majorBidi"/>
          <w:lang w:val="ru-RU"/>
        </w:rPr>
      </w:pPr>
      <w:r w:rsidRPr="005F5311">
        <w:rPr>
          <w:i/>
          <w:iCs/>
          <w:lang w:val="ru-RU"/>
        </w:rPr>
        <w:t>признает</w:t>
      </w:r>
      <w:r w:rsidRPr="005F5311">
        <w:rPr>
          <w:lang w:val="ru-RU"/>
        </w:rPr>
        <w:t xml:space="preserve">, что для целей представления информации теми Сторонами, для которых вступила в силу поправка к части </w:t>
      </w:r>
      <w:r>
        <w:t>I</w:t>
      </w:r>
      <w:r w:rsidRPr="005F5311">
        <w:rPr>
          <w:lang w:val="ru-RU"/>
        </w:rPr>
        <w:t xml:space="preserve"> приложения А и которые не воспользовались никакими исключениями, предусмотренными статьей 6, представление информации в отношении части </w:t>
      </w:r>
      <w:r>
        <w:t>II</w:t>
      </w:r>
      <w:r w:rsidRPr="005F5311">
        <w:rPr>
          <w:lang w:val="ru-RU"/>
        </w:rPr>
        <w:t xml:space="preserve"> не предполагается;</w:t>
      </w:r>
    </w:p>
    <w:p w14:paraId="3C2C2DC0" w14:textId="77777777" w:rsidR="005F5311" w:rsidRPr="005F5311" w:rsidRDefault="005F5311" w:rsidP="00546B6B">
      <w:pPr>
        <w:pStyle w:val="NormalNonumber"/>
        <w:numPr>
          <w:ilvl w:val="0"/>
          <w:numId w:val="9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5F5311">
        <w:rPr>
          <w:i/>
          <w:iCs/>
          <w:lang w:val="ru-RU"/>
        </w:rPr>
        <w:t>поручает</w:t>
      </w:r>
      <w:r w:rsidRPr="005F5311">
        <w:rPr>
          <w:lang w:val="ru-RU"/>
        </w:rPr>
        <w:t xml:space="preserve"> секретариату подготовить проект уточненной формы представления информации в соответствии со статьей 21, чтобы отразить поправки к приложению А, и актуализировать руководство по представлению информации и соответствующий онлайновый электронный инструмент.</w:t>
      </w:r>
    </w:p>
    <w:p w14:paraId="05E402C8" w14:textId="77777777" w:rsidR="005F5311" w:rsidRPr="005F5311" w:rsidRDefault="005F5311"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p w14:paraId="06CA2541" w14:textId="2F9ABD35" w:rsidR="00234823" w:rsidRPr="005F5311" w:rsidRDefault="00234823" w:rsidP="00546B6B">
      <w:pPr>
        <w:pStyle w:val="CH2"/>
        <w:keepNext w:val="0"/>
        <w:keepLines w:val="0"/>
        <w:tabs>
          <w:tab w:val="clear" w:pos="851"/>
          <w:tab w:val="clear" w:pos="1247"/>
          <w:tab w:val="clear" w:pos="1871"/>
          <w:tab w:val="clear" w:pos="2495"/>
          <w:tab w:val="clear" w:pos="3119"/>
          <w:tab w:val="clear" w:pos="3742"/>
          <w:tab w:val="clear" w:pos="4366"/>
          <w:tab w:val="clear" w:pos="4990"/>
        </w:tabs>
        <w:rPr>
          <w:rFonts w:asciiTheme="majorBidi" w:hAnsiTheme="majorBidi" w:cstheme="majorBidi"/>
          <w:lang w:val="ru-RU"/>
        </w:rPr>
        <w:sectPr w:rsidR="00234823" w:rsidRPr="005F5311" w:rsidSect="00E84D8D">
          <w:footnotePr>
            <w:numRestart w:val="eachSect"/>
          </w:footnotePr>
          <w:type w:val="continuous"/>
          <w:pgSz w:w="11906" w:h="16838" w:code="9"/>
          <w:pgMar w:top="907" w:right="992" w:bottom="1418" w:left="1418" w:header="539" w:footer="975" w:gutter="0"/>
          <w:cols w:space="539"/>
          <w:docGrid w:linePitch="360"/>
        </w:sectPr>
      </w:pPr>
    </w:p>
    <w:p w14:paraId="07066F07" w14:textId="1A5CD722" w:rsidR="00DB2767" w:rsidRPr="005F5311" w:rsidRDefault="00DB2767" w:rsidP="00546B6B">
      <w:pPr>
        <w:tabs>
          <w:tab w:val="clear" w:pos="1247"/>
          <w:tab w:val="clear" w:pos="1814"/>
          <w:tab w:val="clear" w:pos="2381"/>
          <w:tab w:val="clear" w:pos="2948"/>
          <w:tab w:val="clear" w:pos="3515"/>
        </w:tabs>
        <w:rPr>
          <w:lang w:val="ru-RU"/>
        </w:rPr>
      </w:pPr>
      <w:r w:rsidRPr="005F5311">
        <w:rPr>
          <w:lang w:val="ru-RU"/>
        </w:rPr>
        <w:br w:type="page"/>
      </w:r>
    </w:p>
    <w:p w14:paraId="1CDE06F6" w14:textId="4A1180DB" w:rsidR="00312042" w:rsidRPr="005018F0" w:rsidRDefault="005018F0" w:rsidP="0040357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10" w:name="_Toc213853061"/>
      <w:r>
        <w:rPr>
          <w:lang w:val="ru-RU"/>
        </w:rPr>
        <w:lastRenderedPageBreak/>
        <w:tab/>
      </w:r>
      <w:bookmarkStart w:id="11" w:name="_Toc222992804"/>
      <w:r w:rsidR="00312042" w:rsidRPr="005018F0">
        <w:rPr>
          <w:lang w:val="ru-RU"/>
        </w:rPr>
        <w:t>Решение МК-6/4. Продвижение работы, связанной с косметикой с добавлением ртути</w:t>
      </w:r>
      <w:bookmarkEnd w:id="10"/>
      <w:bookmarkEnd w:id="11"/>
    </w:p>
    <w:p w14:paraId="0CBDC44F"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6720B0B9" w14:textId="3967811A"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3F4774">
        <w:rPr>
          <w:i/>
          <w:iCs/>
          <w:lang w:val="ru-RU"/>
        </w:rPr>
        <w:t>напоминая</w:t>
      </w:r>
      <w:r>
        <w:rPr>
          <w:lang w:val="ru-RU"/>
        </w:rPr>
        <w:t xml:space="preserve">, что пунктом 1 статьи 4 Минаматской конвенции о ртути предусматривается, что Сторонами не допускается производство, импорт или экспорт косметики с добавлением ртути, перечисленной в части I приложения А к Конвенции, после срока поэтапного вывода из обращения, указанного для этих продуктов, кроме случаев, когда исключение указано в приложении А или когда у Стороны имеется зарегистрированное исключение в соответствии со статьей 6, </w:t>
      </w:r>
    </w:p>
    <w:p w14:paraId="6C289D3B" w14:textId="7B26F523"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3F4774">
        <w:rPr>
          <w:i/>
          <w:iCs/>
          <w:lang w:val="ru-RU"/>
        </w:rPr>
        <w:t>отмечая</w:t>
      </w:r>
      <w:r>
        <w:rPr>
          <w:lang w:val="ru-RU"/>
        </w:rPr>
        <w:t>, что, несмотря на включение косметики в приложение А, некоторые косметические средства, не разрешенные Конвенцией, поступают в мировую торговлю,</w:t>
      </w:r>
    </w:p>
    <w:p w14:paraId="6D24D7DE" w14:textId="6110BF87" w:rsidR="00312042" w:rsidRPr="00631C1C"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rPr>
      </w:pPr>
      <w:r w:rsidRPr="003F4774">
        <w:rPr>
          <w:i/>
          <w:iCs/>
          <w:lang w:val="ru-RU"/>
        </w:rPr>
        <w:t>признавая</w:t>
      </w:r>
      <w:r>
        <w:rPr>
          <w:lang w:val="ru-RU"/>
        </w:rPr>
        <w:t xml:space="preserve"> работу, выполненную в последний межсессионный период согласно решению</w:t>
      </w:r>
      <w:r w:rsidR="003F4774">
        <w:rPr>
          <w:lang w:val="ru-RU"/>
        </w:rPr>
        <w:t> </w:t>
      </w:r>
      <w:r>
        <w:rPr>
          <w:lang w:val="ru-RU"/>
        </w:rPr>
        <w:t xml:space="preserve">МК-5/5, </w:t>
      </w:r>
    </w:p>
    <w:p w14:paraId="397A4E2B" w14:textId="48A46F26"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приветствует</w:t>
      </w:r>
      <w:r>
        <w:rPr>
          <w:lang w:val="ru-RU"/>
        </w:rPr>
        <w:t xml:space="preserve"> доклад о косметике, перечисленной в части I приложения A</w:t>
      </w:r>
      <w:r w:rsidR="00726D06" w:rsidRPr="00631C1C">
        <w:rPr>
          <w:rStyle w:val="FootnoteReference"/>
          <w:rFonts w:asciiTheme="majorBidi" w:hAnsiTheme="majorBidi" w:cstheme="majorBidi"/>
          <w:lang w:val="ru-RU"/>
        </w:rPr>
        <w:footnoteReference w:id="12"/>
      </w:r>
      <w:r>
        <w:rPr>
          <w:lang w:val="ru-RU"/>
        </w:rPr>
        <w:t>;</w:t>
      </w:r>
      <w:bookmarkStart w:id="12" w:name="_Hlk213162114"/>
    </w:p>
    <w:p w14:paraId="24159E77" w14:textId="7477D03F"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призывает</w:t>
      </w:r>
      <w:r>
        <w:rPr>
          <w:lang w:val="ru-RU"/>
        </w:rPr>
        <w:t xml:space="preserve"> Стороны, не имеющие национального законодательства или иных мер, или сталкивающиеся с иными трудностями при выполнении их обязательств в отношении косметики с добавлением ртути, информировать об этом секретариат Конвенции и рассмотреть возможность применения статьи 14 и (или) статьи 15 к их ситуации;</w:t>
      </w:r>
      <w:bookmarkStart w:id="13" w:name="_Hlk213162322"/>
      <w:bookmarkEnd w:id="12"/>
    </w:p>
    <w:p w14:paraId="6C6D02B6" w14:textId="4D8253CD"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призывает</w:t>
      </w:r>
      <w:r>
        <w:rPr>
          <w:lang w:val="ru-RU"/>
        </w:rPr>
        <w:t xml:space="preserve"> Глобальное партнерство по ртути продолжать </w:t>
      </w:r>
      <w:r w:rsidR="00F21A48">
        <w:rPr>
          <w:lang w:val="ru-RU"/>
        </w:rPr>
        <w:t xml:space="preserve">его усилия, </w:t>
      </w:r>
      <w:r>
        <w:rPr>
          <w:lang w:val="ru-RU"/>
        </w:rPr>
        <w:t>в консультации с заинтересованными Сторонами</w:t>
      </w:r>
      <w:r w:rsidR="00F21A48">
        <w:rPr>
          <w:lang w:val="ru-RU"/>
        </w:rPr>
        <w:t>,</w:t>
      </w:r>
      <w:r>
        <w:rPr>
          <w:lang w:val="ru-RU"/>
        </w:rPr>
        <w:t xml:space="preserve"> по сбору и распространению информации о наличии ртути в косметике;</w:t>
      </w:r>
    </w:p>
    <w:p w14:paraId="2D0DE4E6" w14:textId="3F145097"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bookmarkStart w:id="14" w:name="_Hlk213162594"/>
      <w:bookmarkEnd w:id="13"/>
      <w:r w:rsidRPr="003F4774">
        <w:rPr>
          <w:i/>
          <w:iCs/>
          <w:lang w:val="ru-RU"/>
        </w:rPr>
        <w:t>предлагает</w:t>
      </w:r>
      <w:r>
        <w:rPr>
          <w:lang w:val="ru-RU"/>
        </w:rPr>
        <w:t xml:space="preserve"> секретариату</w:t>
      </w:r>
      <w:r w:rsidR="00681890">
        <w:rPr>
          <w:lang w:val="ru-RU"/>
        </w:rPr>
        <w:t>,</w:t>
      </w:r>
      <w:r>
        <w:rPr>
          <w:lang w:val="ru-RU"/>
        </w:rPr>
        <w:t xml:space="preserve"> при наличии ресурсов</w:t>
      </w:r>
      <w:r w:rsidR="00681890">
        <w:rPr>
          <w:lang w:val="ru-RU"/>
        </w:rPr>
        <w:t>,</w:t>
      </w:r>
      <w:r>
        <w:rPr>
          <w:lang w:val="ru-RU"/>
        </w:rPr>
        <w:t xml:space="preserve"> и в сотрудничестве с Глобальным партнерством по ртути собрать и представить Конференции Сторон на ее седьмом совещании имеющуюся информацию о механизмах поддержки обеспечения соблюдения и выявления присутствия ртути в косметике, включая оборудование для отбора проб и анализа на местах;</w:t>
      </w:r>
    </w:p>
    <w:p w14:paraId="09130ADF" w14:textId="21444FB6" w:rsidR="00312042" w:rsidRPr="00D20C0A"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также предлагает</w:t>
      </w:r>
      <w:r>
        <w:rPr>
          <w:lang w:val="ru-RU"/>
        </w:rPr>
        <w:t xml:space="preserve"> секретариату</w:t>
      </w:r>
      <w:r w:rsidR="005D655F">
        <w:rPr>
          <w:lang w:val="ru-RU"/>
        </w:rPr>
        <w:t>,</w:t>
      </w:r>
      <w:r>
        <w:rPr>
          <w:lang w:val="ru-RU"/>
        </w:rPr>
        <w:t xml:space="preserve"> при наличии ресурсов</w:t>
      </w:r>
      <w:r w:rsidR="005D655F">
        <w:rPr>
          <w:lang w:val="ru-RU"/>
        </w:rPr>
        <w:t>,</w:t>
      </w:r>
      <w:r>
        <w:rPr>
          <w:lang w:val="ru-RU"/>
        </w:rPr>
        <w:t xml:space="preserve"> собрать и обобщить информацию, представленную Сторонами в их национальных докладах или представленную в соответствии с пунктом 2 выше, касающуюся трудностей в предотвращении изготовления, импорта и экспорта косметики с добавлением ртути, включая трудности с обеспечением соблюдения, и представить доклад по этому вопросу Конференции Сторон на ее седьмом совещании; </w:t>
      </w:r>
    </w:p>
    <w:p w14:paraId="3A94D325" w14:textId="2E36CDA6" w:rsidR="00312042" w:rsidRPr="00DA0337"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3F4774">
        <w:rPr>
          <w:i/>
          <w:iCs/>
          <w:lang w:val="ru-RU"/>
        </w:rPr>
        <w:t>предлагает далее</w:t>
      </w:r>
      <w:r>
        <w:rPr>
          <w:lang w:val="ru-RU"/>
        </w:rPr>
        <w:t xml:space="preserve"> секретариату</w:t>
      </w:r>
      <w:r w:rsidR="00643E46">
        <w:rPr>
          <w:lang w:val="ru-RU"/>
        </w:rPr>
        <w:t>,</w:t>
      </w:r>
      <w:r>
        <w:rPr>
          <w:lang w:val="ru-RU"/>
        </w:rPr>
        <w:t xml:space="preserve"> при наличи</w:t>
      </w:r>
      <w:r w:rsidR="00643E46">
        <w:rPr>
          <w:lang w:val="ru-RU"/>
        </w:rPr>
        <w:t>и</w:t>
      </w:r>
      <w:r>
        <w:rPr>
          <w:lang w:val="ru-RU"/>
        </w:rPr>
        <w:t xml:space="preserve"> ресурсов</w:t>
      </w:r>
      <w:r w:rsidR="00643E46">
        <w:rPr>
          <w:lang w:val="ru-RU"/>
        </w:rPr>
        <w:t>,</w:t>
      </w:r>
      <w:r>
        <w:rPr>
          <w:lang w:val="ru-RU"/>
        </w:rPr>
        <w:t xml:space="preserve"> сотрудничать с Международной организацией уголовной полиции (</w:t>
      </w:r>
      <w:r w:rsidR="00E73C85">
        <w:rPr>
          <w:lang w:val="ru-RU"/>
        </w:rPr>
        <w:t>ИНТЕРПОЛ</w:t>
      </w:r>
      <w:r>
        <w:rPr>
          <w:lang w:val="ru-RU"/>
        </w:rPr>
        <w:t>), Всемирной таможенной организацией и другими соответствующими международными организациями, обладающими экспертными знаниями в отношении незаконной торговли продуктами, для дальнейшего изучения основных источников производства, импорта и экспорта косметики с добавлением ртути, содержание ртути в которых превышает следовые количества, или, для некоторых Сторон, составляет не более 1 миллионной доли, которые более не разрешены в соответствии со статьей 4, и представить доклад по этому вопросу Конференции Сторон на ее седьмом совещании, включив в доклад любые конкретные предложения от соответствующих международных организаций;</w:t>
      </w:r>
    </w:p>
    <w:bookmarkEnd w:id="14"/>
    <w:p w14:paraId="7A750CE0" w14:textId="77777777" w:rsidR="00312042" w:rsidRPr="00631C1C" w:rsidRDefault="00312042" w:rsidP="00546B6B">
      <w:pPr>
        <w:pStyle w:val="NormalNonumber"/>
        <w:numPr>
          <w:ilvl w:val="0"/>
          <w:numId w:val="4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iCs/>
        </w:rPr>
      </w:pPr>
      <w:r w:rsidRPr="003F4774">
        <w:rPr>
          <w:i/>
          <w:iCs/>
          <w:lang w:val="ru-RU"/>
        </w:rPr>
        <w:t>предлагает</w:t>
      </w:r>
      <w:r>
        <w:rPr>
          <w:lang w:val="ru-RU"/>
        </w:rPr>
        <w:t xml:space="preserve"> Всемирной организации здравоохранения:</w:t>
      </w:r>
    </w:p>
    <w:p w14:paraId="777BF6CA" w14:textId="32845512" w:rsidR="00312042" w:rsidRPr="00DA0337" w:rsidRDefault="00312042" w:rsidP="00546B6B">
      <w:pPr>
        <w:pStyle w:val="NormalNonumber"/>
        <w:numPr>
          <w:ilvl w:val="0"/>
          <w:numId w:val="44"/>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Pr>
          <w:lang w:val="ru-RU"/>
        </w:rPr>
        <w:t xml:space="preserve">провести консультации с Программой Организации Объединенных Наций по окружающей среде и Научно-исследовательским институтом по вопросам биоразнообразия, чтобы представить опыт, полученный по результатам экспериментального проекта Глобального экологического фонда по устранению косметики с добавлением ртути в Габоне, Шри-Ланке и на Ямайке; </w:t>
      </w:r>
    </w:p>
    <w:p w14:paraId="69B7A8AE" w14:textId="11C999AB" w:rsidR="00312042" w:rsidRPr="00631C1C" w:rsidRDefault="00312042" w:rsidP="00546B6B">
      <w:pPr>
        <w:pStyle w:val="NormalNonumber"/>
        <w:numPr>
          <w:ilvl w:val="0"/>
          <w:numId w:val="44"/>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Pr>
          <w:lang w:val="ru-RU"/>
        </w:rPr>
        <w:t>подготовить, при поддержке Глобального партнерства по ртути, примерную национальную общесистемную стратегию в области общественного здравоохранения, ориентированную на меры по сокращению использования косметики с добавлением ртути и средств для осветления кожи, которы</w:t>
      </w:r>
      <w:r w:rsidR="00D711C3">
        <w:rPr>
          <w:lang w:val="ru-RU"/>
        </w:rPr>
        <w:t>е</w:t>
      </w:r>
      <w:r>
        <w:rPr>
          <w:lang w:val="ru-RU"/>
        </w:rPr>
        <w:t xml:space="preserve"> </w:t>
      </w:r>
      <w:r w:rsidR="00D711C3">
        <w:rPr>
          <w:lang w:val="ru-RU"/>
        </w:rPr>
        <w:t xml:space="preserve">могут не содержать </w:t>
      </w:r>
      <w:r>
        <w:rPr>
          <w:lang w:val="ru-RU"/>
        </w:rPr>
        <w:t>ртуть, которую Стороны могут использовать внутри страны;</w:t>
      </w:r>
    </w:p>
    <w:p w14:paraId="45CEFA72" w14:textId="7B58D4B0" w:rsidR="00312042" w:rsidRPr="00DA0337" w:rsidRDefault="00312042" w:rsidP="00546B6B">
      <w:pPr>
        <w:pStyle w:val="NormalNonumber"/>
        <w:numPr>
          <w:ilvl w:val="0"/>
          <w:numId w:val="44"/>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sectPr w:rsidR="00312042" w:rsidRPr="00DA0337" w:rsidSect="00E84D8D">
          <w:footnotePr>
            <w:numRestart w:val="eachSect"/>
          </w:footnotePr>
          <w:type w:val="continuous"/>
          <w:pgSz w:w="11906" w:h="16838" w:code="9"/>
          <w:pgMar w:top="907" w:right="992" w:bottom="1418" w:left="1418" w:header="539" w:footer="975" w:gutter="0"/>
          <w:cols w:space="539"/>
          <w:docGrid w:linePitch="360"/>
        </w:sectPr>
      </w:pPr>
      <w:r>
        <w:rPr>
          <w:lang w:val="ru-RU"/>
        </w:rPr>
        <w:lastRenderedPageBreak/>
        <w:t>поделиться полученным опытом и изложением стратегии с секретариатом до 31</w:t>
      </w:r>
      <w:r w:rsidR="00DC395E">
        <w:rPr>
          <w:lang w:val="ru-RU"/>
        </w:rPr>
        <w:t> </w:t>
      </w:r>
      <w:r>
        <w:rPr>
          <w:lang w:val="ru-RU"/>
        </w:rPr>
        <w:t>декабря 2026 года.</w:t>
      </w:r>
    </w:p>
    <w:p w14:paraId="306ABC16"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rFonts w:asciiTheme="majorBidi" w:hAnsiTheme="majorBidi" w:cstheme="majorBidi"/>
          <w:lang w:val="ru-RU"/>
        </w:rPr>
      </w:pPr>
      <w:r w:rsidRPr="00DA0337">
        <w:rPr>
          <w:rFonts w:asciiTheme="majorBidi" w:hAnsiTheme="majorBidi" w:cstheme="majorBidi"/>
          <w:lang w:val="ru-RU"/>
        </w:rPr>
        <w:br w:type="page"/>
      </w:r>
    </w:p>
    <w:p w14:paraId="09BE5536" w14:textId="65A03D31" w:rsidR="00312042" w:rsidRPr="00AA1BA9" w:rsidRDefault="00AA1BA9" w:rsidP="006D1C0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Fonts w:asciiTheme="majorBidi" w:hAnsiTheme="majorBidi" w:cstheme="majorBidi"/>
          <w:lang w:val="ru-RU"/>
        </w:rPr>
      </w:pPr>
      <w:bookmarkStart w:id="15" w:name="_Toc213853062"/>
      <w:r>
        <w:rPr>
          <w:lang w:val="ru-RU"/>
        </w:rPr>
        <w:lastRenderedPageBreak/>
        <w:tab/>
      </w:r>
      <w:bookmarkStart w:id="16" w:name="_Toc222992805"/>
      <w:r w:rsidR="00312042" w:rsidRPr="00AA1BA9">
        <w:rPr>
          <w:lang w:val="ru-RU"/>
        </w:rPr>
        <w:t>Решение МК-6/5. Рассмотрение возможности применения безртутных альтернатив для производства мономера винилхлорида</w:t>
      </w:r>
      <w:bookmarkEnd w:id="15"/>
      <w:bookmarkEnd w:id="16"/>
    </w:p>
    <w:p w14:paraId="65D7BB74" w14:textId="77777777" w:rsidR="00312042" w:rsidRPr="00DA0337" w:rsidRDefault="00312042" w:rsidP="00546B6B">
      <w:pPr>
        <w:tabs>
          <w:tab w:val="clear" w:pos="1247"/>
          <w:tab w:val="clear" w:pos="1814"/>
          <w:tab w:val="clear" w:pos="2381"/>
          <w:tab w:val="clear" w:pos="2948"/>
          <w:tab w:val="clear" w:pos="3515"/>
        </w:tabs>
        <w:spacing w:after="120"/>
        <w:ind w:left="1260" w:firstLine="624"/>
        <w:rPr>
          <w:rFonts w:asciiTheme="majorBidi" w:hAnsiTheme="majorBidi" w:cstheme="majorBidi"/>
          <w:i/>
          <w:iCs/>
          <w:lang w:val="ru-RU"/>
        </w:rPr>
      </w:pPr>
      <w:r>
        <w:rPr>
          <w:i/>
          <w:iCs/>
          <w:lang w:val="ru-RU"/>
        </w:rPr>
        <w:t>Конференция Сторон,</w:t>
      </w:r>
    </w:p>
    <w:p w14:paraId="203F2BE2" w14:textId="424CF94B" w:rsidR="00312042" w:rsidRPr="00DA0337" w:rsidRDefault="00312042" w:rsidP="00546B6B">
      <w:p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D32DA9">
        <w:rPr>
          <w:i/>
          <w:iCs/>
          <w:lang w:val="ru-RU"/>
        </w:rPr>
        <w:t>напоминая</w:t>
      </w:r>
      <w:r>
        <w:rPr>
          <w:lang w:val="ru-RU"/>
        </w:rPr>
        <w:t xml:space="preserve"> об обязательстве, изложенном в пункте 3 статьи 5 Минаматской конвенции о ртути, в соответствии с которым каждая Сторона принимает меры для ограничения применения ртути или ртутных соединений в процессах, перечисленных в части II приложения В к Конвенции, что в случае производства мономера винилхлорида включает представление Конференции Сторон в соответствии со статьей 21 информации об усилиях Стороны в деле разработки и (или) выявления альтернатив и поэтапного отказа от применения ртути,</w:t>
      </w:r>
    </w:p>
    <w:p w14:paraId="32832F4E" w14:textId="41189EA6" w:rsidR="00312042" w:rsidRPr="00C05944" w:rsidRDefault="00312042" w:rsidP="00546B6B">
      <w:p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D32DA9">
        <w:rPr>
          <w:i/>
          <w:iCs/>
          <w:lang w:val="ru-RU"/>
        </w:rPr>
        <w:t>отмечая</w:t>
      </w:r>
      <w:r>
        <w:rPr>
          <w:lang w:val="ru-RU"/>
        </w:rPr>
        <w:t>, что в часть II приложения B включены производство мономера винилхлорида и принимаемые Сторонами меры, включая недопущение использования ртути в производстве мономера винилхлорида по истечении пяти лет после того, как Конференцией Сторон установлено, что безртутные катализаторы, основанные на существующих процессах, стали практически реализуемыми в техническом и экономическом отношении</w:t>
      </w:r>
      <w:r w:rsidR="00C05944">
        <w:rPr>
          <w:lang w:val="ru-RU"/>
        </w:rPr>
        <w:t>,</w:t>
      </w:r>
    </w:p>
    <w:p w14:paraId="6DBA91A2" w14:textId="3AADD083" w:rsidR="00312042" w:rsidRPr="00631C1C" w:rsidRDefault="00312042" w:rsidP="00546B6B">
      <w:pPr>
        <w:tabs>
          <w:tab w:val="clear" w:pos="1247"/>
          <w:tab w:val="clear" w:pos="1814"/>
          <w:tab w:val="clear" w:pos="2381"/>
          <w:tab w:val="clear" w:pos="2948"/>
          <w:tab w:val="clear" w:pos="3515"/>
        </w:tabs>
        <w:spacing w:after="120"/>
        <w:ind w:left="1260" w:firstLine="624"/>
        <w:rPr>
          <w:rFonts w:asciiTheme="majorBidi" w:hAnsiTheme="majorBidi" w:cstheme="majorBidi"/>
        </w:rPr>
      </w:pPr>
      <w:r w:rsidRPr="00D32DA9">
        <w:rPr>
          <w:i/>
          <w:iCs/>
          <w:lang w:val="ru-RU"/>
        </w:rPr>
        <w:t>признавая</w:t>
      </w:r>
      <w:r>
        <w:rPr>
          <w:lang w:val="ru-RU"/>
        </w:rPr>
        <w:t xml:space="preserve"> работу, выполненную в последний межсессионный период согласно решению</w:t>
      </w:r>
      <w:r w:rsidR="00C05944">
        <w:rPr>
          <w:lang w:val="ru-RU"/>
        </w:rPr>
        <w:t> </w:t>
      </w:r>
      <w:r>
        <w:rPr>
          <w:lang w:val="ru-RU"/>
        </w:rPr>
        <w:t>МК-5/6,</w:t>
      </w:r>
    </w:p>
    <w:p w14:paraId="2971ECF0" w14:textId="2091B532" w:rsidR="00312042" w:rsidRPr="00DA0337" w:rsidRDefault="00312042" w:rsidP="00546B6B">
      <w:pPr>
        <w:numPr>
          <w:ilvl w:val="0"/>
          <w:numId w:val="45"/>
        </w:num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bookmarkStart w:id="17" w:name="_Hlk217065927"/>
      <w:r w:rsidRPr="00D32DA9">
        <w:rPr>
          <w:i/>
          <w:iCs/>
          <w:lang w:val="ru-RU"/>
        </w:rPr>
        <w:t>приветствует</w:t>
      </w:r>
      <w:r>
        <w:rPr>
          <w:lang w:val="ru-RU"/>
        </w:rPr>
        <w:t xml:space="preserve"> доклад об экономической и технической возможности применения безртутных альтернатив для производства мономера винилхлорида</w:t>
      </w:r>
      <w:r w:rsidR="00476C29">
        <w:rPr>
          <w:rStyle w:val="FootnoteReference"/>
          <w:rFonts w:cstheme="majorBidi"/>
          <w:lang w:val="ru-RU"/>
        </w:rPr>
        <w:footnoteReference w:id="13"/>
      </w:r>
      <w:r>
        <w:rPr>
          <w:lang w:val="ru-RU"/>
        </w:rPr>
        <w:t>;</w:t>
      </w:r>
      <w:bookmarkEnd w:id="17"/>
    </w:p>
    <w:p w14:paraId="129B7B0C" w14:textId="7B4DD2C5" w:rsidR="00312042" w:rsidRPr="00DA0337" w:rsidRDefault="00312042" w:rsidP="00546B6B">
      <w:pPr>
        <w:numPr>
          <w:ilvl w:val="0"/>
          <w:numId w:val="45"/>
        </w:num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D32DA9">
        <w:rPr>
          <w:i/>
          <w:iCs/>
          <w:lang w:val="ru-RU"/>
        </w:rPr>
        <w:t>с удовлетворением отмечает</w:t>
      </w:r>
      <w:r>
        <w:rPr>
          <w:lang w:val="ru-RU"/>
        </w:rPr>
        <w:t xml:space="preserve"> заявленные успехи в деле прекращения использования ртути при производстве мономера винилхлорида;</w:t>
      </w:r>
    </w:p>
    <w:p w14:paraId="71CC3640" w14:textId="648546FE" w:rsidR="00312042" w:rsidRPr="00DA0337" w:rsidRDefault="00312042" w:rsidP="00546B6B">
      <w:pPr>
        <w:numPr>
          <w:ilvl w:val="0"/>
          <w:numId w:val="45"/>
        </w:numPr>
        <w:tabs>
          <w:tab w:val="clear" w:pos="1247"/>
          <w:tab w:val="clear" w:pos="1814"/>
          <w:tab w:val="clear" w:pos="2381"/>
          <w:tab w:val="clear" w:pos="2948"/>
          <w:tab w:val="clear" w:pos="3515"/>
        </w:tabs>
        <w:spacing w:after="120"/>
        <w:ind w:left="1260" w:firstLine="624"/>
        <w:rPr>
          <w:rFonts w:asciiTheme="majorBidi" w:hAnsiTheme="majorBidi" w:cstheme="majorBidi"/>
          <w:lang w:val="ru-RU"/>
        </w:rPr>
      </w:pPr>
      <w:r w:rsidRPr="00D32DA9">
        <w:rPr>
          <w:i/>
          <w:iCs/>
          <w:lang w:val="ru-RU"/>
        </w:rPr>
        <w:t>отмечает</w:t>
      </w:r>
      <w:r>
        <w:rPr>
          <w:lang w:val="ru-RU"/>
        </w:rPr>
        <w:t>, что на текущем совещании не удалось достичь консенсуса в отношении практической реализуемости в экономическом и техническом отношениях использования безртутных катализаторов при производстве мономера винилхлорида;</w:t>
      </w:r>
    </w:p>
    <w:p w14:paraId="424A2C9C" w14:textId="38F4E78B" w:rsidR="00312042" w:rsidRPr="00DA0337" w:rsidRDefault="00312042" w:rsidP="00546B6B">
      <w:pPr>
        <w:numPr>
          <w:ilvl w:val="0"/>
          <w:numId w:val="45"/>
        </w:numPr>
        <w:tabs>
          <w:tab w:val="clear" w:pos="1247"/>
          <w:tab w:val="clear" w:pos="1814"/>
          <w:tab w:val="clear" w:pos="2381"/>
          <w:tab w:val="clear" w:pos="2948"/>
          <w:tab w:val="clear" w:pos="3515"/>
        </w:tabs>
        <w:spacing w:after="120"/>
        <w:ind w:left="1260" w:firstLine="624"/>
        <w:rPr>
          <w:rFonts w:asciiTheme="majorBidi" w:hAnsiTheme="majorBidi" w:cstheme="majorBidi"/>
          <w:iCs/>
          <w:lang w:val="ru-RU"/>
        </w:rPr>
        <w:sectPr w:rsidR="00312042" w:rsidRPr="00DA0337" w:rsidSect="00E84D8D">
          <w:footnotePr>
            <w:numRestart w:val="eachSect"/>
          </w:footnotePr>
          <w:type w:val="continuous"/>
          <w:pgSz w:w="11906" w:h="16838" w:code="9"/>
          <w:pgMar w:top="907" w:right="992" w:bottom="1418" w:left="1418" w:header="539" w:footer="975" w:gutter="0"/>
          <w:cols w:space="539"/>
          <w:docGrid w:linePitch="360"/>
        </w:sectPr>
      </w:pPr>
      <w:r w:rsidRPr="00D32DA9">
        <w:rPr>
          <w:i/>
          <w:iCs/>
          <w:lang w:val="ru-RU"/>
        </w:rPr>
        <w:t>принимает</w:t>
      </w:r>
      <w:r>
        <w:rPr>
          <w:lang w:val="ru-RU"/>
        </w:rPr>
        <w:t xml:space="preserve"> решение вновь рассмотреть этот вопрос на своем следующем совещании.</w:t>
      </w:r>
    </w:p>
    <w:p w14:paraId="329E4426"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rFonts w:asciiTheme="majorBidi" w:hAnsiTheme="majorBidi" w:cstheme="majorBidi"/>
          <w:lang w:val="ru-RU"/>
        </w:rPr>
      </w:pPr>
      <w:r w:rsidRPr="00DA0337">
        <w:rPr>
          <w:rFonts w:asciiTheme="majorBidi" w:hAnsiTheme="majorBidi" w:cstheme="majorBidi"/>
          <w:lang w:val="ru-RU"/>
        </w:rPr>
        <w:br w:type="page"/>
      </w:r>
    </w:p>
    <w:p w14:paraId="7CA939B9" w14:textId="15886CF9" w:rsidR="00312042" w:rsidRPr="00AA1BA9" w:rsidRDefault="00AA1BA9" w:rsidP="009807D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Fonts w:asciiTheme="majorBidi" w:hAnsiTheme="majorBidi" w:cstheme="majorBidi"/>
          <w:lang w:val="ru-RU"/>
        </w:rPr>
      </w:pPr>
      <w:bookmarkStart w:id="18" w:name="_Toc213853063"/>
      <w:r>
        <w:rPr>
          <w:lang w:val="ru-RU"/>
        </w:rPr>
        <w:lastRenderedPageBreak/>
        <w:tab/>
      </w:r>
      <w:bookmarkStart w:id="19" w:name="_Toc222992806"/>
      <w:r w:rsidR="00312042" w:rsidRPr="00AA1BA9">
        <w:rPr>
          <w:lang w:val="ru-RU"/>
        </w:rPr>
        <w:t>Решение МК-6/6. График рассмотрения заявок Сторон о продлении действия исключений</w:t>
      </w:r>
      <w:bookmarkEnd w:id="18"/>
      <w:bookmarkEnd w:id="19"/>
    </w:p>
    <w:p w14:paraId="031858D6"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5814A923" w14:textId="318612BC"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B17289">
        <w:rPr>
          <w:i/>
          <w:iCs/>
          <w:lang w:val="ru-RU"/>
        </w:rPr>
        <w:t>принимает</w:t>
      </w:r>
      <w:r>
        <w:rPr>
          <w:lang w:val="ru-RU"/>
        </w:rPr>
        <w:t xml:space="preserve"> для целей содействия заявкам Сторон о продлении действия исключений в соответствии с пунктом 6 статьи 6 Минаматской конвенции о ртути график, изложенный в приложении к настоящему решению.</w:t>
      </w:r>
    </w:p>
    <w:p w14:paraId="2BA981AE" w14:textId="54745BD1" w:rsidR="00312042" w:rsidRPr="00631C1C" w:rsidRDefault="00312042" w:rsidP="00B17289">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pPr>
      <w:bookmarkStart w:id="20" w:name="_Toc221695739"/>
      <w:bookmarkStart w:id="21" w:name="_Toc222992807"/>
      <w:r>
        <w:rPr>
          <w:bCs/>
          <w:lang w:val="ru-RU"/>
        </w:rPr>
        <w:t>Приложение к решению МК-6/6</w:t>
      </w:r>
      <w:bookmarkStart w:id="22" w:name="_Toc216165200"/>
      <w:bookmarkEnd w:id="20"/>
      <w:bookmarkEnd w:id="21"/>
      <w:bookmarkEnd w:id="22"/>
    </w:p>
    <w:p w14:paraId="20E0B226" w14:textId="16D1DFE2" w:rsidR="00312042" w:rsidRPr="00DA0337" w:rsidRDefault="00312042" w:rsidP="00546B6B">
      <w:pPr>
        <w:pStyle w:val="NormalNonumber"/>
        <w:numPr>
          <w:ilvl w:val="0"/>
          <w:numId w:val="46"/>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Pr>
          <w:lang w:val="ru-RU"/>
        </w:rPr>
        <w:t>Любые заявки о продлении действия исключения предпочтительно представляются не менее чем за 6 месяцев до последнего совещания Конференции Сторон, проводимого до истечения действия этого исключения.</w:t>
      </w:r>
    </w:p>
    <w:p w14:paraId="671F2FA6" w14:textId="0C8696AE" w:rsidR="00312042" w:rsidRPr="00DA0337" w:rsidRDefault="00312042" w:rsidP="00546B6B">
      <w:pPr>
        <w:pStyle w:val="NormalNonumber"/>
        <w:numPr>
          <w:ilvl w:val="0"/>
          <w:numId w:val="46"/>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Pr>
          <w:lang w:val="ru-RU"/>
        </w:rPr>
        <w:t>Ожидается, что в заявке будет содержаться информация, указанная в пункте 6 a), b) и c) статьи 6 Минаматской конвенции о ртути, в отношении каждого включенного в заявку продукта с добавлением ртути или процесса, с тем чтобы Конференция Сторон могла в полном объеме рассмотреть заявку.</w:t>
      </w:r>
    </w:p>
    <w:p w14:paraId="3273D6F6" w14:textId="77777777" w:rsidR="00312042" w:rsidRPr="00DA0337" w:rsidRDefault="00312042" w:rsidP="00546B6B">
      <w:pPr>
        <w:pStyle w:val="NormalNonumber"/>
        <w:numPr>
          <w:ilvl w:val="0"/>
          <w:numId w:val="46"/>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Pr>
          <w:lang w:val="ru-RU"/>
        </w:rPr>
        <w:t>При необходимости секретариат может проводить консультации со Стороной, представляющей заявку о продлении.</w:t>
      </w:r>
    </w:p>
    <w:p w14:paraId="210A652C" w14:textId="1DD5CA3C" w:rsidR="00312042" w:rsidRPr="00DA0337" w:rsidRDefault="00312042" w:rsidP="00546B6B">
      <w:pPr>
        <w:pStyle w:val="NormalNonumber"/>
        <w:numPr>
          <w:ilvl w:val="0"/>
          <w:numId w:val="46"/>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sectPr w:rsidR="00312042" w:rsidRPr="00DA0337" w:rsidSect="00E84D8D">
          <w:type w:val="continuous"/>
          <w:pgSz w:w="11906" w:h="16838" w:code="9"/>
          <w:pgMar w:top="907" w:right="992" w:bottom="1418" w:left="1418" w:header="539" w:footer="975" w:gutter="0"/>
          <w:cols w:space="539"/>
          <w:docGrid w:linePitch="360"/>
        </w:sectPr>
      </w:pPr>
      <w:r>
        <w:rPr>
          <w:lang w:val="ru-RU"/>
        </w:rPr>
        <w:t>Заявка будет рассмотрена Конференцией Сторон на ее следующем совещании после представления заявки.</w:t>
      </w:r>
    </w:p>
    <w:p w14:paraId="26D81F9A"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r w:rsidRPr="00DA0337">
        <w:rPr>
          <w:lang w:val="ru-RU"/>
        </w:rPr>
        <w:br w:type="page"/>
      </w:r>
    </w:p>
    <w:p w14:paraId="4C412FE3" w14:textId="39B640CC" w:rsidR="00312042" w:rsidRPr="006A7ACC" w:rsidRDefault="00312042" w:rsidP="009807DD">
      <w:pPr>
        <w:pStyle w:val="CH2"/>
        <w:keepNext w:val="0"/>
        <w:keepLines w:val="0"/>
        <w:spacing w:before="0"/>
        <w:ind w:firstLine="0"/>
        <w:rPr>
          <w:rFonts w:asciiTheme="majorBidi" w:hAnsiTheme="majorBidi" w:cstheme="majorBidi"/>
          <w:lang w:val="ru-RU"/>
        </w:rPr>
      </w:pPr>
      <w:bookmarkStart w:id="23" w:name="_Toc213853064"/>
      <w:bookmarkStart w:id="24" w:name="_Toc222992808"/>
      <w:r w:rsidRPr="006A7ACC">
        <w:rPr>
          <w:lang w:val="ru-RU"/>
        </w:rPr>
        <w:lastRenderedPageBreak/>
        <w:t>Решение МК-6/7. Продление действия исключений</w:t>
      </w:r>
      <w:bookmarkEnd w:id="23"/>
      <w:bookmarkEnd w:id="24"/>
    </w:p>
    <w:p w14:paraId="7BD6E23D" w14:textId="77777777"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i/>
          <w:lang w:val="ru-RU"/>
        </w:rPr>
      </w:pPr>
      <w:r>
        <w:rPr>
          <w:i/>
          <w:iCs/>
          <w:lang w:val="ru-RU"/>
        </w:rPr>
        <w:t>Конференция Сторон,</w:t>
      </w:r>
    </w:p>
    <w:p w14:paraId="7DB24900" w14:textId="7B36882A"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341754">
        <w:rPr>
          <w:i/>
          <w:iCs/>
          <w:lang w:val="ru-RU"/>
        </w:rPr>
        <w:t>отмечая</w:t>
      </w:r>
      <w:r>
        <w:rPr>
          <w:lang w:val="ru-RU"/>
        </w:rPr>
        <w:t>, что в пункте 6 статьи 6 Минаматской конвенции о ртути предусматривается, что Конференция Сторон может по просьбе Стороны принять решение о продлении действия исключения относительно соответствующего срока поэтапного вывода из обращения, указанного в приложении А или В к Конвенции,</w:t>
      </w:r>
    </w:p>
    <w:p w14:paraId="3BA7752B" w14:textId="0AD43D29"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341754">
        <w:rPr>
          <w:i/>
          <w:iCs/>
          <w:lang w:val="ru-RU"/>
        </w:rPr>
        <w:t>признавая</w:t>
      </w:r>
      <w:r>
        <w:rPr>
          <w:lang w:val="ru-RU"/>
        </w:rPr>
        <w:t>, что впервые обращение к Конференции Сторон с таким запросом произошло на шестом совещании Конференции Сторон,</w:t>
      </w:r>
    </w:p>
    <w:p w14:paraId="2246C951" w14:textId="5431F655"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341754">
        <w:rPr>
          <w:i/>
          <w:iCs/>
          <w:lang w:val="ru-RU"/>
        </w:rPr>
        <w:t>приветствуя</w:t>
      </w:r>
      <w:r>
        <w:rPr>
          <w:lang w:val="ru-RU"/>
        </w:rPr>
        <w:t xml:space="preserve"> пересмотренные заявки о продлении действия исключений, представленные двумя из трех </w:t>
      </w:r>
      <w:r w:rsidR="00393E4E">
        <w:rPr>
          <w:lang w:val="ru-RU"/>
        </w:rPr>
        <w:t>Сторон</w:t>
      </w:r>
      <w:r>
        <w:rPr>
          <w:lang w:val="ru-RU"/>
        </w:rPr>
        <w:t>, обратившихся за продлением, в которых они представляют дополнительную информацию, касающуюся пункта 6 a), b) и c) статьи 6, для рассмотрения Сторонами,</w:t>
      </w:r>
    </w:p>
    <w:p w14:paraId="10A5E1F9" w14:textId="6F6045D2" w:rsidR="00312042" w:rsidRPr="00DA0337" w:rsidRDefault="00312042" w:rsidP="00546B6B">
      <w:pPr>
        <w:tabs>
          <w:tab w:val="clear" w:pos="1247"/>
          <w:tab w:val="clear" w:pos="1814"/>
          <w:tab w:val="clear" w:pos="2381"/>
          <w:tab w:val="clear" w:pos="2948"/>
          <w:tab w:val="clear" w:pos="3515"/>
        </w:tabs>
        <w:spacing w:after="120"/>
        <w:ind w:left="1247" w:firstLine="624"/>
        <w:rPr>
          <w:rFonts w:asciiTheme="majorBidi" w:hAnsiTheme="majorBidi" w:cstheme="majorBidi"/>
          <w:iCs/>
          <w:lang w:val="ru-RU"/>
        </w:rPr>
      </w:pPr>
      <w:r w:rsidRPr="00341754">
        <w:rPr>
          <w:i/>
          <w:iCs/>
          <w:lang w:val="ru-RU"/>
        </w:rPr>
        <w:t>подчеркивая</w:t>
      </w:r>
      <w:r>
        <w:rPr>
          <w:lang w:val="ru-RU"/>
        </w:rPr>
        <w:t xml:space="preserve"> сохраняющуюся необходимость охраны здоровья человека и окружающей среды от продолжающегося производства, импорта и экспорта продуктов, перечисленных в части I приложения А,</w:t>
      </w:r>
    </w:p>
    <w:p w14:paraId="46DAD41D" w14:textId="5B638DFC" w:rsidR="00312042" w:rsidRPr="00D20C0A" w:rsidRDefault="00312042"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принимает к сведению</w:t>
      </w:r>
      <w:r>
        <w:rPr>
          <w:lang w:val="ru-RU"/>
        </w:rPr>
        <w:t xml:space="preserve"> заявки о продлении действия исключений и связанную с ними информацию, представленную Конференции Сторон на ее шестом совещании Бангладеш, Индией и Таиландом в соответствии с пунктом 6 статьи 6;</w:t>
      </w:r>
    </w:p>
    <w:p w14:paraId="54084163" w14:textId="62ADEED8" w:rsidR="00312042" w:rsidRPr="00DA0337" w:rsidRDefault="00312042"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постановляет</w:t>
      </w:r>
      <w:r>
        <w:rPr>
          <w:lang w:val="ru-RU"/>
        </w:rPr>
        <w:t xml:space="preserve"> продлить действие исключений в отношении срока поэтапного вывода из обращения согласно заявке Бангладеш</w:t>
      </w:r>
      <w:r w:rsidR="00B43E9A">
        <w:rPr>
          <w:rStyle w:val="FootnoteReference"/>
          <w:rFonts w:cstheme="majorBidi"/>
          <w:lang w:val="ru-RU"/>
        </w:rPr>
        <w:footnoteReference w:id="14"/>
      </w:r>
      <w:r>
        <w:rPr>
          <w:lang w:val="ru-RU"/>
        </w:rPr>
        <w:t xml:space="preserve">; </w:t>
      </w:r>
    </w:p>
    <w:p w14:paraId="5BC15F89" w14:textId="01BA2C49" w:rsidR="00312042" w:rsidRPr="00DA0337" w:rsidRDefault="0054668F"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постановляет также</w:t>
      </w:r>
      <w:r>
        <w:rPr>
          <w:lang w:val="ru-RU"/>
        </w:rPr>
        <w:t xml:space="preserve"> продлить действие исключений в отношении срока поэтапного вывода из обращения согласно заявке Индии</w:t>
      </w:r>
      <w:r w:rsidR="00C72250" w:rsidRPr="00631C1C">
        <w:rPr>
          <w:rStyle w:val="FootnoteReference"/>
          <w:rFonts w:asciiTheme="majorBidi" w:hAnsiTheme="majorBidi" w:cstheme="majorBidi"/>
          <w:lang w:val="ru-RU"/>
        </w:rPr>
        <w:footnoteReference w:id="15"/>
      </w:r>
      <w:r>
        <w:rPr>
          <w:lang w:val="ru-RU"/>
        </w:rPr>
        <w:t>;</w:t>
      </w:r>
    </w:p>
    <w:p w14:paraId="247AEC2E" w14:textId="79EB03D4" w:rsidR="00312042" w:rsidRPr="00DA0337" w:rsidRDefault="0054668F"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постановляет также</w:t>
      </w:r>
      <w:r>
        <w:rPr>
          <w:lang w:val="ru-RU"/>
        </w:rPr>
        <w:t xml:space="preserve"> продлить действие исключений в отношении срока поэтапного вывода из обращения согласно заявке Таиланда</w:t>
      </w:r>
      <w:r w:rsidR="00C72250" w:rsidRPr="00631C1C">
        <w:rPr>
          <w:rStyle w:val="FootnoteReference"/>
          <w:rFonts w:asciiTheme="majorBidi" w:hAnsiTheme="majorBidi" w:cstheme="majorBidi"/>
          <w:lang w:val="ru-RU"/>
        </w:rPr>
        <w:footnoteReference w:id="16"/>
      </w:r>
      <w:r>
        <w:rPr>
          <w:lang w:val="ru-RU"/>
        </w:rPr>
        <w:t>;</w:t>
      </w:r>
    </w:p>
    <w:p w14:paraId="1AC35949" w14:textId="4EB691DA" w:rsidR="00312042" w:rsidRPr="00DA0337" w:rsidRDefault="00312042"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pPr>
      <w:r w:rsidRPr="00341754">
        <w:rPr>
          <w:i/>
          <w:iCs/>
          <w:lang w:val="ru-RU"/>
        </w:rPr>
        <w:t>отмечает</w:t>
      </w:r>
      <w:r>
        <w:rPr>
          <w:lang w:val="ru-RU"/>
        </w:rPr>
        <w:t>, что, за исключением продлений исключений, упомянутых в пунктах</w:t>
      </w:r>
      <w:r w:rsidR="00423412">
        <w:rPr>
          <w:lang w:val="ru-RU"/>
        </w:rPr>
        <w:t> </w:t>
      </w:r>
      <w:r>
        <w:rPr>
          <w:lang w:val="ru-RU"/>
        </w:rPr>
        <w:t xml:space="preserve">2, 3 и 4 выше, все зарегистрированные исключения из сроков поэтапного </w:t>
      </w:r>
      <w:r w:rsidR="00185A1D">
        <w:rPr>
          <w:lang w:val="ru-RU"/>
        </w:rPr>
        <w:t>в</w:t>
      </w:r>
      <w:r w:rsidR="00B630F9">
        <w:rPr>
          <w:lang w:val="ru-RU"/>
        </w:rPr>
        <w:t>ывода из обращения</w:t>
      </w:r>
      <w:r>
        <w:rPr>
          <w:lang w:val="ru-RU"/>
        </w:rPr>
        <w:t xml:space="preserve"> в 2020 году, перечисленные в приложении А, истекают после 31 декабря 2025</w:t>
      </w:r>
      <w:r w:rsidR="00341754">
        <w:rPr>
          <w:lang w:val="ru-RU"/>
        </w:rPr>
        <w:t> </w:t>
      </w:r>
      <w:r>
        <w:rPr>
          <w:lang w:val="ru-RU"/>
        </w:rPr>
        <w:t xml:space="preserve">года в соответствии с пунктом 5 статьи 6 и что после этой даты ни одно государство или региональная организация экономической интеграции не сможет зарегистрировать исключение в отношении сроков </w:t>
      </w:r>
      <w:r w:rsidR="00F105B2">
        <w:rPr>
          <w:lang w:val="ru-RU"/>
        </w:rPr>
        <w:t>поэтапного вывода из обращения</w:t>
      </w:r>
      <w:r>
        <w:rPr>
          <w:lang w:val="ru-RU"/>
        </w:rPr>
        <w:t xml:space="preserve"> в 2020 году в соответствии с пунктом 8 статьи 6;</w:t>
      </w:r>
    </w:p>
    <w:p w14:paraId="5344FE50" w14:textId="4D062EBD" w:rsidR="00312042" w:rsidRPr="00DA0337" w:rsidRDefault="00312042" w:rsidP="00546B6B">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ru-RU"/>
        </w:rPr>
        <w:sectPr w:rsidR="00312042" w:rsidRPr="00DA0337" w:rsidSect="00E84D8D">
          <w:footnotePr>
            <w:numRestart w:val="eachSect"/>
          </w:footnotePr>
          <w:type w:val="continuous"/>
          <w:pgSz w:w="11906" w:h="16838" w:code="9"/>
          <w:pgMar w:top="907" w:right="992" w:bottom="1418" w:left="1418" w:header="539" w:footer="975" w:gutter="0"/>
          <w:cols w:space="539"/>
          <w:docGrid w:linePitch="360"/>
        </w:sectPr>
      </w:pPr>
      <w:r w:rsidRPr="00341754">
        <w:rPr>
          <w:i/>
          <w:iCs/>
          <w:lang w:val="ru-RU"/>
        </w:rPr>
        <w:t>поручает</w:t>
      </w:r>
      <w:r>
        <w:rPr>
          <w:lang w:val="ru-RU"/>
        </w:rPr>
        <w:t xml:space="preserve"> секретариату продолжать вести, обновлять и публиковать на веб-сайте Конвенции реестр, созданный в соответствии с пунктом 3 статьи 6, и соответствующую информацию</w:t>
      </w:r>
      <w:r w:rsidR="003A6BBA">
        <w:rPr>
          <w:lang w:val="ru-RU"/>
        </w:rPr>
        <w:t xml:space="preserve">, </w:t>
      </w:r>
      <w:r w:rsidR="00C0680C">
        <w:rPr>
          <w:lang w:val="ru-RU"/>
        </w:rPr>
        <w:t>в надлежащих случаях</w:t>
      </w:r>
      <w:r>
        <w:rPr>
          <w:lang w:val="ru-RU"/>
        </w:rPr>
        <w:t>.</w:t>
      </w:r>
    </w:p>
    <w:p w14:paraId="7998AE53"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r w:rsidRPr="00DA0337">
        <w:rPr>
          <w:lang w:val="ru-RU"/>
        </w:rPr>
        <w:br w:type="page"/>
      </w:r>
    </w:p>
    <w:p w14:paraId="71648EF9" w14:textId="05761E31" w:rsidR="00312042" w:rsidRPr="008D1E8F" w:rsidRDefault="008D1E8F" w:rsidP="009807D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25" w:name="_Toc213853065"/>
      <w:r>
        <w:rPr>
          <w:lang w:val="ru-RU"/>
        </w:rPr>
        <w:lastRenderedPageBreak/>
        <w:tab/>
      </w:r>
      <w:bookmarkStart w:id="26" w:name="_Toc222992809"/>
      <w:r w:rsidR="00312042" w:rsidRPr="008D1E8F">
        <w:rPr>
          <w:lang w:val="ru-RU"/>
        </w:rPr>
        <w:t>Решение МК-6/8. Кустарная и мелкомасштабная золотодобыча: обзор хода выполнения статьи 7</w:t>
      </w:r>
      <w:bookmarkEnd w:id="25"/>
      <w:bookmarkEnd w:id="26"/>
    </w:p>
    <w:p w14:paraId="39CDEB28"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ru-RU"/>
        </w:rPr>
      </w:pPr>
      <w:r>
        <w:rPr>
          <w:i/>
          <w:iCs/>
          <w:lang w:val="ru-RU"/>
        </w:rPr>
        <w:t>Конференция Сторон,</w:t>
      </w:r>
    </w:p>
    <w:p w14:paraId="2BC32B62" w14:textId="5AA692DA"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отмечая</w:t>
      </w:r>
      <w:r>
        <w:rPr>
          <w:lang w:val="ru-RU"/>
        </w:rPr>
        <w:t>, что загрязнение в результате использования ртути в кустарной и мелкомасштабной золотодобыче остается крупнейшим источником антропогенных выбросов ртути в мире,</w:t>
      </w:r>
    </w:p>
    <w:p w14:paraId="79641DDF" w14:textId="4D8AB78A"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признавая</w:t>
      </w:r>
      <w:r>
        <w:rPr>
          <w:lang w:val="ru-RU"/>
        </w:rPr>
        <w:t xml:space="preserve"> усилия, предпринятые соответствующими Сторонами по разработке, представлению и осуществлению их национальных планов действий в соответствии с пунктом</w:t>
      </w:r>
      <w:r w:rsidR="006957A3">
        <w:rPr>
          <w:lang w:val="ru-RU"/>
        </w:rPr>
        <w:t> </w:t>
      </w:r>
      <w:r>
        <w:rPr>
          <w:lang w:val="ru-RU"/>
        </w:rPr>
        <w:t>3 a) и b) статьи 7 Минаматской конвенции о ртути,</w:t>
      </w:r>
    </w:p>
    <w:p w14:paraId="10DAFAF6" w14:textId="076C9198"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Calibri" w:hAnsiTheme="majorBidi" w:cstheme="majorBidi"/>
          <w:lang w:val="ru-RU"/>
        </w:rPr>
      </w:pPr>
      <w:r w:rsidRPr="000135ED">
        <w:rPr>
          <w:i/>
          <w:iCs/>
          <w:lang w:val="ru-RU"/>
        </w:rPr>
        <w:t>ссылаясь</w:t>
      </w:r>
      <w:r>
        <w:rPr>
          <w:lang w:val="ru-RU"/>
        </w:rPr>
        <w:t xml:space="preserve"> на пункт 3 c) статьи 7, предписывающий всем Сторонам, которые определили, что кустарная и мелкомасштабная золотодобыча на их территории выходит за рамки незначительной, сообщили об этом секретариату и разработали и представили свои национальные планы действий, подготовить обзор хода выполнения их обязательств в соответствии со статьей 7 и включить этот обзор в их доклады, подлежащие представлению в соответствии со статьей 21,</w:t>
      </w:r>
    </w:p>
    <w:p w14:paraId="3BDA6817" w14:textId="1F41AF56"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ссылаясь далее</w:t>
      </w:r>
      <w:r>
        <w:rPr>
          <w:lang w:val="ru-RU"/>
        </w:rPr>
        <w:t xml:space="preserve"> на свое решение МК-4/4, в котором она призвала Стороны вовлекать коренные народы, а также местные общины и других соответствующих заинтересованны</w:t>
      </w:r>
      <w:r w:rsidR="00EF5D61">
        <w:rPr>
          <w:lang w:val="ru-RU"/>
        </w:rPr>
        <w:t>х</w:t>
      </w:r>
      <w:r>
        <w:rPr>
          <w:lang w:val="ru-RU"/>
        </w:rPr>
        <w:t xml:space="preserve"> субъект</w:t>
      </w:r>
      <w:r w:rsidR="00EF5D61">
        <w:rPr>
          <w:lang w:val="ru-RU"/>
        </w:rPr>
        <w:t>ов</w:t>
      </w:r>
      <w:r>
        <w:rPr>
          <w:lang w:val="ru-RU"/>
        </w:rPr>
        <w:t xml:space="preserve"> в разработку и осуществление национальных планов действий в отношении кустарной и мелкомасштабной золотодобычи,</w:t>
      </w:r>
    </w:p>
    <w:p w14:paraId="44D80116" w14:textId="618A44BA"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признавая</w:t>
      </w:r>
      <w:r>
        <w:rPr>
          <w:lang w:val="ru-RU"/>
        </w:rPr>
        <w:t xml:space="preserve">, что предотвращение использования и перенаправления ртути в связи с добычей золота, включая кустарную и мелкомасштабную золотодобычу, будет укреплено посредством экологически устойчивых мер регулирования и усиления подотчетности на всех этапах жизненного цикла производства и сбыта золота, включая должную осмотрительность со стороны покупателей и посредников, прослеживаемость и проверку происхождения, </w:t>
      </w:r>
    </w:p>
    <w:p w14:paraId="2DAE94D1" w14:textId="71D2AA51"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приветствуя</w:t>
      </w:r>
      <w:r>
        <w:rPr>
          <w:lang w:val="ru-RU"/>
        </w:rPr>
        <w:t xml:space="preserve"> международные усилия по содействию скоординированным действиям в области кустарной и мелкомасштабной золотодобычи с целью снижения социально</w:t>
      </w:r>
      <w:r w:rsidR="00F45D32">
        <w:rPr>
          <w:lang w:val="ru-RU"/>
        </w:rPr>
        <w:noBreakHyphen/>
      </w:r>
      <w:r>
        <w:rPr>
          <w:lang w:val="ru-RU"/>
        </w:rPr>
        <w:t xml:space="preserve">экологических рисков, связанных с кустарной и мелкомасштабной золотодобычей, и минимизации ее негативного воздействия, содействия развитию осуществляемых ответственным образом процессов безртутного извлечения золота и повышения </w:t>
      </w:r>
      <w:r w:rsidR="00EC3D7D">
        <w:rPr>
          <w:lang w:val="ru-RU"/>
        </w:rPr>
        <w:t xml:space="preserve">транспарентности </w:t>
      </w:r>
      <w:r>
        <w:rPr>
          <w:lang w:val="ru-RU"/>
        </w:rPr>
        <w:t xml:space="preserve">и </w:t>
      </w:r>
      <w:proofErr w:type="spellStart"/>
      <w:r>
        <w:rPr>
          <w:lang w:val="ru-RU"/>
        </w:rPr>
        <w:t>отслеживаемости</w:t>
      </w:r>
      <w:proofErr w:type="spellEnd"/>
      <w:r>
        <w:rPr>
          <w:lang w:val="ru-RU"/>
        </w:rPr>
        <w:t xml:space="preserve"> на всех этапах производства и сбыта золота, </w:t>
      </w:r>
    </w:p>
    <w:p w14:paraId="1D8FD804" w14:textId="07E30D01"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признавая</w:t>
      </w:r>
      <w:r>
        <w:rPr>
          <w:lang w:val="ru-RU"/>
        </w:rPr>
        <w:t xml:space="preserve"> важность обеспечения справедливого перехода для общин, особенно находящихся в уязвимом положении, при отказе от использования ртути в кустарной и мелкомасштабной золотодобыче,</w:t>
      </w:r>
    </w:p>
    <w:p w14:paraId="325ECCDF" w14:textId="43608D80"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призывает</w:t>
      </w:r>
      <w:r>
        <w:rPr>
          <w:lang w:val="ru-RU"/>
        </w:rPr>
        <w:t xml:space="preserve"> Стороны, чьи национальные планы действий в отношении кустарной и мелкомасштабной золотодобычи должны быть представлены в соответствии с пунктом 3 b) статьи 7, как можно скорее направить итоговые планы в секретариат; </w:t>
      </w:r>
    </w:p>
    <w:p w14:paraId="79E6626C" w14:textId="72D4DBF3"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принимает</w:t>
      </w:r>
      <w:r>
        <w:rPr>
          <w:lang w:val="ru-RU"/>
        </w:rPr>
        <w:t xml:space="preserve"> исправленные разделы, касающиеся обзора хода выполнения статьи 7</w:t>
      </w:r>
      <w:r w:rsidR="00840F13" w:rsidRPr="00631C1C">
        <w:rPr>
          <w:rStyle w:val="FootnoteReference"/>
          <w:rFonts w:cstheme="majorBidi"/>
          <w:lang w:val="ru-RU"/>
        </w:rPr>
        <w:footnoteReference w:id="17"/>
      </w:r>
      <w:r>
        <w:rPr>
          <w:lang w:val="ru-RU"/>
        </w:rPr>
        <w:t xml:space="preserve"> для включения в Руководство по подготовке национального плана действий по сокращению и, где это возможно, прекращению применения ртути в кустарной и мелкомасштабной золотодобыче;</w:t>
      </w:r>
    </w:p>
    <w:p w14:paraId="165ABA27" w14:textId="775C57C1"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lang w:val="ru-RU"/>
        </w:rPr>
      </w:pPr>
      <w:r w:rsidRPr="000135ED">
        <w:rPr>
          <w:i/>
          <w:iCs/>
          <w:lang w:val="ru-RU"/>
        </w:rPr>
        <w:t>поручает</w:t>
      </w:r>
      <w:r>
        <w:rPr>
          <w:lang w:val="ru-RU"/>
        </w:rPr>
        <w:t xml:space="preserve"> секретариату включить принятые поправки в Руководство и сотрудничать с Глобальным партнерством по ртути по вопросу распространения исправленного Руководства, в том числе</w:t>
      </w:r>
      <w:r w:rsidR="00A5574A">
        <w:rPr>
          <w:lang w:val="ru-RU"/>
        </w:rPr>
        <w:t>, в надлежащих случаях,</w:t>
      </w:r>
      <w:r>
        <w:rPr>
          <w:lang w:val="ru-RU"/>
        </w:rPr>
        <w:t xml:space="preserve"> на региональном и субрегиональном уровнях;</w:t>
      </w:r>
    </w:p>
    <w:p w14:paraId="31A439D1" w14:textId="761930A2"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призывает</w:t>
      </w:r>
      <w:r>
        <w:rPr>
          <w:lang w:val="ru-RU"/>
        </w:rPr>
        <w:t xml:space="preserve"> все Стороны, представившие свои национальные планы действий, предоставить обзор хода выполнения их обязательств согласно статье 7, и включить этот обзор в их доклады, представляемые в соответствии со статьей 21, и призывает Стороны использовать в этих докладах шаблон для представления сведений из приложения 7 к исправленному Руководству;</w:t>
      </w:r>
    </w:p>
    <w:p w14:paraId="044AE3FE" w14:textId="3F6BA55F"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предлагает</w:t>
      </w:r>
      <w:r>
        <w:rPr>
          <w:lang w:val="ru-RU"/>
        </w:rPr>
        <w:t xml:space="preserve"> Сторонам, направившим уведомления в секретариат в соответствии с пунктом 3 статьи 7, использовать предварительное руководство по эффективному вовлечению коренных народов и местных общин</w:t>
      </w:r>
      <w:r w:rsidRPr="00631C1C">
        <w:rPr>
          <w:rStyle w:val="FootnoteReference"/>
          <w:rFonts w:cstheme="majorBidi"/>
          <w:lang w:val="ru-RU"/>
        </w:rPr>
        <w:footnoteReference w:id="18"/>
      </w:r>
      <w:r>
        <w:rPr>
          <w:lang w:val="ru-RU"/>
        </w:rPr>
        <w:t xml:space="preserve"> в разработку и выполнение их национальных планов </w:t>
      </w:r>
      <w:r>
        <w:rPr>
          <w:lang w:val="ru-RU"/>
        </w:rPr>
        <w:lastRenderedPageBreak/>
        <w:t>действий, а также их обзоры хода выполнения в соответствии с пунктом 3 с) статьи 7, и поручает секретариату запросить отзывы об использовании предварительного руководства;</w:t>
      </w:r>
    </w:p>
    <w:p w14:paraId="48192B50" w14:textId="1FB4045B"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поручает</w:t>
      </w:r>
      <w:r>
        <w:rPr>
          <w:lang w:val="ru-RU"/>
        </w:rPr>
        <w:t xml:space="preserve"> секретариату в сотрудничестве с Глобальным партнерством по ртути и на основе информации из представленных национальных планов действий и обзоров хода выполнения статьи 7 провести анализ и представить Конференции Сторон доклад по следующим вопросам:</w:t>
      </w:r>
    </w:p>
    <w:p w14:paraId="089F8411" w14:textId="77777777" w:rsidR="00312042" w:rsidRPr="00DA0337" w:rsidRDefault="00312042" w:rsidP="00546B6B">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принятые меры по выполнению национальных планов действий; </w:t>
      </w:r>
    </w:p>
    <w:p w14:paraId="6A9A3825" w14:textId="26C138EA" w:rsidR="00312042" w:rsidRPr="00DA0337" w:rsidRDefault="00312042" w:rsidP="00546B6B">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выявленные успешные стратегии и мероприятия, достижения в области осуществления, а также проблемы и препятствия, возникшие в процессе сокращения и прекращения использования, выбросов и высвобождений ртути при кустарной и мелкомасштабной золотодобыче, включая информацию о формализации или регламентировании кустарной и мелкомасштабной золотодобычи, а также о регулировании торговли и предотвращении перенаправления ртути для использования в кустарной и мелкомасштабной золотодобыче;</w:t>
      </w:r>
    </w:p>
    <w:p w14:paraId="3968D795" w14:textId="5DB1283F"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624E38">
        <w:rPr>
          <w:i/>
          <w:iCs/>
          <w:lang w:val="ru-RU"/>
        </w:rPr>
        <w:t>призывает</w:t>
      </w:r>
      <w:r>
        <w:rPr>
          <w:lang w:val="ru-RU"/>
        </w:rPr>
        <w:t xml:space="preserve"> Стороны принять или усилить экологически устойчивое регулирование производства и сбыта золота и меры по выявлению покупателей и посредников и повышению их ответственности на всех этапах жизненного цикла производства и сбыта с целью пресечения использования ртути и незаконной торговли золотом;</w:t>
      </w:r>
    </w:p>
    <w:p w14:paraId="06233770" w14:textId="7061DE69" w:rsidR="00312042" w:rsidRPr="00DA0337" w:rsidRDefault="00026B4E"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624E38">
        <w:rPr>
          <w:i/>
          <w:iCs/>
          <w:lang w:val="ru-RU"/>
        </w:rPr>
        <w:t>также призывает</w:t>
      </w:r>
      <w:r>
        <w:rPr>
          <w:lang w:val="ru-RU"/>
        </w:rPr>
        <w:t xml:space="preserve"> Стороны рассмотреть возможность разработки или совершенствования методов работы с открытыми данными на всех этапах производства и сбыта золота, обеспечения общедоступности соответствующей информации, включая проверку происхождения, с целью обеспечения транспарентности и подотчетности во всей золотодобывающей отрасли;</w:t>
      </w:r>
    </w:p>
    <w:p w14:paraId="10128208" w14:textId="19ACF5F3"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624E38">
        <w:rPr>
          <w:i/>
          <w:iCs/>
          <w:lang w:val="ru-RU"/>
        </w:rPr>
        <w:t>поручает</w:t>
      </w:r>
      <w:r>
        <w:rPr>
          <w:lang w:val="ru-RU"/>
        </w:rPr>
        <w:t xml:space="preserve"> секретариату</w:t>
      </w:r>
      <w:r w:rsidR="007D4855">
        <w:rPr>
          <w:lang w:val="ru-RU"/>
        </w:rPr>
        <w:t>,</w:t>
      </w:r>
      <w:r>
        <w:rPr>
          <w:lang w:val="ru-RU"/>
        </w:rPr>
        <w:t xml:space="preserve"> при наличии ресурсов</w:t>
      </w:r>
      <w:r w:rsidR="007D4855">
        <w:rPr>
          <w:lang w:val="ru-RU"/>
        </w:rPr>
        <w:t>,</w:t>
      </w:r>
      <w:r>
        <w:rPr>
          <w:lang w:val="ru-RU"/>
        </w:rPr>
        <w:t xml:space="preserve"> в координации с соответствующими международными инициативами </w:t>
      </w:r>
      <w:r w:rsidR="003722F0">
        <w:rPr>
          <w:lang w:val="ru-RU"/>
        </w:rPr>
        <w:t xml:space="preserve">подготовить свод </w:t>
      </w:r>
      <w:r w:rsidR="005377C3">
        <w:rPr>
          <w:lang w:val="ru-RU"/>
        </w:rPr>
        <w:t>сопоставленных</w:t>
      </w:r>
      <w:r w:rsidR="00277D44">
        <w:rPr>
          <w:lang w:val="ru-RU"/>
        </w:rPr>
        <w:t xml:space="preserve"> знаний </w:t>
      </w:r>
      <w:r w:rsidR="005B0660">
        <w:rPr>
          <w:lang w:val="ru-RU"/>
        </w:rPr>
        <w:t>по</w:t>
      </w:r>
      <w:r>
        <w:rPr>
          <w:lang w:val="ru-RU"/>
        </w:rPr>
        <w:t xml:space="preserve"> вопроса</w:t>
      </w:r>
      <w:r w:rsidR="005B0660">
        <w:rPr>
          <w:lang w:val="ru-RU"/>
        </w:rPr>
        <w:t>м</w:t>
      </w:r>
      <w:r>
        <w:rPr>
          <w:lang w:val="ru-RU"/>
        </w:rPr>
        <w:t xml:space="preserve"> транспарентности и сертификации производства и сбыта и </w:t>
      </w:r>
      <w:r w:rsidR="00FA2674">
        <w:rPr>
          <w:lang w:val="ru-RU"/>
        </w:rPr>
        <w:t xml:space="preserve">о </w:t>
      </w:r>
      <w:r w:rsidR="00B54BFF">
        <w:rPr>
          <w:lang w:val="ru-RU"/>
        </w:rPr>
        <w:t>том, как</w:t>
      </w:r>
      <w:r>
        <w:rPr>
          <w:lang w:val="ru-RU"/>
        </w:rPr>
        <w:t xml:space="preserve"> такие методы могут влиять на использование ртути в золотодобыче, включая кустарную и мелкомасштабную золотодобычу, и могут повысить подотчетность покупателей и посредников, и представить свои выводы Конференции Сторон на ее седьмом совещании; </w:t>
      </w:r>
    </w:p>
    <w:p w14:paraId="3113252E" w14:textId="58E4DA01"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bookmarkStart w:id="27" w:name="_Hlk217039969"/>
      <w:bookmarkStart w:id="28" w:name="_Hlk219453229"/>
      <w:r w:rsidRPr="00624E38">
        <w:rPr>
          <w:i/>
          <w:iCs/>
          <w:lang w:val="ru-RU"/>
        </w:rPr>
        <w:t>напоминает</w:t>
      </w:r>
      <w:r>
        <w:rPr>
          <w:lang w:val="ru-RU"/>
        </w:rPr>
        <w:t xml:space="preserve"> о решении МК-5/7, в котором она призвала все Стороны, уведомившие секретариат в соответствии с пунктом 3 статьи 7, и Глобальный экологический фонд продолжать содействовать осуществлению национальных планов действий посредством проектов и программ;</w:t>
      </w:r>
    </w:p>
    <w:p w14:paraId="468618FF" w14:textId="464872E7" w:rsidR="00312042" w:rsidRPr="00DA0337" w:rsidRDefault="00230037"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624E38">
        <w:rPr>
          <w:i/>
          <w:iCs/>
          <w:lang w:val="ru-RU"/>
        </w:rPr>
        <w:t>напоминает также</w:t>
      </w:r>
      <w:r>
        <w:rPr>
          <w:lang w:val="ru-RU"/>
        </w:rPr>
        <w:t xml:space="preserve"> о решении МК-5/7, в котором она призвала Стороны работать с коренными народами, а также с местными общинами в отношении кустарной и мелкомасштабной золотодобычи;</w:t>
      </w:r>
      <w:bookmarkEnd w:id="27"/>
    </w:p>
    <w:bookmarkEnd w:id="28"/>
    <w:p w14:paraId="2179CCD3" w14:textId="73213934" w:rsidR="00312042" w:rsidRPr="00DA0337" w:rsidRDefault="00230037"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sectPr w:rsidR="00312042" w:rsidRPr="00DA0337" w:rsidSect="00E84D8D">
          <w:footnotePr>
            <w:numRestart w:val="eachSect"/>
          </w:footnotePr>
          <w:type w:val="continuous"/>
          <w:pgSz w:w="11906" w:h="16838" w:code="9"/>
          <w:pgMar w:top="907" w:right="992" w:bottom="1418" w:left="1418" w:header="539" w:footer="975" w:gutter="0"/>
          <w:cols w:space="539"/>
          <w:docGrid w:linePitch="360"/>
        </w:sectPr>
      </w:pPr>
      <w:r w:rsidRPr="00624E38">
        <w:rPr>
          <w:i/>
          <w:iCs/>
          <w:lang w:val="ru-RU"/>
        </w:rPr>
        <w:t>поручает</w:t>
      </w:r>
      <w:r>
        <w:rPr>
          <w:lang w:val="ru-RU"/>
        </w:rPr>
        <w:t xml:space="preserve"> секретариату представить Конференции Сторон на ее седьмом совещании доклад о выполнении настоящего решения.</w:t>
      </w:r>
    </w:p>
    <w:p w14:paraId="58B37A7D" w14:textId="77777777" w:rsidR="00312042" w:rsidRPr="00DA0337" w:rsidRDefault="00312042" w:rsidP="00546B6B">
      <w:pPr>
        <w:tabs>
          <w:tab w:val="clear" w:pos="1247"/>
          <w:tab w:val="clear" w:pos="1814"/>
          <w:tab w:val="clear" w:pos="2381"/>
          <w:tab w:val="clear" w:pos="2948"/>
          <w:tab w:val="clear" w:pos="3515"/>
        </w:tabs>
        <w:spacing w:after="160" w:line="278" w:lineRule="auto"/>
        <w:rPr>
          <w:rFonts w:asciiTheme="majorBidi" w:hAnsiTheme="majorBidi" w:cstheme="majorBidi"/>
          <w:lang w:val="ru-RU"/>
        </w:rPr>
      </w:pPr>
      <w:r w:rsidRPr="00DA0337">
        <w:rPr>
          <w:rFonts w:asciiTheme="majorBidi" w:hAnsiTheme="majorBidi" w:cstheme="majorBidi"/>
          <w:lang w:val="ru-RU"/>
        </w:rPr>
        <w:br w:type="page"/>
      </w:r>
    </w:p>
    <w:p w14:paraId="786F0451" w14:textId="70C5CC2E" w:rsidR="00312042" w:rsidRPr="00D20C0A" w:rsidRDefault="00312042" w:rsidP="00624E38">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Fonts w:asciiTheme="majorBidi" w:hAnsiTheme="majorBidi" w:cstheme="majorBidi"/>
          <w:lang w:val="ru-RU"/>
        </w:rPr>
      </w:pPr>
      <w:bookmarkStart w:id="29" w:name="_Toc213853066"/>
      <w:bookmarkStart w:id="30" w:name="_Toc222992810"/>
      <w:r>
        <w:rPr>
          <w:bCs/>
          <w:lang w:val="ru-RU"/>
        </w:rPr>
        <w:lastRenderedPageBreak/>
        <w:t>Решение МК-6/9. Продвижение работы в области ртутных отходов</w:t>
      </w:r>
      <w:bookmarkEnd w:id="29"/>
      <w:bookmarkEnd w:id="30"/>
    </w:p>
    <w:p w14:paraId="5605A1BE"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i/>
          <w:iCs/>
          <w:lang w:val="ru-RU"/>
        </w:rPr>
      </w:pPr>
      <w:r>
        <w:rPr>
          <w:i/>
          <w:iCs/>
          <w:lang w:val="ru-RU"/>
        </w:rPr>
        <w:t>Конференция Сторон,</w:t>
      </w:r>
    </w:p>
    <w:p w14:paraId="311ADBDA" w14:textId="3113F442"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lang w:val="ru-RU"/>
        </w:rPr>
      </w:pPr>
      <w:r w:rsidRPr="00624E38">
        <w:rPr>
          <w:i/>
          <w:iCs/>
          <w:lang w:val="ru-RU"/>
        </w:rPr>
        <w:t>напоминая</w:t>
      </w:r>
      <w:r>
        <w:rPr>
          <w:lang w:val="ru-RU"/>
        </w:rPr>
        <w:t>, что в решениях МК-3/5, МК-4/6 и МК-5/10 Конференция Сторон Минаматской конвенции о ртути приняла решение о пороговых значениях для различных категорий ртутных отходов в соответствии со статьей 11 Конвенции,</w:t>
      </w:r>
    </w:p>
    <w:p w14:paraId="6E710E43" w14:textId="5C9C7082"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kern w:val="2"/>
          <w:lang w:val="ru-RU"/>
          <w14:ligatures w14:val="standardContextual"/>
        </w:rPr>
      </w:pPr>
      <w:r w:rsidRPr="00624E38">
        <w:rPr>
          <w:i/>
          <w:iCs/>
          <w:lang w:val="ru-RU"/>
        </w:rPr>
        <w:t>с признательностью приветствуя</w:t>
      </w:r>
      <w:r>
        <w:rPr>
          <w:lang w:val="ru-RU"/>
        </w:rPr>
        <w:t xml:space="preserve"> решение БК-17/14 Конференции Сторон Базельской конвенции о контроле за трансграничной перевозкой опасных отходов и их удалением, согласно которому программа работы Комитета по управлению механизмом содействия осуществлению и соблюдению на двухгодичный период 2026–2027 годов включает рассмотрение информации, представленной в национальных докладах о незаконном обороте ртутных отходов, в ответ на предложение, содержащееся в пункте 12 решения МК-5/10 Конференции Сторон Минаматской конвенции,</w:t>
      </w:r>
    </w:p>
    <w:p w14:paraId="023D18E7" w14:textId="7895055D"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kern w:val="2"/>
          <w:lang w:val="ru-RU"/>
          <w14:ligatures w14:val="standardContextual"/>
        </w:rPr>
      </w:pPr>
      <w:r w:rsidRPr="00624E38">
        <w:rPr>
          <w:i/>
          <w:iCs/>
          <w:lang w:val="ru-RU"/>
        </w:rPr>
        <w:t>приветствуя</w:t>
      </w:r>
      <w:r>
        <w:rPr>
          <w:lang w:val="ru-RU"/>
        </w:rPr>
        <w:t xml:space="preserve"> решение БК-17/7 Конференции Сторон Базельской конвенции, в котором Конференция Сторон постановила обновить технические руководящие принципы экологически обоснованного регулирования отходов, состоящих из ртути или соединений ртути, содержащих их или загрязненных ими, с тем чтобы отразить корректировки, обусловленные установлением порогового значения для ртутных отходов, на которые распространяется действие пункта 2 с) статьи 11 Минаматской конвенции о ртути, в соответствии с решением МК-5/10,</w:t>
      </w:r>
    </w:p>
    <w:p w14:paraId="7CF1136E" w14:textId="5BF4113E" w:rsidR="00312042" w:rsidRPr="00631C1C"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kern w:val="2"/>
          <w14:ligatures w14:val="standardContextual"/>
        </w:rPr>
      </w:pPr>
      <w:r w:rsidRPr="00624E38">
        <w:rPr>
          <w:i/>
          <w:iCs/>
          <w:lang w:val="ru-RU"/>
        </w:rPr>
        <w:t>признавая</w:t>
      </w:r>
      <w:r>
        <w:rPr>
          <w:lang w:val="ru-RU"/>
        </w:rPr>
        <w:t>, что экологически безопасное регулирование отходов ртути остается особенно сложной задачей для развивающихся стран, и принимая во внимание статью 14,</w:t>
      </w:r>
    </w:p>
    <w:p w14:paraId="47836809" w14:textId="16D200AE" w:rsidR="00312042" w:rsidRPr="00D20C0A" w:rsidRDefault="00312042" w:rsidP="00546B6B">
      <w:pPr>
        <w:pStyle w:val="ListParagraph"/>
        <w:numPr>
          <w:ilvl w:val="0"/>
          <w:numId w:val="50"/>
        </w:numPr>
        <w:tabs>
          <w:tab w:val="clear" w:pos="1247"/>
          <w:tab w:val="clear" w:pos="1814"/>
          <w:tab w:val="clear" w:pos="2381"/>
          <w:tab w:val="clear" w:pos="2948"/>
          <w:tab w:val="clear" w:pos="3515"/>
        </w:tabs>
        <w:spacing w:after="120"/>
        <w:ind w:left="1247" w:firstLine="624"/>
        <w:contextualSpacing w:val="0"/>
        <w:rPr>
          <w:rFonts w:asciiTheme="majorBidi" w:eastAsia="MS Mincho" w:hAnsiTheme="majorBidi" w:cstheme="majorBidi"/>
          <w:lang w:val="ru-RU"/>
        </w:rPr>
      </w:pPr>
      <w:r w:rsidRPr="00624E38">
        <w:rPr>
          <w:i/>
          <w:iCs/>
          <w:lang w:val="ru-RU"/>
        </w:rPr>
        <w:t>предлагает</w:t>
      </w:r>
      <w:r>
        <w:rPr>
          <w:lang w:val="ru-RU"/>
        </w:rPr>
        <w:t xml:space="preserve"> Сторонам и соответствующим заинтересованным субъектам представить</w:t>
      </w:r>
      <w:r w:rsidR="00181924">
        <w:rPr>
          <w:lang w:val="ru-RU"/>
        </w:rPr>
        <w:t>, в надлежащих случаях,</w:t>
      </w:r>
      <w:r>
        <w:rPr>
          <w:lang w:val="ru-RU"/>
        </w:rPr>
        <w:t xml:space="preserve"> в секретариат не позднее чем за шесть месяцев до седьмого совещания Конференции Сторон любые предлагаемые обновления перечней, содержащихся в таблицах 1, 2 и 3 приложения к решению МК-3/5, с тем чтобы секретариат подготовил их свод</w:t>
      </w:r>
      <w:r w:rsidR="00987EA0">
        <w:rPr>
          <w:lang w:val="ru-RU"/>
        </w:rPr>
        <w:t>,</w:t>
      </w:r>
      <w:r>
        <w:rPr>
          <w:lang w:val="ru-RU"/>
        </w:rPr>
        <w:t xml:space="preserve"> при наличи</w:t>
      </w:r>
      <w:r w:rsidR="00BB20FE">
        <w:rPr>
          <w:lang w:val="ru-RU"/>
        </w:rPr>
        <w:t>и</w:t>
      </w:r>
      <w:r>
        <w:rPr>
          <w:lang w:val="ru-RU"/>
        </w:rPr>
        <w:t xml:space="preserve"> ресурсов</w:t>
      </w:r>
      <w:r w:rsidR="00BB20FE">
        <w:rPr>
          <w:lang w:val="ru-RU"/>
        </w:rPr>
        <w:t>,</w:t>
      </w:r>
      <w:r>
        <w:rPr>
          <w:lang w:val="ru-RU"/>
        </w:rPr>
        <w:t xml:space="preserve"> для рассмотрения Конференцией Сторон на ее седьмом совещании;</w:t>
      </w:r>
    </w:p>
    <w:p w14:paraId="173B029B" w14:textId="50445FC8" w:rsidR="00312042" w:rsidRPr="00DA0337" w:rsidRDefault="00312042" w:rsidP="00546B6B">
      <w:pPr>
        <w:pStyle w:val="ListParagraph"/>
        <w:numPr>
          <w:ilvl w:val="0"/>
          <w:numId w:val="50"/>
        </w:numPr>
        <w:tabs>
          <w:tab w:val="clear" w:pos="1247"/>
          <w:tab w:val="clear" w:pos="1814"/>
          <w:tab w:val="clear" w:pos="2381"/>
          <w:tab w:val="clear" w:pos="2948"/>
          <w:tab w:val="clear" w:pos="3515"/>
        </w:tabs>
        <w:spacing w:after="120"/>
        <w:ind w:left="1247" w:firstLine="624"/>
        <w:contextualSpacing w:val="0"/>
        <w:rPr>
          <w:rFonts w:asciiTheme="majorBidi" w:eastAsia="MS Mincho" w:hAnsiTheme="majorBidi" w:cstheme="majorBidi"/>
          <w:kern w:val="2"/>
          <w:lang w:val="ru-RU"/>
          <w14:ligatures w14:val="standardContextual"/>
        </w:rPr>
      </w:pPr>
      <w:r w:rsidRPr="00624E38">
        <w:rPr>
          <w:i/>
          <w:iCs/>
          <w:lang w:val="ru-RU"/>
        </w:rPr>
        <w:t>просит</w:t>
      </w:r>
      <w:r>
        <w:rPr>
          <w:lang w:val="ru-RU"/>
        </w:rPr>
        <w:t xml:space="preserve"> Стороны и поручает секретариату предпринять действия, согласованные в решении МК-5/10, в кратчайшие практически осуществимые сроки или по мере необходимости для содействия осуществлению статьи 11;</w:t>
      </w:r>
    </w:p>
    <w:p w14:paraId="4DDFA5E9" w14:textId="23459D7D" w:rsidR="00312042" w:rsidRPr="00DA0337" w:rsidRDefault="00312042" w:rsidP="00546B6B">
      <w:pPr>
        <w:pStyle w:val="ListParagraph"/>
        <w:numPr>
          <w:ilvl w:val="0"/>
          <w:numId w:val="50"/>
        </w:numPr>
        <w:tabs>
          <w:tab w:val="clear" w:pos="1247"/>
          <w:tab w:val="clear" w:pos="1814"/>
          <w:tab w:val="clear" w:pos="2381"/>
          <w:tab w:val="clear" w:pos="2948"/>
          <w:tab w:val="clear" w:pos="3515"/>
        </w:tabs>
        <w:spacing w:after="120"/>
        <w:ind w:left="1247" w:firstLine="624"/>
        <w:contextualSpacing w:val="0"/>
        <w:rPr>
          <w:rFonts w:asciiTheme="majorBidi" w:eastAsia="MS Mincho" w:hAnsiTheme="majorBidi" w:cstheme="majorBidi"/>
          <w:kern w:val="2"/>
          <w:lang w:val="ru-RU"/>
          <w14:ligatures w14:val="standardContextual"/>
        </w:rPr>
      </w:pPr>
      <w:r w:rsidRPr="00624E38">
        <w:rPr>
          <w:i/>
          <w:iCs/>
          <w:lang w:val="ru-RU"/>
        </w:rPr>
        <w:t>поручает</w:t>
      </w:r>
      <w:r>
        <w:rPr>
          <w:lang w:val="ru-RU"/>
        </w:rPr>
        <w:t xml:space="preserve"> секретариату подготовить свод и краткое изложение представленных Сторонами и соответствующими заинтересованными субъектами любых данных научного и нормативно-правового характера об эффективности порогового значения для отходов, на которые распространяется действие подпункта 2 с) статьи 11, а также о трудностях и опыте, связанных с его применением, для рассмотрения Конференцией Сторон на ее седьмом совещании;</w:t>
      </w:r>
    </w:p>
    <w:p w14:paraId="17ECBEED" w14:textId="6A1B54F8" w:rsidR="00312042" w:rsidRPr="00DA0337" w:rsidRDefault="00312042" w:rsidP="00546B6B">
      <w:pPr>
        <w:pStyle w:val="ListParagraph"/>
        <w:numPr>
          <w:ilvl w:val="0"/>
          <w:numId w:val="50"/>
        </w:numPr>
        <w:tabs>
          <w:tab w:val="clear" w:pos="1247"/>
          <w:tab w:val="clear" w:pos="1814"/>
          <w:tab w:val="clear" w:pos="2381"/>
          <w:tab w:val="clear" w:pos="2948"/>
          <w:tab w:val="clear" w:pos="3515"/>
        </w:tabs>
        <w:spacing w:after="120"/>
        <w:ind w:left="1247" w:firstLine="624"/>
        <w:contextualSpacing w:val="0"/>
        <w:rPr>
          <w:rFonts w:asciiTheme="majorBidi" w:eastAsia="MS Mincho" w:hAnsiTheme="majorBidi" w:cstheme="majorBidi"/>
          <w:kern w:val="2"/>
          <w:lang w:val="ru-RU"/>
          <w14:ligatures w14:val="standardContextual"/>
        </w:rPr>
        <w:sectPr w:rsidR="00312042" w:rsidRPr="00DA0337" w:rsidSect="00E84D8D">
          <w:type w:val="continuous"/>
          <w:pgSz w:w="11906" w:h="16838" w:code="9"/>
          <w:pgMar w:top="907" w:right="992" w:bottom="1418" w:left="1418" w:header="539" w:footer="975" w:gutter="0"/>
          <w:cols w:space="539"/>
          <w:docGrid w:linePitch="360"/>
        </w:sectPr>
      </w:pPr>
      <w:r w:rsidRPr="00624E38">
        <w:rPr>
          <w:i/>
          <w:iCs/>
          <w:lang w:val="ru-RU"/>
        </w:rPr>
        <w:t>поручает также</w:t>
      </w:r>
      <w:r>
        <w:rPr>
          <w:lang w:val="ru-RU"/>
        </w:rPr>
        <w:t xml:space="preserve"> секретариату подготовить свод и краткое изложение любых представленных Сторонами сведений о применении иного подхода, о котором говорится в пункте 2 решения МК-5/10, для рассмотрения Конференцией Сторон на ее седьмом совещании.</w:t>
      </w:r>
    </w:p>
    <w:p w14:paraId="7065576C"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r w:rsidRPr="00DA0337">
        <w:rPr>
          <w:lang w:val="ru-RU"/>
        </w:rPr>
        <w:br w:type="page"/>
      </w:r>
    </w:p>
    <w:p w14:paraId="7AD7B574" w14:textId="2E79ECE3" w:rsidR="00312042" w:rsidRPr="008D1E8F" w:rsidRDefault="008D1E8F" w:rsidP="009807D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31" w:name="_Toc213853067"/>
      <w:r>
        <w:rPr>
          <w:lang w:val="ru-RU"/>
        </w:rPr>
        <w:lastRenderedPageBreak/>
        <w:tab/>
      </w:r>
      <w:bookmarkStart w:id="32" w:name="_Toc222992811"/>
      <w:r w:rsidR="00312042" w:rsidRPr="008D1E8F">
        <w:rPr>
          <w:lang w:val="ru-RU"/>
        </w:rPr>
        <w:t>Решение МК-6/10. Механизм финансирования</w:t>
      </w:r>
      <w:bookmarkEnd w:id="31"/>
      <w:bookmarkEnd w:id="32"/>
    </w:p>
    <w:p w14:paraId="405920A5"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36463D5F" w14:textId="1817EDAA"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подчеркивая</w:t>
      </w:r>
      <w:r>
        <w:rPr>
          <w:lang w:val="ru-RU"/>
        </w:rPr>
        <w:t xml:space="preserve"> центральную роль целевого фонда Глобального экологического фонда и Целевой международной программы для поддержки процессов создания потенциала и оказания технической помощи как структур, составляющих механизм финансирования Минаматской конвенции о ртути,</w:t>
      </w:r>
    </w:p>
    <w:p w14:paraId="3FAD40C6" w14:textId="641A76B8" w:rsidR="00312042" w:rsidRPr="00DA0337" w:rsidRDefault="00D57AEE"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 xml:space="preserve">выражая </w:t>
      </w:r>
      <w:r w:rsidR="00312042" w:rsidRPr="00D57AEE">
        <w:rPr>
          <w:i/>
          <w:iCs/>
          <w:lang w:val="ru-RU"/>
        </w:rPr>
        <w:t>признательность</w:t>
      </w:r>
      <w:r w:rsidR="00312042">
        <w:rPr>
          <w:lang w:val="ru-RU"/>
        </w:rPr>
        <w:t xml:space="preserve"> Совету Глобального экологического фонда за одобрение новой стимулирующей деятельности для обзора осуществления статьи 7 Конвенции, </w:t>
      </w:r>
    </w:p>
    <w:p w14:paraId="749ACEE8" w14:textId="3C30B16E" w:rsidR="00312042" w:rsidRPr="00D20C0A"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принимая к сведению</w:t>
      </w:r>
      <w:r>
        <w:rPr>
          <w:lang w:val="ru-RU"/>
        </w:rPr>
        <w:t xml:space="preserve"> рекомендацию Комитета по осуществлению и соблюдению Конвенции Сторонам, которые полагаются на исходную информацию, полученную в результате первоначальной оценки в рамках Минаматской конвенции, рассмотреть возможность использования более актуальных источников информации,</w:t>
      </w:r>
    </w:p>
    <w:p w14:paraId="72009875" w14:textId="3313A01B"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выражая признательность</w:t>
      </w:r>
      <w:r>
        <w:rPr>
          <w:lang w:val="ru-RU"/>
        </w:rPr>
        <w:t xml:space="preserve"> за ресурсы, щедро предоставленные донорами для Целевой международной программы в рамках четвертого и пятого раундов пополнения, и выражая также признательность за успешный старт четвертого раунда подачи заявок,</w:t>
      </w:r>
    </w:p>
    <w:p w14:paraId="1BE5BC37" w14:textId="147A5B86"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ссылаясь</w:t>
      </w:r>
      <w:r>
        <w:rPr>
          <w:lang w:val="ru-RU"/>
        </w:rPr>
        <w:t xml:space="preserve"> на решение МК-5/1, в котором она отметила важность расширения участия коренных народов, а также местных общин, в реализации проектов и программ, осуществляемых в рамках Конвенции;</w:t>
      </w:r>
    </w:p>
    <w:p w14:paraId="57723942"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с озабоченностью отмечая</w:t>
      </w:r>
      <w:r>
        <w:rPr>
          <w:lang w:val="ru-RU"/>
        </w:rPr>
        <w:t>, что амальгама для зубных пломб представляет собой крупнейший оставшийся вид применения ртути в продуктах с добавлением ртути,</w:t>
      </w:r>
    </w:p>
    <w:p w14:paraId="540B8A6B" w14:textId="53736ED1"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признавая</w:t>
      </w:r>
      <w:r>
        <w:rPr>
          <w:lang w:val="ru-RU"/>
        </w:rPr>
        <w:t>, что после ее первого совещания ею были приняты дополнительные меры в отношении амальгамы для зубных пломб, которые могут потребовать дальнейших действий от Сторон,</w:t>
      </w:r>
    </w:p>
    <w:p w14:paraId="59CA04DC" w14:textId="12F1E8CE"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с удовлетворением отмечает</w:t>
      </w:r>
      <w:r>
        <w:rPr>
          <w:lang w:val="ru-RU"/>
        </w:rPr>
        <w:t xml:space="preserve"> текущий процесс девятого пополнения целевого фонда Глобального экологического фонда и подчеркивает важность девятого пополнения для Сторон Минаматской конвенции о ртути в период 2026–2030 годов в отношении их соответствующих обязательств и сроков, подлежащих соблюдению в рамках Конвенции;</w:t>
      </w:r>
    </w:p>
    <w:p w14:paraId="36294B88" w14:textId="06A2A75E"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bookmarkStart w:id="33" w:name="_Hlk213072851"/>
      <w:r w:rsidRPr="00D57AEE">
        <w:rPr>
          <w:i/>
          <w:iCs/>
          <w:lang w:val="ru-RU"/>
        </w:rPr>
        <w:t>ссылается</w:t>
      </w:r>
      <w:r>
        <w:rPr>
          <w:lang w:val="ru-RU"/>
        </w:rPr>
        <w:t xml:space="preserve"> на решение МК-1/5, в котором она предоставила руководящие указания Глобальному экологическому фонду;</w:t>
      </w:r>
    </w:p>
    <w:bookmarkEnd w:id="33"/>
    <w:p w14:paraId="6943718D" w14:textId="00FB4A4F" w:rsidR="00312042" w:rsidRPr="00D20C0A"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предоставляет</w:t>
      </w:r>
      <w:r>
        <w:rPr>
          <w:lang w:val="ru-RU"/>
        </w:rPr>
        <w:t xml:space="preserve"> дополнительные руководящие указания Глобальному экологическому фонду в качестве дополнения к руководящим указаниям, изложенным в приложении к решению МК-1/5, путем включения обновленных первоначальных оценок в рамках Минаматской конвенции и мониторинга воздействия ртути на человека и концентраций ртути в окружающей среде в перечень мероприятий по осуществлению положений Конвенции, содержащийся в разделе IV.B приложения к решению МК-1/5, и напоминает о важности оказания поддержки для преодоления трудностей, возникающих в связи с обязательствами, касающимися амальгамы для зубных пломб;</w:t>
      </w:r>
    </w:p>
    <w:p w14:paraId="5B68238F" w14:textId="060B17E7"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напоминает</w:t>
      </w:r>
      <w:r>
        <w:rPr>
          <w:lang w:val="ru-RU"/>
        </w:rPr>
        <w:t xml:space="preserve"> о своих руководящих указаниях Глобальному экологическому фонду, содержащихся в решении MК-5/11, учитывать сроки, которых должны придерживаться Стороны для выполнения предусмотренных обязательств, при разработке его программных направлений и распределении ресурсов в рамках девятого периода пополнения, а также при дальнейшей разработке проектов и программ в составе программных направлений восьмого пополнения, в качестве дополнения к руководящим указаниям Конференции Сторон, и поручает секретариату Конвенции передать информацию, изложенную в своде обязательств и сроков, предусмотренных в рамках Конвенции, а также информацию о степени соблюдения таких обязательств и сроков Сторонами</w:t>
      </w:r>
      <w:r w:rsidRPr="00631C1C">
        <w:rPr>
          <w:rStyle w:val="FootnoteReference"/>
          <w:rFonts w:asciiTheme="majorBidi" w:hAnsiTheme="majorBidi" w:cstheme="majorBidi"/>
          <w:lang w:val="ru-RU"/>
        </w:rPr>
        <w:footnoteReference w:id="19"/>
      </w:r>
      <w:r>
        <w:rPr>
          <w:lang w:val="ru-RU"/>
        </w:rPr>
        <w:t xml:space="preserve"> Глобальному экологическому фонду;</w:t>
      </w:r>
    </w:p>
    <w:p w14:paraId="45291006" w14:textId="77777777"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призывает</w:t>
      </w:r>
      <w:r>
        <w:rPr>
          <w:lang w:val="ru-RU"/>
        </w:rPr>
        <w:t xml:space="preserve"> секретариат продолжать сотрудничать с секретариатом Глобального экологического фонда для проведения оценок его проектов;</w:t>
      </w:r>
    </w:p>
    <w:p w14:paraId="53587F4F" w14:textId="0F23D853"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призывает</w:t>
      </w:r>
      <w:r>
        <w:rPr>
          <w:lang w:val="ru-RU"/>
        </w:rPr>
        <w:t xml:space="preserve"> Глобальный экологический фонд при представлении информации о результатах проектов также направлять данные и информацию о сокращении и предотвращении использования ртути, а также об усилиях по обеспечению эффективного </w:t>
      </w:r>
      <w:r>
        <w:rPr>
          <w:lang w:val="ru-RU"/>
        </w:rPr>
        <w:lastRenderedPageBreak/>
        <w:t>привлечения и участия коренных народов, а также местных общин, женщин и молодежи, чтобы добиться более глубокого понимания достигнутых измеримых результатов;</w:t>
      </w:r>
    </w:p>
    <w:p w14:paraId="0518DE55" w14:textId="77777777"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8A1AAF">
        <w:rPr>
          <w:i/>
          <w:iCs/>
          <w:lang w:val="ru-RU"/>
        </w:rPr>
        <w:t>вновь заявляет</w:t>
      </w:r>
      <w:r>
        <w:rPr>
          <w:lang w:val="ru-RU"/>
        </w:rPr>
        <w:t xml:space="preserve"> о важности работы соответствующих Сторон через их функционирующие координационные центры для оперативного и полномерного использования программных направлений и распределения ресурсов в рамках целевого фонда Глобального экологического фонда;</w:t>
      </w:r>
    </w:p>
    <w:p w14:paraId="2616142F" w14:textId="59C16B7D"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8A1AAF">
        <w:rPr>
          <w:i/>
          <w:iCs/>
          <w:lang w:val="ru-RU"/>
        </w:rPr>
        <w:t>принимает к сведению</w:t>
      </w:r>
      <w:r>
        <w:rPr>
          <w:lang w:val="ru-RU"/>
        </w:rPr>
        <w:t xml:space="preserve"> подготовленный секретариатом проект анализа ожидаемых потребностей в финансировании и кадровых ресурсах на оставшийся период первоначального срока действия и на не превышающий семь лет дополнительный период возможного продления Целевой международной программы для поддержки процессов создания потенциала и оказания технической помощи и поручает секретариату работать с Правлением Целевой международной программы для завершения подготовки проекта анализа и подготовки проекта рекомендаций для рассмотрения Конференцией Сторон на ее седьмом совещании;</w:t>
      </w:r>
    </w:p>
    <w:p w14:paraId="3811167B" w14:textId="77777777"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8A1AAF">
        <w:rPr>
          <w:i/>
          <w:iCs/>
          <w:lang w:val="ru-RU"/>
        </w:rPr>
        <w:t>постановляет</w:t>
      </w:r>
      <w:r>
        <w:rPr>
          <w:lang w:val="ru-RU"/>
        </w:rPr>
        <w:t xml:space="preserve"> рассмотреть возможное продление Целевой международной программы на дополнительный период, не превышающий семь лет, на седьмом совещании Конференции Сторон, отмечая, что на этом же совещании планируется провести третий обзор механизма финансирования;</w:t>
      </w:r>
    </w:p>
    <w:p w14:paraId="02984A7F" w14:textId="64DE8DEE"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sectPr w:rsidR="00312042" w:rsidRPr="00DA0337" w:rsidSect="00E84D8D">
          <w:footnotePr>
            <w:numRestart w:val="eachSect"/>
          </w:footnotePr>
          <w:type w:val="continuous"/>
          <w:pgSz w:w="11906" w:h="16838" w:code="9"/>
          <w:pgMar w:top="907" w:right="992" w:bottom="1418" w:left="1418" w:header="539" w:footer="975" w:gutter="0"/>
          <w:cols w:space="539"/>
          <w:docGrid w:linePitch="360"/>
        </w:sectPr>
      </w:pPr>
      <w:r w:rsidRPr="008A1AAF">
        <w:rPr>
          <w:i/>
          <w:iCs/>
          <w:lang w:val="ru-RU"/>
        </w:rPr>
        <w:t>призывает</w:t>
      </w:r>
      <w:r>
        <w:rPr>
          <w:lang w:val="ru-RU"/>
        </w:rPr>
        <w:t xml:space="preserve"> секретариат продолжать координацию с Фондом Глобальной рамочной программы по химическим веществам для Глобальной рамочной программы по химическим веществам «Ради планеты, свободной от вредного воздействия химических веществ и отходов», и со Специальной программой</w:t>
      </w:r>
      <w:r w:rsidRPr="00631C1C">
        <w:rPr>
          <w:rStyle w:val="FootnoteReference"/>
          <w:rFonts w:cstheme="majorBidi"/>
          <w:lang w:val="ru-RU"/>
        </w:rPr>
        <w:footnoteReference w:id="20"/>
      </w:r>
      <w:r>
        <w:rPr>
          <w:lang w:val="ru-RU"/>
        </w:rPr>
        <w:t xml:space="preserve"> в пределах их соответствующих мандатов в целях укрепления взаимодополняемости и во избежание дублирования, как это предусмотрено в резолюции 6/9 Ассамблеи Организации Объединенных Наций по окружающей среде.</w:t>
      </w:r>
      <w:bookmarkStart w:id="34" w:name="_Hlk219453663"/>
      <w:bookmarkEnd w:id="34"/>
    </w:p>
    <w:p w14:paraId="276EAD80" w14:textId="77777777" w:rsidR="00312042" w:rsidRPr="00DA0337" w:rsidRDefault="00312042" w:rsidP="00546B6B">
      <w:pPr>
        <w:tabs>
          <w:tab w:val="clear" w:pos="1247"/>
          <w:tab w:val="clear" w:pos="1814"/>
          <w:tab w:val="clear" w:pos="2381"/>
          <w:tab w:val="clear" w:pos="2948"/>
          <w:tab w:val="clear" w:pos="3515"/>
        </w:tabs>
        <w:spacing w:after="160" w:line="278" w:lineRule="auto"/>
        <w:rPr>
          <w:rFonts w:asciiTheme="majorBidi" w:hAnsiTheme="majorBidi" w:cstheme="majorBidi"/>
          <w:lang w:val="ru-RU"/>
        </w:rPr>
      </w:pPr>
      <w:r w:rsidRPr="00DA0337">
        <w:rPr>
          <w:rFonts w:asciiTheme="majorBidi" w:hAnsiTheme="majorBidi" w:cstheme="majorBidi"/>
          <w:lang w:val="ru-RU"/>
        </w:rPr>
        <w:br w:type="page"/>
      </w:r>
    </w:p>
    <w:p w14:paraId="5C02C64A" w14:textId="2C6DDA03" w:rsidR="00312042" w:rsidRPr="008D1E8F" w:rsidRDefault="008D1E8F" w:rsidP="00CA1023">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35" w:name="_Toc213853068"/>
      <w:r>
        <w:rPr>
          <w:lang w:val="ru-RU"/>
        </w:rPr>
        <w:lastRenderedPageBreak/>
        <w:tab/>
      </w:r>
      <w:bookmarkStart w:id="36" w:name="_Toc222992812"/>
      <w:r w:rsidR="00312042" w:rsidRPr="008D1E8F">
        <w:rPr>
          <w:lang w:val="ru-RU"/>
        </w:rPr>
        <w:t>Решение MК-6/11</w:t>
      </w:r>
      <w:r w:rsidR="007D1BDF" w:rsidRPr="00C237D9">
        <w:rPr>
          <w:lang w:val="ru-RU"/>
        </w:rPr>
        <w:t>.</w:t>
      </w:r>
      <w:r w:rsidR="00312042" w:rsidRPr="008D1E8F">
        <w:rPr>
          <w:lang w:val="ru-RU"/>
        </w:rPr>
        <w:t xml:space="preserve"> Третий обзор механизма финансирования</w:t>
      </w:r>
      <w:bookmarkEnd w:id="35"/>
      <w:bookmarkEnd w:id="36"/>
    </w:p>
    <w:p w14:paraId="717DFDF7"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ru-RU"/>
        </w:rPr>
      </w:pPr>
      <w:r>
        <w:rPr>
          <w:i/>
          <w:iCs/>
          <w:lang w:val="ru-RU"/>
        </w:rPr>
        <w:t>Конференция Сторон,</w:t>
      </w:r>
    </w:p>
    <w:p w14:paraId="0984DAF4"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признавая</w:t>
      </w:r>
      <w:r>
        <w:rPr>
          <w:lang w:val="ru-RU"/>
        </w:rPr>
        <w:t xml:space="preserve"> объемы имеющегося опыта и информации, которые необходимо учитывать и на которые необходимо опираться при проведении третьего обзора механизма финансирования,</w:t>
      </w:r>
    </w:p>
    <w:p w14:paraId="48D07D9C"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принимая во внимание</w:t>
      </w:r>
      <w:r>
        <w:rPr>
          <w:lang w:val="ru-RU"/>
        </w:rPr>
        <w:t xml:space="preserve"> пункт 11 статьи 13 Минаматской конвенции о ртути, касающийся обзора механизма финансирования,</w:t>
      </w:r>
    </w:p>
    <w:p w14:paraId="016FA1A4" w14:textId="316E31A4" w:rsidR="00312042" w:rsidRPr="00DA0337" w:rsidRDefault="00312042" w:rsidP="00546B6B">
      <w:pPr>
        <w:pStyle w:val="Normal-pool"/>
        <w:numPr>
          <w:ilvl w:val="3"/>
          <w:numId w:val="23"/>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принимает</w:t>
      </w:r>
      <w:r>
        <w:rPr>
          <w:lang w:val="ru-RU"/>
        </w:rPr>
        <w:t xml:space="preserve"> Положение о проведении третьего обзора механизма финансирования, изложенное в приложении к настоящему решению;</w:t>
      </w:r>
    </w:p>
    <w:p w14:paraId="3298CD7F" w14:textId="48F7E1B7" w:rsidR="00312042" w:rsidRPr="00DA0337" w:rsidRDefault="00312042" w:rsidP="00546B6B">
      <w:pPr>
        <w:pStyle w:val="Normal-pool"/>
        <w:numPr>
          <w:ilvl w:val="3"/>
          <w:numId w:val="23"/>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предлагает</w:t>
      </w:r>
      <w:r>
        <w:rPr>
          <w:lang w:val="ru-RU"/>
        </w:rPr>
        <w:t xml:space="preserve"> Сторонам, межправительственным организациям, неправительственным организациям и заинтересованным сторонам как можно скорее и не позднее 30 апреля 2026 года представить информацию, соответствующую Положению о проведении обзора и оформленную в соответствии с перечисленными критериями эффективности, об их опыте взаимодействия с механизмом финансирования;</w:t>
      </w:r>
    </w:p>
    <w:p w14:paraId="2B104E77" w14:textId="3F2A65D2" w:rsidR="00312042" w:rsidRPr="00DA0337" w:rsidRDefault="00312042" w:rsidP="00546B6B">
      <w:pPr>
        <w:pStyle w:val="Normal-pool"/>
        <w:numPr>
          <w:ilvl w:val="3"/>
          <w:numId w:val="23"/>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8A1AAF">
        <w:rPr>
          <w:i/>
          <w:iCs/>
          <w:lang w:val="ru-RU"/>
        </w:rPr>
        <w:t>поручает</w:t>
      </w:r>
      <w:r>
        <w:rPr>
          <w:lang w:val="ru-RU"/>
        </w:rPr>
        <w:t xml:space="preserve"> секретариату собрать информацию, относящуюся к третьему обзору механизма финансирования, и представить ее Конференции Сторон для рассмотрения на ее седьмом совещании.</w:t>
      </w:r>
    </w:p>
    <w:p w14:paraId="0D26B593" w14:textId="398A0E1D" w:rsidR="00312042" w:rsidRPr="00546B6B" w:rsidRDefault="00F13801" w:rsidP="008A1AA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37" w:name="_Toc221695745"/>
      <w:bookmarkStart w:id="38" w:name="_Toc222992813"/>
      <w:r>
        <w:rPr>
          <w:bCs/>
          <w:lang w:val="ru-RU"/>
        </w:rPr>
        <w:t>Приложение к решению МК-6/11</w:t>
      </w:r>
      <w:bookmarkEnd w:id="37"/>
      <w:bookmarkEnd w:id="38"/>
    </w:p>
    <w:p w14:paraId="21107ED7" w14:textId="09EE97A3" w:rsidR="00312042" w:rsidRPr="00DA0337" w:rsidRDefault="00312042" w:rsidP="000F3256">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284" w:firstLine="0"/>
        <w:rPr>
          <w:lang w:val="ru-RU"/>
        </w:rPr>
      </w:pPr>
      <w:bookmarkStart w:id="39" w:name="_Toc221695746"/>
      <w:bookmarkStart w:id="40" w:name="_Toc222992814"/>
      <w:r>
        <w:rPr>
          <w:bCs/>
          <w:lang w:val="ru-RU"/>
        </w:rPr>
        <w:t>Положение о проведении третьего обзора механизма финансирования</w:t>
      </w:r>
      <w:bookmarkStart w:id="41" w:name="_Toc216165206"/>
      <w:bookmarkStart w:id="42" w:name="_Toc219712809"/>
      <w:bookmarkEnd w:id="39"/>
      <w:bookmarkEnd w:id="40"/>
      <w:bookmarkEnd w:id="41"/>
      <w:bookmarkEnd w:id="42"/>
    </w:p>
    <w:p w14:paraId="10DEC34E" w14:textId="5E59F287" w:rsidR="00312042" w:rsidRPr="00631C1C" w:rsidRDefault="008A1AAF" w:rsidP="008A1AAF">
      <w:pPr>
        <w:pStyle w:val="CH2"/>
        <w:keepNext w:val="0"/>
        <w:keepLines w:val="0"/>
        <w:tabs>
          <w:tab w:val="clear" w:pos="1247"/>
          <w:tab w:val="clear" w:pos="1871"/>
          <w:tab w:val="clear" w:pos="2495"/>
          <w:tab w:val="clear" w:pos="3119"/>
          <w:tab w:val="clear" w:pos="3742"/>
          <w:tab w:val="clear" w:pos="4366"/>
          <w:tab w:val="clear" w:pos="4990"/>
        </w:tabs>
        <w:spacing w:before="0"/>
      </w:pPr>
      <w:bookmarkStart w:id="43" w:name="_Toc221695747"/>
      <w:r>
        <w:rPr>
          <w:bCs/>
          <w:lang w:val="ru-RU"/>
        </w:rPr>
        <w:tab/>
      </w:r>
      <w:bookmarkStart w:id="44" w:name="_Toc222992815"/>
      <w:r w:rsidR="00312042">
        <w:rPr>
          <w:bCs/>
          <w:lang w:val="ru-RU"/>
        </w:rPr>
        <w:t>A.</w:t>
      </w:r>
      <w:r w:rsidR="00312042">
        <w:rPr>
          <w:lang w:val="ru-RU"/>
        </w:rPr>
        <w:tab/>
      </w:r>
      <w:r w:rsidR="00312042">
        <w:rPr>
          <w:bCs/>
          <w:lang w:val="ru-RU"/>
        </w:rPr>
        <w:t>Цель</w:t>
      </w:r>
      <w:bookmarkEnd w:id="43"/>
      <w:bookmarkEnd w:id="44"/>
    </w:p>
    <w:p w14:paraId="4CF74437" w14:textId="5890EC59" w:rsidR="00312042" w:rsidRPr="00631C1C"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rPr>
      </w:pPr>
      <w:r>
        <w:rPr>
          <w:lang w:val="ru-RU"/>
        </w:rPr>
        <w:t xml:space="preserve">В соответствии с пунктом 11 статьи 13 Минаматской конвенции о ртути Конференция Сторон проводит обзор механизма финансирования, созданного в соответствии со статьей 13 для оказания поддержки Сторонам в осуществлении Конвенции, на предмет принятия, в случае необходимости, соответствующих мер для повышения эффективности механизма финансирования. В соответствии с пунктом 11 статьи 13 обзор включает анализ следующего: </w:t>
      </w:r>
    </w:p>
    <w:p w14:paraId="4500CF01" w14:textId="77777777" w:rsidR="00312042" w:rsidRPr="00631C1C"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rPr>
      </w:pPr>
      <w:r>
        <w:rPr>
          <w:lang w:val="ru-RU"/>
        </w:rPr>
        <w:t xml:space="preserve">уровня финансирования; </w:t>
      </w:r>
    </w:p>
    <w:p w14:paraId="4B12336D" w14:textId="4AC801FA" w:rsidR="00312042" w:rsidRPr="00DA0337"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способности механизма финансирования мобилизовывать ресурсы из всех источников, уровня и типа финансирования, включая различие между целевыми и нецелевыми добровольными взносами;</w:t>
      </w:r>
    </w:p>
    <w:p w14:paraId="144BC32D" w14:textId="77777777" w:rsidR="00312042" w:rsidRPr="00DA0337"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руководящих указаний Конференции Сторон в адрес Глобального экологического фонда и Целевой международной программы для поддержки процессов создания потенциала и оказания технической помощи как органов, которым поручено обеспечивать функционирование механизма финансирования; </w:t>
      </w:r>
    </w:p>
    <w:p w14:paraId="398B6260" w14:textId="77777777" w:rsidR="00312042" w:rsidRPr="00DA0337"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эффективности и действенности Глобального экологического фонда и Целевой международной программы как органов, которым поручено обеспечивать функционирование механизма финансирования; </w:t>
      </w:r>
    </w:p>
    <w:p w14:paraId="3349CC3A" w14:textId="0414ED5E" w:rsidR="00312042" w:rsidRPr="00DA0337" w:rsidRDefault="00312042" w:rsidP="00546B6B">
      <w:pPr>
        <w:pStyle w:val="Normalnumber"/>
        <w:numPr>
          <w:ilvl w:val="0"/>
          <w:numId w:val="53"/>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способности этих двух структур в составе механизма финансирования удовлетворять меняющиеся потребности Сторон, являющихся развивающимися странами и странами с переходной экономикой. </w:t>
      </w:r>
    </w:p>
    <w:p w14:paraId="312C8E42" w14:textId="136829A2" w:rsidR="00312042" w:rsidRPr="00631C1C" w:rsidRDefault="008A1AAF" w:rsidP="008A1AAF">
      <w:pPr>
        <w:pStyle w:val="CH2"/>
        <w:keepNext w:val="0"/>
        <w:keepLines w:val="0"/>
        <w:tabs>
          <w:tab w:val="clear" w:pos="1247"/>
          <w:tab w:val="clear" w:pos="1871"/>
          <w:tab w:val="clear" w:pos="2495"/>
          <w:tab w:val="clear" w:pos="3119"/>
          <w:tab w:val="clear" w:pos="3742"/>
          <w:tab w:val="clear" w:pos="4366"/>
          <w:tab w:val="clear" w:pos="4990"/>
        </w:tabs>
        <w:spacing w:before="0"/>
        <w:rPr>
          <w:bCs/>
        </w:rPr>
      </w:pPr>
      <w:bookmarkStart w:id="45" w:name="_Toc221695748"/>
      <w:r>
        <w:rPr>
          <w:bCs/>
          <w:lang w:val="ru-RU"/>
        </w:rPr>
        <w:tab/>
      </w:r>
      <w:bookmarkStart w:id="46" w:name="_Toc222992816"/>
      <w:r w:rsidR="00312042">
        <w:rPr>
          <w:bCs/>
          <w:lang w:val="ru-RU"/>
        </w:rPr>
        <w:t>B.</w:t>
      </w:r>
      <w:r w:rsidR="00312042">
        <w:rPr>
          <w:lang w:val="ru-RU"/>
        </w:rPr>
        <w:tab/>
      </w:r>
      <w:r w:rsidR="00312042">
        <w:rPr>
          <w:bCs/>
          <w:lang w:val="ru-RU"/>
        </w:rPr>
        <w:t>Методология</w:t>
      </w:r>
      <w:bookmarkEnd w:id="45"/>
      <w:bookmarkEnd w:id="46"/>
    </w:p>
    <w:p w14:paraId="155A54DE" w14:textId="77777777"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Третий обзор будет охватывать деятельность механизма финансирования в период с августа 2022 года (сразу после завершения периода, рассматривавшегося в ходе второго обзора) по июнь 2026 года, когда завершится восьмое пополнение целевого фонда Глобального экологического фонда, включая третий и четвертый раунды подачи заявок на участие в Целевой международной программе, с акцентом на мероприятия, завершенные в этот период.</w:t>
      </w:r>
    </w:p>
    <w:p w14:paraId="457688C9" w14:textId="77777777"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 xml:space="preserve">В обзоре будут использованы, в частности, следующие источники информации: </w:t>
      </w:r>
    </w:p>
    <w:p w14:paraId="6F6A7370" w14:textId="31E2D716"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представленная Сторонами информация об их опыте взаимодействия с механизмом финансирования, организованная в соответствии с критериями эффективности, изложенными в разделе D настоящего Положения; </w:t>
      </w:r>
    </w:p>
    <w:p w14:paraId="61DB8985" w14:textId="77777777"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доклады, представленные Конференции Сторон структурами, которым поручено обеспечить функционирование механизма финансирования; </w:t>
      </w:r>
    </w:p>
    <w:p w14:paraId="3E379AA5" w14:textId="614CE956"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lastRenderedPageBreak/>
        <w:t xml:space="preserve">другие доклады, представленные структурами, которым поручено обеспечить функционирование механизма финансирования, включая, в частности, доклады Управления независимой оценки Глобального экологического фонда, итоговые доклады об обзоре и оценке завершенных проектов в рамках Целевой международной программы и доклады о текущих и завершенных проектах в рамках Целевой международной программы; </w:t>
      </w:r>
    </w:p>
    <w:p w14:paraId="763471EC" w14:textId="0D57636D" w:rsidR="00312042" w:rsidRPr="00631C1C"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rPr>
      </w:pPr>
      <w:r>
        <w:rPr>
          <w:lang w:val="ru-RU"/>
        </w:rPr>
        <w:t>соответствующие доклады и информация, представленные межправительственными и неправительственными организациями, заинтересованными сторонами, другими структурами, занимающимися оказанием финансовой и технической помощи на многосторонней, региональной и двусторонней основах, в соответствии с пунктами</w:t>
      </w:r>
      <w:r w:rsidR="009E0165">
        <w:rPr>
          <w:lang w:val="ru-RU"/>
        </w:rPr>
        <w:t> </w:t>
      </w:r>
      <w:r>
        <w:rPr>
          <w:lang w:val="ru-RU"/>
        </w:rPr>
        <w:t>1 и 3 статьи 13; Специальной программой для оказания поддержки деятельности по укреплению институционального потенциала на национальном уровне в интересах осуществления Базельской, Роттердамской и Стокгольмской конвенций, Минаматской конвенции о ртути, Стратегического подхода к международному регулированию химических веществ и Глобальной рамочной программой по химическим веществам «Ради планеты, свободной от вредного воздействия химических веществ и отходов» (в отношении взаимодополняемости и предупреждения дублирования); Фондом Глобальной рамочной программы по химическим веществам; и Глобальным партнерством по ртути (в связи с его взаимодействием с механизмом финансирования с целью содействия осуществлению Минаматской конвенции о ртути);</w:t>
      </w:r>
    </w:p>
    <w:p w14:paraId="55035D99" w14:textId="77777777"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доклад о среднесрочной оценке Целевой международной программы;</w:t>
      </w:r>
    </w:p>
    <w:p w14:paraId="7D2AA1F3" w14:textId="4AFC247F" w:rsidR="00312042" w:rsidRPr="00DA0337" w:rsidRDefault="00312042" w:rsidP="00546B6B">
      <w:pPr>
        <w:pStyle w:val="Normalnumber"/>
        <w:numPr>
          <w:ilvl w:val="0"/>
          <w:numId w:val="54"/>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доклады, представляемые Сторонами во исполнение положений статьи 21.</w:t>
      </w:r>
    </w:p>
    <w:p w14:paraId="6793F2A4" w14:textId="33D26296"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В соответствии с Положением секретариатом</w:t>
      </w:r>
      <w:r w:rsidR="00D87287">
        <w:rPr>
          <w:lang w:val="ru-RU"/>
        </w:rPr>
        <w:t>,</w:t>
      </w:r>
      <w:r>
        <w:rPr>
          <w:lang w:val="ru-RU"/>
        </w:rPr>
        <w:t xml:space="preserve"> при наличи</w:t>
      </w:r>
      <w:r w:rsidR="00D87287">
        <w:rPr>
          <w:lang w:val="ru-RU"/>
        </w:rPr>
        <w:t>и</w:t>
      </w:r>
      <w:r>
        <w:rPr>
          <w:lang w:val="ru-RU"/>
        </w:rPr>
        <w:t xml:space="preserve"> ресурсов: </w:t>
      </w:r>
    </w:p>
    <w:p w14:paraId="31D07816" w14:textId="77777777" w:rsidR="00312042" w:rsidRPr="00DA0337" w:rsidRDefault="00312042" w:rsidP="00546B6B">
      <w:pPr>
        <w:pStyle w:val="Normalnumber"/>
        <w:numPr>
          <w:ilvl w:val="0"/>
          <w:numId w:val="55"/>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принимаются надлежащие организационные меры для того, чтобы проведение третьего обзора механизма финансирования носило независимый, транспарентный, эффективный и действенный характер; </w:t>
      </w:r>
    </w:p>
    <w:p w14:paraId="259BBD29" w14:textId="77777777" w:rsidR="00312042" w:rsidRPr="00DA0337" w:rsidRDefault="00312042" w:rsidP="00546B6B">
      <w:pPr>
        <w:pStyle w:val="Normalnumber"/>
        <w:numPr>
          <w:ilvl w:val="0"/>
          <w:numId w:val="55"/>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нанимается консультант для подготовки проекта доклада о представленной информации; </w:t>
      </w:r>
    </w:p>
    <w:p w14:paraId="62B48736" w14:textId="7600A005" w:rsidR="00312042" w:rsidRPr="00DA0337" w:rsidRDefault="00312042" w:rsidP="00546B6B">
      <w:pPr>
        <w:pStyle w:val="Normalnumber"/>
        <w:numPr>
          <w:ilvl w:val="0"/>
          <w:numId w:val="55"/>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представляется проект доклада по итогам обзора Конференции Сторон для рассмотрения на ее седьмом совещании. </w:t>
      </w:r>
    </w:p>
    <w:p w14:paraId="42B42119" w14:textId="1107D59B"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Структурам, которым поручено обеспечить функционирование механизма финансирования, предлагается своевременно представить информацию, относящуюся к этому обзору.</w:t>
      </w:r>
    </w:p>
    <w:p w14:paraId="136686F0" w14:textId="749A6376"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 xml:space="preserve">Сторонам предлагается представить информацию во исполнение пункта 3 а) выше как можно скорее и не позднее 30 апреля 2026 года. </w:t>
      </w:r>
    </w:p>
    <w:p w14:paraId="5F536A45" w14:textId="61E6A2FF" w:rsidR="00312042" w:rsidRPr="00D20C0A"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Межправительственным и неправительственным организациям, заинтересованным сторонам, Целевой программе, Фонду Глобальной рамочной программы по химическим веществам, Глобальному партнерству по ртути и соответствующим структурам, оказывающим многостороннюю, региональную и двустороннюю финансовую и техническую помощь, предлагается представить информацию в соответствии с задачами настоящего обзора как можно скорее и не позднее 30 апреля 2026 года.</w:t>
      </w:r>
    </w:p>
    <w:p w14:paraId="1E20C50A" w14:textId="55B7EC05" w:rsidR="00312042" w:rsidRPr="00631C1C" w:rsidRDefault="008A1AAF" w:rsidP="008A1AAF">
      <w:pPr>
        <w:pStyle w:val="CH2"/>
        <w:keepNext w:val="0"/>
        <w:keepLines w:val="0"/>
        <w:tabs>
          <w:tab w:val="clear" w:pos="1247"/>
          <w:tab w:val="clear" w:pos="1871"/>
          <w:tab w:val="clear" w:pos="2495"/>
          <w:tab w:val="clear" w:pos="3119"/>
          <w:tab w:val="clear" w:pos="3742"/>
          <w:tab w:val="clear" w:pos="4366"/>
          <w:tab w:val="clear" w:pos="4990"/>
        </w:tabs>
        <w:spacing w:before="0"/>
      </w:pPr>
      <w:bookmarkStart w:id="47" w:name="_Toc221695749"/>
      <w:r>
        <w:rPr>
          <w:bCs/>
          <w:lang w:val="ru-RU"/>
        </w:rPr>
        <w:tab/>
      </w:r>
      <w:bookmarkStart w:id="48" w:name="_Toc222992817"/>
      <w:r w:rsidR="00312042">
        <w:rPr>
          <w:bCs/>
          <w:lang w:val="ru-RU"/>
        </w:rPr>
        <w:t>C.</w:t>
      </w:r>
      <w:r w:rsidR="00312042">
        <w:rPr>
          <w:lang w:val="ru-RU"/>
        </w:rPr>
        <w:tab/>
      </w:r>
      <w:r w:rsidR="00312042">
        <w:rPr>
          <w:bCs/>
          <w:lang w:val="ru-RU"/>
        </w:rPr>
        <w:t>Доклад</w:t>
      </w:r>
      <w:bookmarkEnd w:id="47"/>
      <w:bookmarkEnd w:id="48"/>
    </w:p>
    <w:p w14:paraId="6A33E0A7" w14:textId="6807F7A9"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 xml:space="preserve">В доклад по итогам третьего обзора будут включены следующие элементы: </w:t>
      </w:r>
    </w:p>
    <w:p w14:paraId="633E6692" w14:textId="14B5053C"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общий обзор элементов, перечисленных в подпунктах а)–е) пункта 1 выше; </w:t>
      </w:r>
    </w:p>
    <w:p w14:paraId="6BF1CB33" w14:textId="7F96856B"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анализ опыта поведения мероприятий, финансировавшихся по линии механизма финансирования, в течение охватываемого обзором периода; </w:t>
      </w:r>
    </w:p>
    <w:p w14:paraId="360D4D67" w14:textId="79C91C1B"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оценка принятых </w:t>
      </w:r>
      <w:r w:rsidR="00EB798A">
        <w:rPr>
          <w:lang w:val="ru-RU"/>
        </w:rPr>
        <w:t>Глобальным экологическим фондом</w:t>
      </w:r>
      <w:r>
        <w:rPr>
          <w:lang w:val="ru-RU"/>
        </w:rPr>
        <w:t xml:space="preserve"> принципов дополнительных издержек и глобальных экологических выгод в той части, которая касается деятельности по выполнению обязательств в рамках Конвенции, а также уроков, извлеченных из докладов об оценке мероприятий Глобального экологического фонда, итоговых докладов, заключительного обзора и докладов об оценке завершенных проектов в рамках Целевой международной программы; </w:t>
      </w:r>
    </w:p>
    <w:p w14:paraId="375F3538" w14:textId="48F5E33E"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оценка устойчивости, транспарентности и доступности средств, предоставляемых по линии механизма финансирования для достижения цели Конвенции; </w:t>
      </w:r>
    </w:p>
    <w:p w14:paraId="5A898626" w14:textId="1C1B9F7C"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lastRenderedPageBreak/>
        <w:t xml:space="preserve">определение ресурсов, привлеченных непосредственно механизмом финансирования, включая взносы в натуральной форме и совместное финансирование, и, насколько это возможно, количественная и (или) качественная оценка ресурсов, привлеченных косвенно благодаря действиям частного сектора и других заинтересованных сторон; </w:t>
      </w:r>
    </w:p>
    <w:p w14:paraId="68EC53B7" w14:textId="6AC22957"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информация о том, в какой степени были учтены рекомендации по повышению эффективности механизма финансирования, полученные по итогам второго обзора механизма финансирования; </w:t>
      </w:r>
    </w:p>
    <w:p w14:paraId="4D54939B" w14:textId="35B8F1E1"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рекомендации по повышению эффективности и действенности механизма финансирования с точки зрения достижения цели Конвенции; </w:t>
      </w:r>
    </w:p>
    <w:p w14:paraId="40AF9260" w14:textId="13242792" w:rsidR="00312042" w:rsidRPr="00DA0337" w:rsidRDefault="00312042" w:rsidP="00546B6B">
      <w:pPr>
        <w:pStyle w:val="Normalnumber"/>
        <w:numPr>
          <w:ilvl w:val="0"/>
          <w:numId w:val="56"/>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оценка на основе критериев эффективности, изложенных в пункте 9 ниже. </w:t>
      </w:r>
    </w:p>
    <w:p w14:paraId="2A8F4A63" w14:textId="5318F977" w:rsidR="00312042" w:rsidRPr="00631C1C" w:rsidRDefault="008A1AAF" w:rsidP="008A1AAF">
      <w:pPr>
        <w:pStyle w:val="CH2"/>
        <w:keepNext w:val="0"/>
        <w:keepLines w:val="0"/>
        <w:tabs>
          <w:tab w:val="clear" w:pos="1247"/>
          <w:tab w:val="clear" w:pos="1871"/>
          <w:tab w:val="clear" w:pos="2495"/>
          <w:tab w:val="clear" w:pos="3119"/>
          <w:tab w:val="clear" w:pos="3742"/>
          <w:tab w:val="clear" w:pos="4366"/>
          <w:tab w:val="clear" w:pos="4990"/>
        </w:tabs>
        <w:spacing w:before="0"/>
      </w:pPr>
      <w:bookmarkStart w:id="49" w:name="_Toc221695750"/>
      <w:r>
        <w:rPr>
          <w:bCs/>
          <w:lang w:val="ru-RU"/>
        </w:rPr>
        <w:tab/>
      </w:r>
      <w:bookmarkStart w:id="50" w:name="_Toc222992818"/>
      <w:r w:rsidR="00312042">
        <w:rPr>
          <w:bCs/>
          <w:lang w:val="ru-RU"/>
        </w:rPr>
        <w:t>D.</w:t>
      </w:r>
      <w:r w:rsidR="00312042">
        <w:rPr>
          <w:lang w:val="ru-RU"/>
        </w:rPr>
        <w:tab/>
      </w:r>
      <w:r w:rsidR="00312042">
        <w:rPr>
          <w:bCs/>
          <w:lang w:val="ru-RU"/>
        </w:rPr>
        <w:t>Критерии эффективности</w:t>
      </w:r>
      <w:bookmarkEnd w:id="49"/>
      <w:bookmarkEnd w:id="50"/>
      <w:r w:rsidR="00312042">
        <w:rPr>
          <w:lang w:val="ru-RU"/>
        </w:rPr>
        <w:t xml:space="preserve"> </w:t>
      </w:r>
    </w:p>
    <w:p w14:paraId="562585D0" w14:textId="4611038A" w:rsidR="00312042" w:rsidRPr="00DA0337" w:rsidRDefault="00312042" w:rsidP="00546B6B">
      <w:pPr>
        <w:pStyle w:val="Normalnumber"/>
        <w:numPr>
          <w:ilvl w:val="0"/>
          <w:numId w:val="52"/>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 xml:space="preserve">Эффективность и действенность механизма финансирования будут оцениваться, в частности, с учетом следующих критериев: </w:t>
      </w:r>
    </w:p>
    <w:p w14:paraId="788B7232" w14:textId="6D0ED5EA"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реагирование Глобального экологического фонда и Целевой международной программы на руководящие указания, принятые или предоставленные Конференцией Сторон; </w:t>
      </w:r>
    </w:p>
    <w:p w14:paraId="18A8EF1D" w14:textId="6D3175F4"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степень, в которой проекты, финансируемые по линии механизма финансирования, способствовали или будут способствовать сокращению поставок, использования, выбросов и высвобождений ртути и обеспечат другие преимущества с точки зрения осуществления Конвенции; </w:t>
      </w:r>
    </w:p>
    <w:p w14:paraId="23E9E442" w14:textId="1D870CE6"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транспарентность и своевременность процессов утверждения проектов; </w:t>
      </w:r>
    </w:p>
    <w:p w14:paraId="5EE67EB5" w14:textId="6106A5C0"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наличие простых, гибких и оперативных процедур получения доступа к финансовым средствам, осуществления проектов и представления сведений о них; </w:t>
      </w:r>
    </w:p>
    <w:p w14:paraId="4B97D193" w14:textId="57119A8E" w:rsidR="00312042" w:rsidRPr="00631C1C"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rPr>
      </w:pPr>
      <w:r>
        <w:rPr>
          <w:lang w:val="ru-RU"/>
        </w:rPr>
        <w:t xml:space="preserve">достаточный объем ресурсов; </w:t>
      </w:r>
    </w:p>
    <w:p w14:paraId="1A4FDCDB" w14:textId="59631153"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национальная ответственность стран за мероприятия, финансируемые по линии механизма финансирования, и устойчивость таких мероприятий; </w:t>
      </w:r>
    </w:p>
    <w:p w14:paraId="04D878FB" w14:textId="489C91E4" w:rsidR="00312042" w:rsidRPr="00631C1C"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rPr>
      </w:pPr>
      <w:r>
        <w:rPr>
          <w:lang w:val="ru-RU"/>
        </w:rPr>
        <w:t xml:space="preserve">уровень участия заинтересованных сторон; </w:t>
      </w:r>
    </w:p>
    <w:p w14:paraId="7FA5EA3B" w14:textId="3995B185"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степень, в которой проекты, финансируемые по линии механизма финансирования, идут во благо группам населения, находящимся в уязвимом положении;</w:t>
      </w:r>
    </w:p>
    <w:p w14:paraId="1B17CA5A" w14:textId="3EC7FF0D" w:rsidR="00312042" w:rsidRPr="00DA0337" w:rsidRDefault="00312042" w:rsidP="00546B6B">
      <w:pPr>
        <w:pStyle w:val="Normalnumber"/>
        <w:numPr>
          <w:ilvl w:val="0"/>
          <w:numId w:val="57"/>
        </w:numPr>
        <w:tabs>
          <w:tab w:val="clear" w:pos="1247"/>
          <w:tab w:val="clear" w:pos="1814"/>
          <w:tab w:val="clear" w:pos="2381"/>
          <w:tab w:val="clear" w:pos="2948"/>
          <w:tab w:val="clear" w:pos="3515"/>
        </w:tabs>
        <w:ind w:left="1247" w:firstLine="624"/>
        <w:rPr>
          <w:rFonts w:asciiTheme="majorBidi" w:hAnsiTheme="majorBidi" w:cstheme="majorBidi"/>
          <w:lang w:val="ru-RU"/>
        </w:rPr>
        <w:sectPr w:rsidR="00312042" w:rsidRPr="00DA0337" w:rsidSect="00E84D8D">
          <w:type w:val="continuous"/>
          <w:pgSz w:w="11906" w:h="16838" w:code="9"/>
          <w:pgMar w:top="907" w:right="992" w:bottom="1418" w:left="1418" w:header="539" w:footer="975" w:gutter="0"/>
          <w:cols w:space="539"/>
          <w:docGrid w:linePitch="360"/>
        </w:sectPr>
      </w:pPr>
      <w:r>
        <w:rPr>
          <w:lang w:val="ru-RU"/>
        </w:rPr>
        <w:t>любые другие существенные вопросы, поднятые Сторонами.</w:t>
      </w:r>
    </w:p>
    <w:p w14:paraId="07FECD12" w14:textId="49B33118" w:rsidR="00107665" w:rsidRPr="008C375B" w:rsidRDefault="00312042" w:rsidP="00107665">
      <w:pPr>
        <w:pStyle w:val="Normal-pool"/>
        <w:rPr>
          <w:lang w:val="ru-RU"/>
        </w:rPr>
      </w:pPr>
      <w:r w:rsidRPr="00DA0337">
        <w:rPr>
          <w:lang w:val="ru-RU"/>
        </w:rPr>
        <w:br w:type="page"/>
      </w:r>
    </w:p>
    <w:p w14:paraId="550DDE44" w14:textId="6909706B" w:rsidR="00107665" w:rsidRPr="009F57C5" w:rsidRDefault="009F57C5" w:rsidP="00CA1023">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Style w:val="eop"/>
          <w:rFonts w:asciiTheme="majorBidi" w:hAnsiTheme="majorBidi" w:cstheme="majorBidi"/>
          <w:lang w:val="ru-RU"/>
        </w:rPr>
      </w:pPr>
      <w:bookmarkStart w:id="51" w:name="_Toc213853069"/>
      <w:r>
        <w:rPr>
          <w:lang w:val="ru-RU"/>
        </w:rPr>
        <w:lastRenderedPageBreak/>
        <w:tab/>
      </w:r>
      <w:bookmarkStart w:id="52" w:name="_Toc222992819"/>
      <w:r w:rsidR="00107665" w:rsidRPr="009F57C5">
        <w:rPr>
          <w:lang w:val="ru-RU"/>
        </w:rPr>
        <w:t>Решение МК-6/12. Осуществление статьи 14 Минаматской конвенции о ртути, касающейся создания потенциала, технического содействия и передачи технологии</w:t>
      </w:r>
      <w:bookmarkStart w:id="53" w:name="_Toc219712810"/>
      <w:bookmarkEnd w:id="51"/>
      <w:bookmarkEnd w:id="52"/>
      <w:bookmarkEnd w:id="53"/>
    </w:p>
    <w:p w14:paraId="1014AF6C" w14:textId="77777777" w:rsidR="00107665" w:rsidRPr="008C375B" w:rsidRDefault="00107665" w:rsidP="003839E6">
      <w:pPr>
        <w:pStyle w:val="NormalNonumber"/>
        <w:tabs>
          <w:tab w:val="clear" w:pos="624"/>
          <w:tab w:val="clear" w:pos="1247"/>
          <w:tab w:val="clear" w:pos="1871"/>
          <w:tab w:val="clear" w:pos="2495"/>
          <w:tab w:val="clear" w:pos="3119"/>
          <w:tab w:val="clear" w:pos="3742"/>
          <w:tab w:val="clear" w:pos="4366"/>
          <w:tab w:val="clear" w:pos="4990"/>
        </w:tabs>
        <w:ind w:firstLine="624"/>
        <w:rPr>
          <w:i/>
          <w:iCs/>
          <w:lang w:val="ru-RU"/>
        </w:rPr>
      </w:pPr>
      <w:bookmarkStart w:id="54" w:name="_Toc213853070"/>
      <w:r w:rsidRPr="008C375B">
        <w:rPr>
          <w:i/>
          <w:iCs/>
          <w:lang w:val="ru-RU"/>
        </w:rPr>
        <w:t>Конференция Сторон,</w:t>
      </w:r>
    </w:p>
    <w:p w14:paraId="049A781D"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8C375B">
        <w:rPr>
          <w:i/>
          <w:iCs/>
          <w:lang w:val="ru-RU"/>
        </w:rPr>
        <w:t>ссылаясь</w:t>
      </w:r>
      <w:r w:rsidRPr="008C375B">
        <w:rPr>
          <w:lang w:val="ru-RU"/>
        </w:rPr>
        <w:t xml:space="preserve"> на статью 14 Минаматской конвенции о ртути, касающейся создания</w:t>
      </w:r>
      <w:r>
        <w:rPr>
          <w:lang w:val="ru-RU"/>
        </w:rPr>
        <w:t xml:space="preserve"> потенциала, технического содействия и передачи технологии,</w:t>
      </w:r>
    </w:p>
    <w:p w14:paraId="34FE94A7"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EC0750">
        <w:rPr>
          <w:i/>
          <w:iCs/>
          <w:lang w:val="ru-RU"/>
        </w:rPr>
        <w:t>рассмотрев</w:t>
      </w:r>
      <w:r>
        <w:rPr>
          <w:lang w:val="ru-RU"/>
        </w:rPr>
        <w:t xml:space="preserve"> информацию об инициативах и успехах, достигнутых в отношении альтернативных технологий, и высоко оценив извлеченный из тематических исследований опыт успешной разработки, передачи и распространения альтернативных технологий, представленный на ее шестом совещании</w:t>
      </w:r>
      <w:r w:rsidRPr="00631C1C">
        <w:rPr>
          <w:rStyle w:val="FootnoteReference"/>
          <w:lang w:val="ru-RU"/>
        </w:rPr>
        <w:footnoteReference w:id="21"/>
      </w:r>
      <w:r>
        <w:rPr>
          <w:lang w:val="ru-RU"/>
        </w:rPr>
        <w:t>,</w:t>
      </w:r>
    </w:p>
    <w:p w14:paraId="25999347"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EC0750">
        <w:rPr>
          <w:i/>
          <w:iCs/>
          <w:lang w:val="ru-RU"/>
        </w:rPr>
        <w:t>отмечая</w:t>
      </w:r>
      <w:r>
        <w:rPr>
          <w:lang w:val="ru-RU"/>
        </w:rPr>
        <w:t xml:space="preserve"> дефицит информации о потребностях Сторон, особенно Сторон из числа развивающихся стран, в отношении альтернативных технологий, и в то же время признавая текущие усилия шагом навстречу восполнению недостатка информации и более точному адресованию последующих целевых действий в поддержку Сторон,</w:t>
      </w:r>
    </w:p>
    <w:p w14:paraId="0FB3BEA6"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AE067F">
        <w:rPr>
          <w:i/>
          <w:iCs/>
          <w:lang w:val="ru-RU"/>
        </w:rPr>
        <w:t>отмечая также</w:t>
      </w:r>
      <w:r>
        <w:rPr>
          <w:lang w:val="ru-RU"/>
        </w:rPr>
        <w:t xml:space="preserve"> трудности, о которых Стороны, особенно развивающиеся страны, сообщают в своих национальных докладах, представляемых во исполнение статьи 21, в отношении альтернативных технологий,</w:t>
      </w:r>
    </w:p>
    <w:p w14:paraId="7DA58E17"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AE067F">
        <w:rPr>
          <w:i/>
          <w:iCs/>
          <w:lang w:val="ru-RU"/>
        </w:rPr>
        <w:t>выражая</w:t>
      </w:r>
      <w:r>
        <w:rPr>
          <w:lang w:val="ru-RU"/>
        </w:rPr>
        <w:t xml:space="preserve"> </w:t>
      </w:r>
      <w:r w:rsidRPr="00A77E2B">
        <w:rPr>
          <w:i/>
          <w:iCs/>
          <w:lang w:val="ru-RU"/>
        </w:rPr>
        <w:t>признательность</w:t>
      </w:r>
      <w:r>
        <w:rPr>
          <w:lang w:val="ru-RU"/>
        </w:rPr>
        <w:t xml:space="preserve"> за прочную основу для сотрудничества в области передачи технологии между секретариатом и Глобальным партнерством по ртути, Базельской конвенцией о контроле за трансграничной перевозкой опасных отходов и их удалением, Роттердамской конвенцией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конвенцией о стойких органических загрязнителях, включая региональные центры Базельской и Стокгольмской конвенций,</w:t>
      </w:r>
    </w:p>
    <w:p w14:paraId="5348F381" w14:textId="76361D37"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AE067F">
        <w:rPr>
          <w:i/>
          <w:iCs/>
          <w:lang w:val="ru-RU"/>
        </w:rPr>
        <w:t>настоятельно призывает</w:t>
      </w:r>
      <w:r>
        <w:rPr>
          <w:lang w:val="ru-RU"/>
        </w:rPr>
        <w:t xml:space="preserve"> Стороны, являющиеся развитыми странами, и другие Стороны в пределах их возможностей учитывать трудности, выявленные в отношении внедрения альтернативных технологий, особенно в пропагандировании и содействии разработке, передаче и распространению современных экологически обоснованных альтернативных видов технологии для Сторон, являющихся развивающимися странами, в частности </w:t>
      </w:r>
      <w:r w:rsidR="00A77E2B">
        <w:rPr>
          <w:lang w:val="ru-RU"/>
        </w:rPr>
        <w:t>–</w:t>
      </w:r>
      <w:r>
        <w:rPr>
          <w:lang w:val="ru-RU"/>
        </w:rPr>
        <w:t xml:space="preserve"> наименее развитыми странами и малыми островными развивающимися государствами, и Сторон, являющихся странами с переходной экономикой, в целях укрепления их потенциала для эффективного осуществления Минаматской конвенции о ртути;</w:t>
      </w:r>
    </w:p>
    <w:p w14:paraId="30B26C1D" w14:textId="77777777"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AE067F">
        <w:rPr>
          <w:i/>
          <w:iCs/>
          <w:lang w:val="ru-RU"/>
        </w:rPr>
        <w:t>призывает</w:t>
      </w:r>
      <w:r>
        <w:rPr>
          <w:lang w:val="ru-RU"/>
        </w:rPr>
        <w:t xml:space="preserve"> Стороны в их национальных докладах, представляемых во исполнение статьи 21, включая их вторые полные национальные доклады, включать конкретную информацию о разработке, передаче и распространении альтернативных технологий и доступе к ним, а также о трудностях, с которыми они сталкиваются при получении доступа к технологиям и их передаче, для содействия проведению в будущем обзора трудностей и достижений;</w:t>
      </w:r>
    </w:p>
    <w:p w14:paraId="47EA5C9E" w14:textId="516C0910"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AE067F">
        <w:rPr>
          <w:i/>
          <w:iCs/>
          <w:lang w:val="ru-RU"/>
        </w:rPr>
        <w:t>поручает</w:t>
      </w:r>
      <w:r>
        <w:rPr>
          <w:lang w:val="ru-RU"/>
        </w:rPr>
        <w:t xml:space="preserve"> секретариату, при наличии ресурсов, в соответствии с пунктом 4 статьи</w:t>
      </w:r>
      <w:r w:rsidR="00EC0750">
        <w:rPr>
          <w:lang w:val="en-US"/>
        </w:rPr>
        <w:t> </w:t>
      </w:r>
      <w:r>
        <w:rPr>
          <w:lang w:val="ru-RU"/>
        </w:rPr>
        <w:t>14 продолжать в сотрудничестве с Глобальным партнерством по ртути сбор и анализ информации об имеющихся инициативах и успехах, достигнутых в отношении альтернативных технологий, а также о соответствующих потребностях и трудностях, используя:</w:t>
      </w:r>
    </w:p>
    <w:p w14:paraId="04EFE933" w14:textId="77777777" w:rsidR="00107665" w:rsidRPr="00DB6FFC" w:rsidRDefault="00107665" w:rsidP="00EC0750">
      <w:pPr>
        <w:pStyle w:val="Normalnumber"/>
        <w:numPr>
          <w:ilvl w:val="1"/>
          <w:numId w:val="59"/>
        </w:numPr>
        <w:tabs>
          <w:tab w:val="clear" w:pos="567"/>
          <w:tab w:val="clear" w:pos="1247"/>
          <w:tab w:val="clear" w:pos="1814"/>
          <w:tab w:val="clear" w:pos="2381"/>
          <w:tab w:val="clear" w:pos="2948"/>
          <w:tab w:val="clear" w:pos="3515"/>
        </w:tabs>
        <w:rPr>
          <w:lang w:val="ru-RU"/>
        </w:rPr>
      </w:pPr>
      <w:r>
        <w:rPr>
          <w:lang w:val="ru-RU"/>
        </w:rPr>
        <w:t xml:space="preserve">информацию из национальных докладов, которые будут представляться во исполнение статьи 21 в будущем; </w:t>
      </w:r>
    </w:p>
    <w:p w14:paraId="02D20E2A" w14:textId="77777777" w:rsidR="00107665" w:rsidRPr="00DB6FFC" w:rsidRDefault="00107665" w:rsidP="00EC0750">
      <w:pPr>
        <w:pStyle w:val="Normalnumber"/>
        <w:numPr>
          <w:ilvl w:val="1"/>
          <w:numId w:val="59"/>
        </w:numPr>
        <w:tabs>
          <w:tab w:val="clear" w:pos="567"/>
          <w:tab w:val="clear" w:pos="1247"/>
          <w:tab w:val="clear" w:pos="1814"/>
          <w:tab w:val="clear" w:pos="2381"/>
          <w:tab w:val="clear" w:pos="2948"/>
          <w:tab w:val="clear" w:pos="3515"/>
        </w:tabs>
        <w:rPr>
          <w:lang w:val="ru-RU"/>
        </w:rPr>
      </w:pPr>
      <w:r>
        <w:rPr>
          <w:lang w:val="ru-RU"/>
        </w:rPr>
        <w:t xml:space="preserve">дополнительную информацию, собранную в ходе опроса о потребностях и трудностях, связанных с технологиями; </w:t>
      </w:r>
    </w:p>
    <w:p w14:paraId="4F76236B" w14:textId="77777777" w:rsidR="00107665" w:rsidRPr="00DB6FFC" w:rsidRDefault="00107665" w:rsidP="00EC0750">
      <w:pPr>
        <w:pStyle w:val="Normalnumber"/>
        <w:numPr>
          <w:ilvl w:val="1"/>
          <w:numId w:val="59"/>
        </w:numPr>
        <w:tabs>
          <w:tab w:val="clear" w:pos="567"/>
          <w:tab w:val="clear" w:pos="1247"/>
          <w:tab w:val="clear" w:pos="1814"/>
          <w:tab w:val="clear" w:pos="2381"/>
          <w:tab w:val="clear" w:pos="2948"/>
          <w:tab w:val="clear" w:pos="3515"/>
        </w:tabs>
        <w:rPr>
          <w:lang w:val="ru-RU"/>
        </w:rPr>
      </w:pPr>
      <w:r>
        <w:rPr>
          <w:lang w:val="ru-RU"/>
        </w:rPr>
        <w:t>другую имеющуюся информацию, включая доклады о проектах и оценки проектов, финансируемых Глобальным экологическим фондом и Целевой международной программой для поддержки процессов создания потенциала и оказания технической помощи;</w:t>
      </w:r>
    </w:p>
    <w:p w14:paraId="0239A8A1" w14:textId="77777777"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AE067F">
        <w:rPr>
          <w:i/>
          <w:iCs/>
          <w:lang w:val="ru-RU"/>
        </w:rPr>
        <w:t>постановляет</w:t>
      </w:r>
      <w:r>
        <w:rPr>
          <w:lang w:val="ru-RU"/>
        </w:rPr>
        <w:t xml:space="preserve"> вновь рассмотреть вопрос об альтернативных технологиях в соответствии с пунктом 4 статьи 14 на своем восьмом совещании; </w:t>
      </w:r>
    </w:p>
    <w:p w14:paraId="7906CA0E" w14:textId="2C8358DA" w:rsidR="00107665" w:rsidRPr="00631C1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pPr>
      <w:r w:rsidRPr="00AE067F">
        <w:rPr>
          <w:i/>
          <w:iCs/>
          <w:lang w:val="ru-RU"/>
        </w:rPr>
        <w:lastRenderedPageBreak/>
        <w:t>призывает</w:t>
      </w:r>
      <w:r>
        <w:rPr>
          <w:lang w:val="ru-RU"/>
        </w:rPr>
        <w:t xml:space="preserve"> Стороны и предлагает государствам, не являющимся Сторонами Конвенции, и другим субъектам, располагающим такой возможностью, вносить взносы в Специальный целевой фонд для Минаматской конвенции о ртути, чтобы обеспечить возможность осуществления мероприятий по созданию потенциала, описанных в программе работы на 2026</w:t>
      </w:r>
      <w:r w:rsidR="00220562">
        <w:rPr>
          <w:lang w:val="ru-RU"/>
        </w:rPr>
        <w:t>–</w:t>
      </w:r>
      <w:r>
        <w:rPr>
          <w:lang w:val="ru-RU"/>
        </w:rPr>
        <w:t>2027 годы и фактологической справке о предусмотренных бюджетом мероприятиях по созданию потенциала и техническому содействию (мероприятие 4);</w:t>
      </w:r>
    </w:p>
    <w:p w14:paraId="14826351" w14:textId="77777777"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EE5008">
        <w:rPr>
          <w:i/>
          <w:iCs/>
          <w:lang w:val="ru-RU"/>
        </w:rPr>
        <w:t>с признательностью отмечает</w:t>
      </w:r>
      <w:r>
        <w:rPr>
          <w:lang w:val="ru-RU"/>
        </w:rPr>
        <w:t xml:space="preserve"> усилия секретариата по разработке и распространению инструментов и учебных материалов, связанных с выполнением обязательств Сторон согласно Конвенции; </w:t>
      </w:r>
    </w:p>
    <w:p w14:paraId="6928D7F1" w14:textId="45B064CA"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sectPr w:rsidR="00107665" w:rsidRPr="00DB6FFC" w:rsidSect="00107665">
          <w:headerReference w:type="even" r:id="rId18"/>
          <w:headerReference w:type="default" r:id="rId19"/>
          <w:footerReference w:type="even" r:id="rId20"/>
          <w:footerReference w:type="default" r:id="rId21"/>
          <w:footerReference w:type="first" r:id="rId22"/>
          <w:footnotePr>
            <w:numRestart w:val="eachSect"/>
          </w:footnotePr>
          <w:type w:val="continuous"/>
          <w:pgSz w:w="11906" w:h="16838" w:code="9"/>
          <w:pgMar w:top="907" w:right="992" w:bottom="1418" w:left="1418" w:header="539" w:footer="975" w:gutter="0"/>
          <w:cols w:space="539"/>
          <w:docGrid w:linePitch="360"/>
        </w:sectPr>
      </w:pPr>
      <w:r w:rsidRPr="00EE5008">
        <w:rPr>
          <w:i/>
          <w:iCs/>
          <w:lang w:val="ru-RU"/>
        </w:rPr>
        <w:t>поручает</w:t>
      </w:r>
      <w:r>
        <w:rPr>
          <w:lang w:val="ru-RU"/>
        </w:rPr>
        <w:t xml:space="preserve"> секретариату</w:t>
      </w:r>
      <w:r w:rsidR="00D30085">
        <w:rPr>
          <w:lang w:val="ru-RU"/>
        </w:rPr>
        <w:t>,</w:t>
      </w:r>
      <w:r>
        <w:rPr>
          <w:lang w:val="ru-RU"/>
        </w:rPr>
        <w:t xml:space="preserve"> при наличии ресурсов</w:t>
      </w:r>
      <w:r w:rsidR="00D30085">
        <w:rPr>
          <w:lang w:val="ru-RU"/>
        </w:rPr>
        <w:t>,</w:t>
      </w:r>
      <w:r>
        <w:rPr>
          <w:lang w:val="ru-RU"/>
        </w:rPr>
        <w:t xml:space="preserve"> продолжать оказывать поддержку в создании потенциала и оказании технической помощи Сторонам в соответствии с пунктом 1 статьи 14, в том числе посредством активного и постоянного взаимодействия с Глобальным партнерством по ртути.</w:t>
      </w:r>
    </w:p>
    <w:p w14:paraId="5EF11742" w14:textId="77777777" w:rsidR="00107665" w:rsidRPr="00DB6FFC" w:rsidRDefault="00107665" w:rsidP="00EC0750">
      <w:pPr>
        <w:pStyle w:val="Normal-pool"/>
        <w:tabs>
          <w:tab w:val="clear" w:pos="624"/>
          <w:tab w:val="clear" w:pos="1247"/>
          <w:tab w:val="clear" w:pos="1871"/>
          <w:tab w:val="clear" w:pos="2495"/>
          <w:tab w:val="clear" w:pos="3119"/>
          <w:tab w:val="clear" w:pos="3742"/>
          <w:tab w:val="clear" w:pos="4366"/>
          <w:tab w:val="clear" w:pos="4990"/>
        </w:tabs>
        <w:rPr>
          <w:lang w:val="ru-RU"/>
        </w:rPr>
      </w:pPr>
      <w:r w:rsidRPr="00DB6FFC">
        <w:rPr>
          <w:lang w:val="ru-RU"/>
        </w:rPr>
        <w:br w:type="page"/>
      </w:r>
    </w:p>
    <w:p w14:paraId="62162F98" w14:textId="608D6EDC" w:rsidR="00107665" w:rsidRPr="006C5F7C" w:rsidRDefault="006C5F7C" w:rsidP="00CA1023">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sidRPr="00A22783">
        <w:rPr>
          <w:lang w:val="ru-RU"/>
        </w:rPr>
        <w:lastRenderedPageBreak/>
        <w:tab/>
      </w:r>
      <w:bookmarkStart w:id="55" w:name="_Toc222992820"/>
      <w:r w:rsidR="00107665" w:rsidRPr="006C5F7C">
        <w:rPr>
          <w:lang w:val="ru-RU"/>
        </w:rPr>
        <w:t>Решение МК-6/13. Национальные доклады (статья 21): вторые краткие национальные доклады</w:t>
      </w:r>
      <w:bookmarkStart w:id="56" w:name="_Toc219712811"/>
      <w:bookmarkEnd w:id="54"/>
      <w:bookmarkEnd w:id="55"/>
      <w:bookmarkEnd w:id="56"/>
    </w:p>
    <w:p w14:paraId="082CB449"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i/>
          <w:iCs/>
          <w:noProof/>
          <w:lang w:val="ru-RU"/>
        </w:rPr>
      </w:pPr>
      <w:bookmarkStart w:id="57" w:name="_Toc213853071"/>
      <w:r>
        <w:rPr>
          <w:i/>
          <w:iCs/>
          <w:lang w:val="ru-RU"/>
        </w:rPr>
        <w:t>Конференция Сторон,</w:t>
      </w:r>
    </w:p>
    <w:p w14:paraId="360D14BC"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noProof/>
          <w:lang w:val="ru-RU"/>
        </w:rPr>
      </w:pPr>
      <w:r w:rsidRPr="00EE5008">
        <w:rPr>
          <w:i/>
          <w:iCs/>
          <w:lang w:val="ru-RU"/>
        </w:rPr>
        <w:t>подчеркивая</w:t>
      </w:r>
      <w:r>
        <w:rPr>
          <w:lang w:val="ru-RU"/>
        </w:rPr>
        <w:t xml:space="preserve"> важность представления сведений и напоминая об обязательстве Сторон представлять их национальные доклады в соответствии со статьей 21 Минаматской конвенции о ртути,</w:t>
      </w:r>
    </w:p>
    <w:p w14:paraId="2EE13D53"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noProof/>
          <w:lang w:val="ru-RU"/>
        </w:rPr>
      </w:pPr>
      <w:r w:rsidRPr="00EE5008">
        <w:rPr>
          <w:i/>
          <w:iCs/>
          <w:lang w:val="ru-RU"/>
        </w:rPr>
        <w:t>учитывая</w:t>
      </w:r>
      <w:r>
        <w:rPr>
          <w:lang w:val="ru-RU"/>
        </w:rPr>
        <w:t xml:space="preserve"> доклад о работе Комитета по осуществлению и соблюдению Минаматской конвенции на его шестом и седьмом совещаниях, включая его выводы в отношении исполнения обязательств по представлению сведений Сторонами</w:t>
      </w:r>
      <w:r w:rsidRPr="00631C1C">
        <w:rPr>
          <w:rStyle w:val="FootnoteReference"/>
          <w:noProof/>
          <w:lang w:val="ru-RU"/>
        </w:rPr>
        <w:footnoteReference w:id="22"/>
      </w:r>
      <w:r>
        <w:rPr>
          <w:lang w:val="ru-RU"/>
        </w:rPr>
        <w:t xml:space="preserve">, </w:t>
      </w:r>
    </w:p>
    <w:p w14:paraId="11FA6881"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noProof/>
          <w:lang w:val="ru-RU"/>
        </w:rPr>
      </w:pPr>
      <w:r w:rsidRPr="00EE5008">
        <w:rPr>
          <w:i/>
          <w:iCs/>
          <w:lang w:val="ru-RU"/>
        </w:rPr>
        <w:t>признавая</w:t>
      </w:r>
      <w:r>
        <w:rPr>
          <w:lang w:val="ru-RU"/>
        </w:rPr>
        <w:t xml:space="preserve"> трудности при соблюдении обязательств в отношении торговли согласно статье 3 в связи с неофициальной или незаконной первичной добычей ртути и торговлей ртутью, которые не соответствуют положениям Конвенции, включая сбор данных и представление сведений о такой деятельности, </w:t>
      </w:r>
    </w:p>
    <w:p w14:paraId="4E87DE0D"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EE5008">
        <w:rPr>
          <w:i/>
          <w:iCs/>
          <w:lang w:val="ru-RU"/>
        </w:rPr>
        <w:t>приветствуя</w:t>
      </w:r>
      <w:r>
        <w:rPr>
          <w:lang w:val="ru-RU"/>
        </w:rPr>
        <w:t xml:space="preserve"> усилия Сторон по представлению сведений о неофициальной или незаконной первичной добыче ртути и торговле ею, в том числе применительно к сектору кустарной и мелкомасштабной золотодобычи,</w:t>
      </w:r>
    </w:p>
    <w:p w14:paraId="4D5E739C"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rStyle w:val="normaltextrun"/>
          <w:lang w:val="ru-RU"/>
        </w:rPr>
      </w:pPr>
      <w:r w:rsidRPr="00EE5008">
        <w:rPr>
          <w:i/>
          <w:iCs/>
          <w:lang w:val="ru-RU"/>
        </w:rPr>
        <w:t>ссылаясь</w:t>
      </w:r>
      <w:r>
        <w:rPr>
          <w:lang w:val="ru-RU"/>
        </w:rPr>
        <w:t xml:space="preserve"> на пункт 2 решения МК-5/2, в котором она призвала Стороны, не получившие согласия на весь экспорт ртути с территории Стороны, представить дополнительную информацию, если таковая имеется, в их следующих национальных докладах,</w:t>
      </w:r>
    </w:p>
    <w:p w14:paraId="3B860E2D" w14:textId="2BBBE446"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EE5008">
        <w:rPr>
          <w:i/>
          <w:iCs/>
          <w:lang w:val="ru-RU"/>
        </w:rPr>
        <w:t>приветствует</w:t>
      </w:r>
      <w:r>
        <w:rPr>
          <w:lang w:val="ru-RU"/>
        </w:rPr>
        <w:t xml:space="preserve"> высокий уровень представления сведений (86 процентов) Сторонами для их вторых кратких национальных докладов и признает возможность для дальнейшего повышения уровня представления сведений</w:t>
      </w:r>
      <w:r w:rsidR="007A567F">
        <w:rPr>
          <w:lang w:val="ru-RU"/>
        </w:rPr>
        <w:t>;</w:t>
      </w:r>
    </w:p>
    <w:p w14:paraId="20DA9A68" w14:textId="467C0449"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EE5008">
        <w:rPr>
          <w:i/>
          <w:iCs/>
          <w:lang w:val="ru-RU"/>
        </w:rPr>
        <w:t>призывает</w:t>
      </w:r>
      <w:r>
        <w:rPr>
          <w:lang w:val="ru-RU"/>
        </w:rPr>
        <w:t xml:space="preserve"> Стороны обеспечить высокий уровень представления сведений для своих вторых полных национальных докладов, которые должны быть представлены до 31</w:t>
      </w:r>
      <w:r w:rsidR="00EE5008">
        <w:rPr>
          <w:lang w:val="en-US"/>
        </w:rPr>
        <w:t> </w:t>
      </w:r>
      <w:r>
        <w:rPr>
          <w:lang w:val="ru-RU"/>
        </w:rPr>
        <w:t>декабря 2025 года, и просит Стороны представлять свои доклады своевременно;</w:t>
      </w:r>
    </w:p>
    <w:p w14:paraId="7D625B3F" w14:textId="77777777"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EE5008">
        <w:rPr>
          <w:i/>
          <w:iCs/>
          <w:lang w:val="ru-RU"/>
        </w:rPr>
        <w:t>вновь призывает</w:t>
      </w:r>
      <w:r>
        <w:rPr>
          <w:lang w:val="ru-RU"/>
        </w:rPr>
        <w:t xml:space="preserve"> Стороны, получившие согласие на экспорт ртути в Стороны и (или) государства, не являющиеся Сторонами, представить в секретариат либо копии использованных форм согласия, либо другую подходящую информацию в их докладах, представляемых в соответствии со статьей 21, с тем чтобы продемонстрировать соблюдение соответствующих требований статьи 3;</w:t>
      </w:r>
    </w:p>
    <w:p w14:paraId="41538D6D" w14:textId="5CCEE3F0"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EE5008">
        <w:rPr>
          <w:i/>
          <w:iCs/>
          <w:lang w:val="ru-RU"/>
        </w:rPr>
        <w:t>предлагает</w:t>
      </w:r>
      <w:r>
        <w:rPr>
          <w:lang w:val="ru-RU"/>
        </w:rPr>
        <w:t xml:space="preserve"> Сторонам представить завершенные национальные планы действий по поэтапному отказу от использования амальгамы в стоматологии либо вместе с их вторыми полными национальными докладами, которые должны быть представлены до 31 декабря 2025</w:t>
      </w:r>
      <w:r w:rsidR="00EE5008">
        <w:rPr>
          <w:lang w:val="en-US"/>
        </w:rPr>
        <w:t> </w:t>
      </w:r>
      <w:r>
        <w:rPr>
          <w:lang w:val="ru-RU"/>
        </w:rPr>
        <w:t>года, либо вместе с их третьими краткими национальными докладами, которые должны быть представлены до 31 декабря 2027 года;</w:t>
      </w:r>
    </w:p>
    <w:p w14:paraId="3D656D15" w14:textId="4D6E9AB2"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94750E">
        <w:rPr>
          <w:i/>
          <w:iCs/>
          <w:lang w:val="ru-RU"/>
        </w:rPr>
        <w:t>принимает к сведению</w:t>
      </w:r>
      <w:r>
        <w:rPr>
          <w:lang w:val="ru-RU"/>
        </w:rPr>
        <w:t xml:space="preserve"> обновления руководства по заполнению формы представления национальных сведений, </w:t>
      </w:r>
      <w:r w:rsidR="00A90C4D">
        <w:rPr>
          <w:lang w:val="ru-RU"/>
        </w:rPr>
        <w:t xml:space="preserve">как </w:t>
      </w:r>
      <w:r>
        <w:rPr>
          <w:lang w:val="ru-RU"/>
        </w:rPr>
        <w:t>испрошен</w:t>
      </w:r>
      <w:r w:rsidR="00A90C4D">
        <w:rPr>
          <w:lang w:val="ru-RU"/>
        </w:rPr>
        <w:t>о</w:t>
      </w:r>
      <w:r>
        <w:rPr>
          <w:lang w:val="ru-RU"/>
        </w:rPr>
        <w:t xml:space="preserve"> в решении МК-5/13</w:t>
      </w:r>
      <w:r w:rsidRPr="00631C1C">
        <w:rPr>
          <w:rStyle w:val="FootnoteReference"/>
          <w:lang w:val="ru-RU"/>
        </w:rPr>
        <w:footnoteReference w:id="23"/>
      </w:r>
      <w:r>
        <w:rPr>
          <w:lang w:val="ru-RU"/>
        </w:rPr>
        <w:t xml:space="preserve">, и призывает Стороны использовать это руководство в текущем и следующем периодах представления сведений; </w:t>
      </w:r>
    </w:p>
    <w:p w14:paraId="77169A57" w14:textId="77777777" w:rsidR="00107665" w:rsidRPr="00631C1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rPr>
      </w:pPr>
      <w:r w:rsidRPr="0094750E">
        <w:rPr>
          <w:i/>
          <w:iCs/>
          <w:lang w:val="ru-RU"/>
        </w:rPr>
        <w:t>поручает</w:t>
      </w:r>
      <w:r>
        <w:rPr>
          <w:lang w:val="ru-RU"/>
        </w:rPr>
        <w:t xml:space="preserve"> секретариату:</w:t>
      </w:r>
    </w:p>
    <w:p w14:paraId="392BE208" w14:textId="77777777"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Pr>
          <w:lang w:val="ru-RU"/>
        </w:rPr>
        <w:t xml:space="preserve">собирать информацию о передовых методах представления сведений о неофициальной или незаконной деятельности, не соответствующей положениям Конвенции, с целью выявления информации, которая была бы полезна для оценки масштабов и характера такой деятельности, а также изучать, как такая информация может быть использована при разработке инструментария или элементов представления сведений для оказания поддержки Сторонам, сталкивающимся с такими трудностями; </w:t>
      </w:r>
    </w:p>
    <w:p w14:paraId="638B326F" w14:textId="1480AF0F"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Pr>
          <w:lang w:val="ru-RU"/>
        </w:rPr>
        <w:t>продолжать оценивать, основываясь на выявлен</w:t>
      </w:r>
      <w:r w:rsidR="00A757C6">
        <w:rPr>
          <w:lang w:val="ru-RU"/>
        </w:rPr>
        <w:t>ии</w:t>
      </w:r>
      <w:r>
        <w:rPr>
          <w:lang w:val="ru-RU"/>
        </w:rPr>
        <w:t xml:space="preserve"> Сторонами и их опыте составления вторых полных докладов, любые значительные проблемы, которые могут возникнуть в связи с формой представления сведений, и исключительно в той мере, в которой это необходимо, разрабатывать предложения по повышению удобства использования и понятности формы для рассмотрения Конференцией Сторон на ее будущих совещаниях;</w:t>
      </w:r>
    </w:p>
    <w:p w14:paraId="6E1AAAE2" w14:textId="77777777"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Pr>
          <w:lang w:val="ru-RU"/>
        </w:rPr>
        <w:lastRenderedPageBreak/>
        <w:t>включить соответствующие решения, принимаемые Конференцией Сторон на текущем и будущих совещаниях, в руководство по заполнению формы представления сведений, обеспечив соответствие представляемых национальных сведений обновленным требованиям, для обзора Сторонами в межсессионный период;</w:t>
      </w:r>
    </w:p>
    <w:p w14:paraId="101A82C9" w14:textId="77777777"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Pr>
          <w:lang w:val="ru-RU"/>
        </w:rPr>
        <w:t>подготовить проект руководства по разработке национальных планов действий по поэтапному отказу от использования амальгамы в стоматологии, при наличии ресурсов, для рассмотрения Конференцией Сторон на ее седьмом совещании;</w:t>
      </w:r>
    </w:p>
    <w:p w14:paraId="64181509" w14:textId="77777777"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sectPr w:rsidR="00107665" w:rsidRPr="00DB6FFC" w:rsidSect="00107665">
          <w:footnotePr>
            <w:numRestart w:val="eachSect"/>
          </w:footnotePr>
          <w:type w:val="continuous"/>
          <w:pgSz w:w="11906" w:h="16838" w:code="9"/>
          <w:pgMar w:top="907" w:right="992" w:bottom="1418" w:left="1418" w:header="539" w:footer="975" w:gutter="0"/>
          <w:cols w:space="539"/>
          <w:docGrid w:linePitch="360"/>
        </w:sectPr>
      </w:pPr>
      <w:r>
        <w:rPr>
          <w:lang w:val="ru-RU"/>
        </w:rPr>
        <w:t>представить Конференции Сторон на ее седьмом совещании доклад о выполнении настоящего решения.</w:t>
      </w:r>
    </w:p>
    <w:p w14:paraId="0AEBE712" w14:textId="77777777" w:rsidR="00107665" w:rsidRPr="00DB6FFC" w:rsidRDefault="00107665" w:rsidP="00EC0750">
      <w:pPr>
        <w:pStyle w:val="Normal-pool"/>
        <w:tabs>
          <w:tab w:val="clear" w:pos="624"/>
          <w:tab w:val="clear" w:pos="1247"/>
          <w:tab w:val="clear" w:pos="1871"/>
          <w:tab w:val="clear" w:pos="2495"/>
          <w:tab w:val="clear" w:pos="3119"/>
          <w:tab w:val="clear" w:pos="3742"/>
          <w:tab w:val="clear" w:pos="4366"/>
          <w:tab w:val="clear" w:pos="4990"/>
        </w:tabs>
        <w:rPr>
          <w:lang w:val="ru-RU"/>
        </w:rPr>
      </w:pPr>
      <w:r w:rsidRPr="00DB6FFC">
        <w:rPr>
          <w:lang w:val="ru-RU"/>
        </w:rPr>
        <w:br w:type="page"/>
      </w:r>
    </w:p>
    <w:p w14:paraId="170C4721" w14:textId="7EEF0C37" w:rsidR="00107665" w:rsidRPr="00A659FB" w:rsidRDefault="00A659FB" w:rsidP="00CA1023">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sidRPr="00A22783">
        <w:rPr>
          <w:lang w:val="ru-RU"/>
        </w:rPr>
        <w:lastRenderedPageBreak/>
        <w:tab/>
      </w:r>
      <w:bookmarkStart w:id="58" w:name="_Toc222992821"/>
      <w:r w:rsidR="00107665" w:rsidRPr="00A659FB">
        <w:rPr>
          <w:lang w:val="ru-RU"/>
        </w:rPr>
        <w:t>Решение MК-6/14. Ход работы по проведению первой оценки эффективности Минаматской конвенции о ртути</w:t>
      </w:r>
      <w:bookmarkStart w:id="59" w:name="_Toc219712812"/>
      <w:bookmarkEnd w:id="57"/>
      <w:bookmarkEnd w:id="58"/>
      <w:bookmarkEnd w:id="59"/>
    </w:p>
    <w:p w14:paraId="4D116932"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i/>
          <w:iCs/>
          <w:lang w:val="ru-RU"/>
        </w:rPr>
      </w:pPr>
      <w:r>
        <w:rPr>
          <w:i/>
          <w:iCs/>
          <w:lang w:val="ru-RU"/>
        </w:rPr>
        <w:t>Конференция Сторон,</w:t>
      </w:r>
      <w:r>
        <w:rPr>
          <w:lang w:val="ru-RU"/>
        </w:rPr>
        <w:t xml:space="preserve"> </w:t>
      </w:r>
    </w:p>
    <w:p w14:paraId="2FFD8373"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ru-RU"/>
        </w:rPr>
      </w:pPr>
      <w:r w:rsidRPr="0094750E">
        <w:rPr>
          <w:i/>
          <w:iCs/>
          <w:lang w:val="ru-RU"/>
        </w:rPr>
        <w:t>ссылаясь</w:t>
      </w:r>
      <w:r>
        <w:rPr>
          <w:lang w:val="ru-RU"/>
        </w:rPr>
        <w:t xml:space="preserve"> на решение MК-5/14, в котором она постановила рассмотреть результаты первой оценки эффективности Минаматской конвенции о ртути на своем седьмом совещании,</w:t>
      </w:r>
    </w:p>
    <w:p w14:paraId="2BA895EA" w14:textId="77777777" w:rsidR="00107665" w:rsidRPr="00DB6FFC" w:rsidRDefault="00107665" w:rsidP="0094750E">
      <w:pPr>
        <w:pStyle w:val="Normal-pool"/>
        <w:numPr>
          <w:ilvl w:val="0"/>
          <w:numId w:val="62"/>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ru-RU"/>
        </w:rPr>
      </w:pPr>
      <w:r w:rsidRPr="0094750E">
        <w:rPr>
          <w:i/>
          <w:iCs/>
          <w:lang w:val="ru-RU"/>
        </w:rPr>
        <w:t>принимает к сведению</w:t>
      </w:r>
      <w:r>
        <w:rPr>
          <w:lang w:val="ru-RU"/>
        </w:rPr>
        <w:t xml:space="preserve"> прогресс, достигнутый Группой по оценке эффективности и Научной группой открытого состава после пятого совещания, и просит обе группы продолжать работу по оказанию поддержки Конференции Сторон в проведении первой оценки эффективности в соответствии с положениями об их работе;</w:t>
      </w:r>
    </w:p>
    <w:p w14:paraId="7D8C0241" w14:textId="77777777" w:rsidR="00107665" w:rsidRPr="00DB6FFC" w:rsidRDefault="00107665" w:rsidP="0094750E">
      <w:pPr>
        <w:pStyle w:val="Normal-pool"/>
        <w:numPr>
          <w:ilvl w:val="0"/>
          <w:numId w:val="62"/>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ru-RU"/>
        </w:rPr>
      </w:pPr>
      <w:r w:rsidRPr="0094750E">
        <w:rPr>
          <w:i/>
          <w:iCs/>
          <w:lang w:val="ru-RU"/>
        </w:rPr>
        <w:t>с признательностью отмечает</w:t>
      </w:r>
      <w:r>
        <w:rPr>
          <w:lang w:val="ru-RU"/>
        </w:rPr>
        <w:t xml:space="preserve"> вклад Сторон и прочих заинтересованных субъектов в оценку эффективности, включая представление данных мониторинга, данных о выбросах и высвобождениях, а также замечаний по проектам докладов, и предлагает Сторонам продолжать вносить такой вклад, включая замечания по проектам документов, разработанных Группой по оценке эффективности и Научной группой открытого состава;  </w:t>
      </w:r>
    </w:p>
    <w:p w14:paraId="7F3F660E" w14:textId="77777777" w:rsidR="00107665" w:rsidRPr="00DB6FFC" w:rsidRDefault="00107665" w:rsidP="0094750E">
      <w:pPr>
        <w:pStyle w:val="Normal-pool"/>
        <w:numPr>
          <w:ilvl w:val="0"/>
          <w:numId w:val="62"/>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ru-RU"/>
        </w:rPr>
        <w:sectPr w:rsidR="00107665" w:rsidRPr="00DB6FFC" w:rsidSect="00107665">
          <w:type w:val="continuous"/>
          <w:pgSz w:w="11906" w:h="16838" w:code="9"/>
          <w:pgMar w:top="907" w:right="992" w:bottom="1418" w:left="1418" w:header="539" w:footer="975" w:gutter="0"/>
          <w:cols w:space="539"/>
          <w:docGrid w:linePitch="360"/>
        </w:sectPr>
      </w:pPr>
      <w:r w:rsidRPr="0094750E">
        <w:rPr>
          <w:i/>
          <w:iCs/>
          <w:lang w:val="ru-RU"/>
        </w:rPr>
        <w:t>предлагает</w:t>
      </w:r>
      <w:r>
        <w:rPr>
          <w:lang w:val="ru-RU"/>
        </w:rPr>
        <w:t xml:space="preserve"> Сторонам представить их полные национальные доклады в соответствии со статьей 21 в секретариат до 31 декабря 2025 года, чтобы обеспечить наличие новейшей информации для первой оценки эффективности.</w:t>
      </w:r>
    </w:p>
    <w:p w14:paraId="3E3B1D66"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rPr>
          <w:rFonts w:eastAsia="Calibri"/>
          <w:lang w:val="ru-RU"/>
        </w:rPr>
      </w:pPr>
      <w:r w:rsidRPr="00DB6FFC">
        <w:rPr>
          <w:rFonts w:eastAsia="Calibri"/>
          <w:lang w:val="ru-RU"/>
        </w:rPr>
        <w:br w:type="page"/>
      </w:r>
    </w:p>
    <w:p w14:paraId="7CE3A4B2" w14:textId="49411467" w:rsidR="00107665" w:rsidRPr="00A659FB" w:rsidRDefault="00A659FB" w:rsidP="00CA1023">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60" w:name="_Toc213853072"/>
      <w:r w:rsidRPr="00A22783">
        <w:rPr>
          <w:lang w:val="ru-RU"/>
        </w:rPr>
        <w:lastRenderedPageBreak/>
        <w:tab/>
      </w:r>
      <w:bookmarkStart w:id="61" w:name="_Toc222992822"/>
      <w:r w:rsidR="00107665" w:rsidRPr="00A659FB">
        <w:rPr>
          <w:lang w:val="ru-RU"/>
        </w:rPr>
        <w:t xml:space="preserve">Решение МК-6/15. </w:t>
      </w:r>
      <w:r w:rsidR="00C237D9">
        <w:rPr>
          <w:lang w:val="ru-RU"/>
        </w:rPr>
        <w:t>У</w:t>
      </w:r>
      <w:r w:rsidR="004655EE">
        <w:rPr>
          <w:lang w:val="ru-RU"/>
        </w:rPr>
        <w:t>силение</w:t>
      </w:r>
      <w:r w:rsidR="00C237D9" w:rsidRPr="00A659FB">
        <w:rPr>
          <w:lang w:val="ru-RU"/>
        </w:rPr>
        <w:t xml:space="preserve"> </w:t>
      </w:r>
      <w:r w:rsidR="00107665" w:rsidRPr="00A659FB">
        <w:rPr>
          <w:lang w:val="ru-RU"/>
        </w:rPr>
        <w:t>эффективно</w:t>
      </w:r>
      <w:r w:rsidR="004655EE">
        <w:rPr>
          <w:lang w:val="ru-RU"/>
        </w:rPr>
        <w:t>го</w:t>
      </w:r>
      <w:r w:rsidR="00107665" w:rsidRPr="00A659FB">
        <w:rPr>
          <w:lang w:val="ru-RU"/>
        </w:rPr>
        <w:t xml:space="preserve"> взаимодействи</w:t>
      </w:r>
      <w:r w:rsidR="004655EE">
        <w:rPr>
          <w:lang w:val="ru-RU"/>
        </w:rPr>
        <w:t>я</w:t>
      </w:r>
      <w:r w:rsidR="00107665" w:rsidRPr="00A659FB">
        <w:rPr>
          <w:lang w:val="ru-RU"/>
        </w:rPr>
        <w:t xml:space="preserve"> с коренными народами и с местными общинами</w:t>
      </w:r>
      <w:bookmarkStart w:id="62" w:name="_Toc219712813"/>
      <w:bookmarkStart w:id="63" w:name="_Hlk213337772"/>
      <w:bookmarkEnd w:id="60"/>
      <w:bookmarkEnd w:id="61"/>
      <w:bookmarkEnd w:id="62"/>
      <w:bookmarkEnd w:id="63"/>
    </w:p>
    <w:p w14:paraId="44324E47"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58F1DF52"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Calibri" w:hAnsiTheme="majorBidi" w:cstheme="majorBidi"/>
          <w:lang w:val="ru-RU"/>
        </w:rPr>
      </w:pPr>
      <w:r w:rsidRPr="0094750E">
        <w:rPr>
          <w:i/>
          <w:iCs/>
          <w:lang w:val="ru-RU"/>
        </w:rPr>
        <w:t>напоминая</w:t>
      </w:r>
      <w:r>
        <w:rPr>
          <w:lang w:val="ru-RU"/>
        </w:rPr>
        <w:t xml:space="preserve"> о правах коренных народов, изложенных в Декларации Организации Объединенных Наций о правах коренных народов, и о том, что коренные народы, а также местные общины в непропорционально большой степени страдают от последствий загрязнения ртутью,</w:t>
      </w:r>
    </w:p>
    <w:p w14:paraId="52112B59" w14:textId="7AE7B3F8"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4750E">
        <w:rPr>
          <w:i/>
          <w:iCs/>
          <w:lang w:val="ru-RU"/>
        </w:rPr>
        <w:t>подчеркивая</w:t>
      </w:r>
      <w:r>
        <w:rPr>
          <w:lang w:val="ru-RU"/>
        </w:rPr>
        <w:t xml:space="preserve">, что коренные народы, а также местные общины должны играть важную роль в осуществлении Минаматской конвенции о ртути, и отмечая, что их полноценное и эффективное </w:t>
      </w:r>
      <w:r w:rsidR="004655EE">
        <w:rPr>
          <w:lang w:val="ru-RU"/>
        </w:rPr>
        <w:t xml:space="preserve">взаимодействие и </w:t>
      </w:r>
      <w:r>
        <w:rPr>
          <w:lang w:val="ru-RU"/>
        </w:rPr>
        <w:t xml:space="preserve">участие в совещаниях и процессах в рамках Конвенции имеет важное значение для достижения ее цели, </w:t>
      </w:r>
    </w:p>
    <w:p w14:paraId="77B8D802"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4750E">
        <w:rPr>
          <w:i/>
          <w:iCs/>
          <w:lang w:val="ru-RU"/>
        </w:rPr>
        <w:t>принимая к сведению</w:t>
      </w:r>
      <w:r>
        <w:rPr>
          <w:lang w:val="ru-RU"/>
        </w:rPr>
        <w:t xml:space="preserve"> результаты исследования потребностей и приоритетов коренных народов, а также местных общин в отношении воздействия ртути на их здоровье, средства к существованию, культуру и знания и признавая, что эффективное взаимодействие и участие в работе Конвенции являются для этих групп одним из важнейших приоритетов в решении проблемы загрязнения ртутью,</w:t>
      </w:r>
    </w:p>
    <w:p w14:paraId="0943CD66"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4750E">
        <w:rPr>
          <w:i/>
          <w:iCs/>
          <w:lang w:val="ru-RU"/>
        </w:rPr>
        <w:t>приветствуя</w:t>
      </w:r>
      <w:r>
        <w:rPr>
          <w:lang w:val="ru-RU"/>
        </w:rPr>
        <w:t xml:space="preserve"> усилия секретариата по созданию Платформы для коренных народов и призывая Стороны и другие соответствующие заинтересованные субъекты продолжать стимулировать политику, позволяющую коренным народам, а также местным общинам получать пользу от распространения информации, повышения осведомленности и просвещения в отношении выбросов и высвобождений ртути и вносить вклад в эту деятельность,</w:t>
      </w:r>
    </w:p>
    <w:p w14:paraId="092B8186"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strike/>
          <w:lang w:val="ru-RU"/>
        </w:rPr>
      </w:pPr>
      <w:r w:rsidRPr="0094750E">
        <w:rPr>
          <w:i/>
          <w:iCs/>
          <w:lang w:val="ru-RU"/>
        </w:rPr>
        <w:t>ссылаясь</w:t>
      </w:r>
      <w:r>
        <w:rPr>
          <w:lang w:val="ru-RU"/>
        </w:rPr>
        <w:t xml:space="preserve"> на решение МК-5/1 о последствиях загрязнения ртутью для коренных народов и для местных общин,</w:t>
      </w:r>
    </w:p>
    <w:p w14:paraId="65149F62" w14:textId="504EE0FA" w:rsidR="00107665" w:rsidRPr="00DB6FFC" w:rsidRDefault="00107665" w:rsidP="0094750E">
      <w:pPr>
        <w:pStyle w:val="NormalNonumber"/>
        <w:numPr>
          <w:ilvl w:val="0"/>
          <w:numId w:val="6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94750E">
        <w:rPr>
          <w:i/>
          <w:iCs/>
          <w:lang w:val="ru-RU"/>
        </w:rPr>
        <w:t>настоятельно призывает</w:t>
      </w:r>
      <w:r>
        <w:rPr>
          <w:lang w:val="ru-RU"/>
        </w:rPr>
        <w:t xml:space="preserve"> Стороны Минаматской конвенции о ртути и предлагает государствам, которые не являются ее Сторонами, а также правительственным, межправительственным и неправительственным организациям и другим субъектам содействовать эффективному участию коренных народов, а также</w:t>
      </w:r>
      <w:r w:rsidR="005146A8" w:rsidRPr="005146A8">
        <w:rPr>
          <w:lang w:val="ru-RU"/>
        </w:rPr>
        <w:t xml:space="preserve"> </w:t>
      </w:r>
      <w:r w:rsidR="005146A8">
        <w:rPr>
          <w:lang w:val="ru-RU"/>
        </w:rPr>
        <w:t>местных общин</w:t>
      </w:r>
      <w:r>
        <w:rPr>
          <w:lang w:val="ru-RU"/>
        </w:rPr>
        <w:t xml:space="preserve">, в </w:t>
      </w:r>
      <w:r w:rsidR="005146A8">
        <w:rPr>
          <w:lang w:val="ru-RU"/>
        </w:rPr>
        <w:t xml:space="preserve">надлежащих </w:t>
      </w:r>
      <w:r>
        <w:rPr>
          <w:lang w:val="ru-RU"/>
        </w:rPr>
        <w:t xml:space="preserve">случаях, особенно из регионов, которые в непропорционально большой степени страдают от загрязнения ртутью, в работе и совещаниях в рамках Конвенции, в том числе посредством добровольных взносов в Специальный целевой фонд Конвенции; </w:t>
      </w:r>
    </w:p>
    <w:p w14:paraId="63336B29" w14:textId="77777777" w:rsidR="00107665" w:rsidRPr="00631C1C" w:rsidRDefault="00107665" w:rsidP="0094750E">
      <w:pPr>
        <w:pStyle w:val="NormalNonumber"/>
        <w:numPr>
          <w:ilvl w:val="0"/>
          <w:numId w:val="63"/>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94750E">
        <w:rPr>
          <w:i/>
          <w:iCs/>
          <w:lang w:val="ru-RU"/>
        </w:rPr>
        <w:t>поручает</w:t>
      </w:r>
      <w:r>
        <w:rPr>
          <w:lang w:val="ru-RU"/>
        </w:rPr>
        <w:t xml:space="preserve"> секретариату:</w:t>
      </w:r>
    </w:p>
    <w:p w14:paraId="46A2E7B3" w14:textId="4AC689A5" w:rsidR="00107665" w:rsidRPr="00DB6FFC" w:rsidRDefault="00107665" w:rsidP="0094750E">
      <w:pPr>
        <w:pStyle w:val="NormalNonumber"/>
        <w:numPr>
          <w:ilvl w:val="0"/>
          <w:numId w:val="64"/>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ru-RU"/>
        </w:rPr>
      </w:pPr>
      <w:r>
        <w:rPr>
          <w:lang w:val="ru-RU"/>
        </w:rPr>
        <w:t xml:space="preserve">обратиться к коренным народам, а также к местным общинам через организации коренных народов, аккредитованные при Конвенции, организации местных общин, аккредитованные при </w:t>
      </w:r>
      <w:r>
        <w:rPr>
          <w:lang w:val="ru-RU"/>
        </w:rPr>
        <w:t xml:space="preserve">Конвенции, и Международный форум коренных народов по вопросам ртути за консультацией о возможных мерах по </w:t>
      </w:r>
      <w:r w:rsidR="00C330F8">
        <w:rPr>
          <w:lang w:val="ru-RU"/>
        </w:rPr>
        <w:t xml:space="preserve">усилению </w:t>
      </w:r>
      <w:r>
        <w:rPr>
          <w:lang w:val="ru-RU"/>
        </w:rPr>
        <w:t xml:space="preserve">их эффективного </w:t>
      </w:r>
      <w:r w:rsidR="00C330F8">
        <w:rPr>
          <w:lang w:val="ru-RU"/>
        </w:rPr>
        <w:t xml:space="preserve">взаимодействия </w:t>
      </w:r>
      <w:r>
        <w:rPr>
          <w:lang w:val="ru-RU"/>
        </w:rPr>
        <w:t>в работе Конвенции и о предлагаемых дальнейших шагах;</w:t>
      </w:r>
    </w:p>
    <w:p w14:paraId="729F95C4" w14:textId="3D9B5EC6" w:rsidR="00107665" w:rsidRPr="00DB6FFC" w:rsidRDefault="00107665" w:rsidP="0094750E">
      <w:pPr>
        <w:pStyle w:val="NormalNonumber"/>
        <w:numPr>
          <w:ilvl w:val="0"/>
          <w:numId w:val="64"/>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ru-RU"/>
        </w:rPr>
      </w:pPr>
      <w:r>
        <w:rPr>
          <w:lang w:val="ru-RU"/>
        </w:rPr>
        <w:t xml:space="preserve">сообщать о возможностях для </w:t>
      </w:r>
      <w:r w:rsidR="002263E0">
        <w:rPr>
          <w:lang w:val="ru-RU"/>
        </w:rPr>
        <w:t xml:space="preserve">взаимодействия </w:t>
      </w:r>
      <w:r>
        <w:rPr>
          <w:lang w:val="ru-RU"/>
        </w:rPr>
        <w:t>и поддержки через Платформу для коренных народов;</w:t>
      </w:r>
    </w:p>
    <w:p w14:paraId="6F4174F0" w14:textId="0092012A" w:rsidR="00107665" w:rsidRPr="00DB6FFC" w:rsidRDefault="00107665" w:rsidP="0094750E">
      <w:pPr>
        <w:pStyle w:val="NormalNonumber"/>
        <w:numPr>
          <w:ilvl w:val="0"/>
          <w:numId w:val="64"/>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ru-RU"/>
        </w:rPr>
      </w:pPr>
      <w:r>
        <w:rPr>
          <w:lang w:val="ru-RU"/>
        </w:rPr>
        <w:t xml:space="preserve">сотрудничать с Управлением Верховного комиссара Организации Объединенных Наций по правам человека, секретариатом Конвенции о биологическом разнообразии и другими соответствующими организациями и заинтересованными сторонами, </w:t>
      </w:r>
      <w:r w:rsidR="000F2FD6">
        <w:rPr>
          <w:lang w:val="ru-RU"/>
        </w:rPr>
        <w:t>в надлежащих случаях</w:t>
      </w:r>
      <w:r>
        <w:rPr>
          <w:lang w:val="ru-RU"/>
        </w:rPr>
        <w:t xml:space="preserve">, для дальнейшего </w:t>
      </w:r>
      <w:r w:rsidR="002263E0">
        <w:rPr>
          <w:lang w:val="ru-RU"/>
        </w:rPr>
        <w:t xml:space="preserve">усиления </w:t>
      </w:r>
      <w:r>
        <w:rPr>
          <w:lang w:val="ru-RU"/>
        </w:rPr>
        <w:t xml:space="preserve">эффективного </w:t>
      </w:r>
      <w:r w:rsidR="002263E0">
        <w:rPr>
          <w:lang w:val="ru-RU"/>
        </w:rPr>
        <w:t xml:space="preserve">взаимодействия </w:t>
      </w:r>
      <w:r>
        <w:rPr>
          <w:lang w:val="ru-RU"/>
        </w:rPr>
        <w:t xml:space="preserve">в отношении загрязнения </w:t>
      </w:r>
      <w:r>
        <w:rPr>
          <w:lang w:val="ru-RU"/>
        </w:rPr>
        <w:t>ртутью;</w:t>
      </w:r>
    </w:p>
    <w:p w14:paraId="3D301B64" w14:textId="77777777" w:rsidR="00107665" w:rsidRPr="00DB6FFC" w:rsidRDefault="00107665" w:rsidP="0094750E">
      <w:pPr>
        <w:pStyle w:val="NormalNonumber"/>
        <w:numPr>
          <w:ilvl w:val="0"/>
          <w:numId w:val="64"/>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ru-RU"/>
        </w:rPr>
        <w:sectPr w:rsidR="00107665" w:rsidRPr="00DB6FFC" w:rsidSect="00107665">
          <w:type w:val="continuous"/>
          <w:pgSz w:w="11906" w:h="16838" w:code="9"/>
          <w:pgMar w:top="907" w:right="992" w:bottom="1418" w:left="1418" w:header="539" w:footer="975" w:gutter="0"/>
          <w:cols w:space="539"/>
          <w:docGrid w:linePitch="360"/>
        </w:sectPr>
      </w:pPr>
      <w:r>
        <w:rPr>
          <w:lang w:val="ru-RU"/>
        </w:rPr>
        <w:t>представить Конференции Сторон на ее седьмом совещании доклад об осуществлении настоящего решения.</w:t>
      </w:r>
    </w:p>
    <w:p w14:paraId="79979D12"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rPr>
          <w:lang w:val="ru-RU"/>
        </w:rPr>
      </w:pPr>
      <w:r w:rsidRPr="00DB6FFC">
        <w:rPr>
          <w:lang w:val="ru-RU"/>
        </w:rPr>
        <w:br w:type="page"/>
      </w:r>
    </w:p>
    <w:p w14:paraId="4871C243" w14:textId="0001E7B1" w:rsidR="00107665" w:rsidRPr="00A659FB" w:rsidRDefault="00A659FB" w:rsidP="0054086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64" w:name="_Toc213853073"/>
      <w:r w:rsidRPr="00A22783">
        <w:rPr>
          <w:lang w:val="ru-RU"/>
        </w:rPr>
        <w:lastRenderedPageBreak/>
        <w:tab/>
      </w:r>
      <w:bookmarkStart w:id="65" w:name="_Toc222992823"/>
      <w:r w:rsidR="00107665" w:rsidRPr="00A659FB">
        <w:rPr>
          <w:lang w:val="ru-RU"/>
        </w:rPr>
        <w:t>Решение МК-6/16. Решение вопросов здоровья женщин и детей</w:t>
      </w:r>
      <w:bookmarkEnd w:id="65"/>
      <w:r w:rsidR="00107665" w:rsidRPr="00A659FB">
        <w:rPr>
          <w:lang w:val="ru-RU"/>
        </w:rPr>
        <w:t xml:space="preserve"> </w:t>
      </w:r>
      <w:bookmarkStart w:id="66" w:name="_Toc219712814"/>
      <w:bookmarkEnd w:id="64"/>
      <w:bookmarkEnd w:id="66"/>
    </w:p>
    <w:p w14:paraId="4F364E98" w14:textId="63295933" w:rsidR="00107665" w:rsidRPr="00631C1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rPr>
      </w:pPr>
      <w:r>
        <w:rPr>
          <w:i/>
          <w:iCs/>
          <w:lang w:val="ru-RU"/>
        </w:rPr>
        <w:t>Конференция Сторон</w:t>
      </w:r>
    </w:p>
    <w:p w14:paraId="7171F748" w14:textId="374A56E0"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4750E">
        <w:rPr>
          <w:i/>
          <w:iCs/>
          <w:lang w:val="ru-RU"/>
        </w:rPr>
        <w:t>с удовлетворением принимает к сведению</w:t>
      </w:r>
      <w:r>
        <w:rPr>
          <w:lang w:val="ru-RU"/>
        </w:rPr>
        <w:t xml:space="preserve"> мероприятия, осуществленные секретариатом, Сторонами и другими заинтересованными субъектами в течение двухгодичного периода 2024–2025 годов, как было предложено в решении МК-5/15 о плане действий по гендерным вопросам, включая мероприятия для решения вопросов здоровья женщин и детей;</w:t>
      </w:r>
    </w:p>
    <w:p w14:paraId="3C286BBC" w14:textId="0546B92B"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4750E">
        <w:rPr>
          <w:i/>
          <w:iCs/>
          <w:lang w:val="ru-RU"/>
        </w:rPr>
        <w:t>предлагает</w:t>
      </w:r>
      <w:r>
        <w:rPr>
          <w:lang w:val="ru-RU"/>
        </w:rPr>
        <w:t xml:space="preserve"> Сторонам продолжать осуществлять решение МК-5/15 о плане действий по гендерным вопросам, включая решение вопросов здоровья женщин и детей в течение двухгодичного периода 2026–2027 годов</w:t>
      </w:r>
      <w:r w:rsidR="00AC603D" w:rsidRPr="00631C1C">
        <w:rPr>
          <w:rStyle w:val="FootnoteReference"/>
          <w:rFonts w:cstheme="majorBidi"/>
          <w:lang w:val="ru-RU"/>
        </w:rPr>
        <w:footnoteReference w:id="24"/>
      </w:r>
      <w:r>
        <w:rPr>
          <w:lang w:val="ru-RU"/>
        </w:rPr>
        <w:t xml:space="preserve"> и представлять секретариату информацию об их опыте и передовых методах в этой области;</w:t>
      </w:r>
    </w:p>
    <w:p w14:paraId="75B9D865" w14:textId="746161B6"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4750E">
        <w:rPr>
          <w:i/>
          <w:iCs/>
          <w:lang w:val="ru-RU"/>
        </w:rPr>
        <w:t>предлагает также</w:t>
      </w:r>
      <w:r>
        <w:rPr>
          <w:lang w:val="ru-RU"/>
        </w:rPr>
        <w:t xml:space="preserve"> Сторонам представлять, </w:t>
      </w:r>
      <w:r w:rsidR="0006102E">
        <w:rPr>
          <w:lang w:val="ru-RU"/>
        </w:rPr>
        <w:t xml:space="preserve">в </w:t>
      </w:r>
      <w:r w:rsidR="007F1077">
        <w:rPr>
          <w:lang w:val="ru-RU"/>
        </w:rPr>
        <w:t>надлежащи</w:t>
      </w:r>
      <w:r w:rsidR="0006102E">
        <w:rPr>
          <w:lang w:val="ru-RU"/>
        </w:rPr>
        <w:t>х случаях</w:t>
      </w:r>
      <w:r>
        <w:rPr>
          <w:lang w:val="ru-RU"/>
        </w:rPr>
        <w:t xml:space="preserve">, замечания в отношении возможных мероприятий, которые секретариат, Стороны и другие заинтересованные субъекты будут проводить в течение двухгодичного периода </w:t>
      </w:r>
      <w:r w:rsidR="0094750E">
        <w:rPr>
          <w:lang w:val="ru-RU"/>
        </w:rPr>
        <w:t>2028</w:t>
      </w:r>
      <w:r w:rsidR="0094750E" w:rsidRPr="0094750E">
        <w:rPr>
          <w:lang w:val="ru-RU"/>
        </w:rPr>
        <w:noBreakHyphen/>
      </w:r>
      <w:r w:rsidR="0094750E">
        <w:rPr>
          <w:lang w:val="ru-RU"/>
        </w:rPr>
        <w:t>2029</w:t>
      </w:r>
      <w:r w:rsidR="0094750E">
        <w:rPr>
          <w:lang w:val="en-US"/>
        </w:rPr>
        <w:t> </w:t>
      </w:r>
      <w:r>
        <w:rPr>
          <w:lang w:val="ru-RU"/>
        </w:rPr>
        <w:t>годов;</w:t>
      </w:r>
    </w:p>
    <w:p w14:paraId="75AF975E" w14:textId="34D7411A"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4750E">
        <w:rPr>
          <w:i/>
          <w:iCs/>
          <w:lang w:val="ru-RU"/>
        </w:rPr>
        <w:t>поручает</w:t>
      </w:r>
      <w:r>
        <w:rPr>
          <w:lang w:val="ru-RU"/>
        </w:rPr>
        <w:t xml:space="preserve"> секретариату проводить мероприятия в течение двухгодичного периода 2026–2027 годов</w:t>
      </w:r>
      <w:r w:rsidR="004F7BAC" w:rsidRPr="00C14CF0">
        <w:rPr>
          <w:rStyle w:val="FootnoteReference"/>
          <w:rFonts w:asciiTheme="majorBidi" w:hAnsiTheme="majorBidi" w:cstheme="majorBidi"/>
          <w:lang w:val="ru-RU"/>
        </w:rPr>
        <w:footnoteReference w:id="25"/>
      </w:r>
      <w:r w:rsidR="00CF489F">
        <w:rPr>
          <w:lang w:val="ru-RU"/>
        </w:rPr>
        <w:t>,</w:t>
      </w:r>
      <w:r>
        <w:rPr>
          <w:lang w:val="ru-RU"/>
        </w:rPr>
        <w:t xml:space="preserve"> при наличии ресурсов; </w:t>
      </w:r>
    </w:p>
    <w:p w14:paraId="6C4EFAF0" w14:textId="56EE6D4A" w:rsidR="00107665" w:rsidRPr="00DB6FFC" w:rsidRDefault="00107665" w:rsidP="0094750E">
      <w:pPr>
        <w:pStyle w:val="Normal-pool"/>
        <w:numPr>
          <w:ilvl w:val="0"/>
          <w:numId w:val="6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sectPr w:rsidR="00107665" w:rsidRPr="00DB6FFC" w:rsidSect="00107665">
          <w:footnotePr>
            <w:numRestart w:val="eachSect"/>
          </w:footnotePr>
          <w:type w:val="continuous"/>
          <w:pgSz w:w="11906" w:h="16838" w:code="9"/>
          <w:pgMar w:top="907" w:right="992" w:bottom="1418" w:left="1418" w:header="539" w:footer="975" w:gutter="0"/>
          <w:cols w:space="539"/>
          <w:docGrid w:linePitch="360"/>
        </w:sectPr>
      </w:pPr>
      <w:r w:rsidRPr="0094750E">
        <w:rPr>
          <w:i/>
          <w:iCs/>
          <w:lang w:val="ru-RU"/>
        </w:rPr>
        <w:t>поручает также</w:t>
      </w:r>
      <w:r>
        <w:rPr>
          <w:lang w:val="ru-RU"/>
        </w:rPr>
        <w:t xml:space="preserve"> секретариату представить Конференции Сторон доклад об осуществлении настоящего решения и предложить возможные мероприятия для осуществления секретариатом, Сторонами и другими заинтересованными субъектами в течение двухгодичного периода 2028–2029 годов, </w:t>
      </w:r>
      <w:r w:rsidR="0006102E">
        <w:rPr>
          <w:lang w:val="ru-RU"/>
        </w:rPr>
        <w:t>в надлежащих случаях</w:t>
      </w:r>
      <w:r>
        <w:rPr>
          <w:lang w:val="ru-RU"/>
        </w:rPr>
        <w:t>, для рассмотрения Конференцией на ее седьмом совещании.</w:t>
      </w:r>
    </w:p>
    <w:p w14:paraId="2CFDCAE4" w14:textId="77777777" w:rsidR="00107665" w:rsidRPr="00DB6FFC" w:rsidRDefault="00107665" w:rsidP="0094750E">
      <w:pPr>
        <w:tabs>
          <w:tab w:val="clear" w:pos="1247"/>
          <w:tab w:val="clear" w:pos="1814"/>
          <w:tab w:val="clear" w:pos="2381"/>
          <w:tab w:val="clear" w:pos="2948"/>
          <w:tab w:val="clear" w:pos="3515"/>
        </w:tabs>
        <w:spacing w:after="160" w:line="278" w:lineRule="auto"/>
        <w:rPr>
          <w:rFonts w:asciiTheme="majorBidi" w:hAnsiTheme="majorBidi" w:cstheme="majorBidi"/>
          <w:lang w:val="ru-RU"/>
        </w:rPr>
      </w:pPr>
      <w:r w:rsidRPr="00DB6FFC">
        <w:rPr>
          <w:rFonts w:asciiTheme="majorBidi" w:hAnsiTheme="majorBidi" w:cstheme="majorBidi"/>
          <w:lang w:val="ru-RU"/>
        </w:rPr>
        <w:br w:type="page"/>
      </w:r>
    </w:p>
    <w:p w14:paraId="1F5D507E" w14:textId="50DD8F96" w:rsidR="00107665" w:rsidRPr="00777A28" w:rsidRDefault="00107665" w:rsidP="0054086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67" w:name="_Toc213853074"/>
      <w:r>
        <w:rPr>
          <w:lang w:val="ru-RU"/>
        </w:rPr>
        <w:lastRenderedPageBreak/>
        <w:tab/>
      </w:r>
      <w:bookmarkStart w:id="68" w:name="_Toc222992824"/>
      <w:r w:rsidRPr="00777A28">
        <w:rPr>
          <w:lang w:val="ru-RU"/>
        </w:rPr>
        <w:t>Решение МК-6/17. Менеджмент знаний и осуществление цифровой стратегии</w:t>
      </w:r>
      <w:bookmarkStart w:id="69" w:name="_Toc219712815"/>
      <w:bookmarkEnd w:id="67"/>
      <w:bookmarkEnd w:id="68"/>
      <w:bookmarkEnd w:id="69"/>
    </w:p>
    <w:p w14:paraId="59E5A612"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ru-RU"/>
        </w:rPr>
      </w:pPr>
      <w:r w:rsidRPr="0094750E">
        <w:rPr>
          <w:i/>
          <w:iCs/>
          <w:lang w:val="ru-RU"/>
        </w:rPr>
        <w:t>Конференция</w:t>
      </w:r>
      <w:r>
        <w:rPr>
          <w:i/>
          <w:iCs/>
          <w:lang w:val="ru-RU"/>
        </w:rPr>
        <w:t xml:space="preserve"> Сторон,</w:t>
      </w:r>
    </w:p>
    <w:p w14:paraId="5A20F87F"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5C23E3">
        <w:rPr>
          <w:i/>
          <w:iCs/>
          <w:lang w:val="ru-RU"/>
        </w:rPr>
        <w:t>ссылаясь</w:t>
      </w:r>
      <w:r>
        <w:rPr>
          <w:lang w:val="ru-RU"/>
        </w:rPr>
        <w:t xml:space="preserve"> на цифровую стратегию для Минаматской конвенции о ртути</w:t>
      </w:r>
      <w:r>
        <w:rPr>
          <w:rStyle w:val="FootnoteReference"/>
          <w:rFonts w:cstheme="majorBidi"/>
          <w:lang w:val="ru-RU"/>
        </w:rPr>
        <w:footnoteReference w:id="26"/>
      </w:r>
      <w:r>
        <w:rPr>
          <w:lang w:val="ru-RU"/>
        </w:rPr>
        <w:t>, с удовлетворением отмеченную в решении МК-5/16, которая будет направлять работу секретариата по использованию технологий и эффективному менеджменту знаний в поддержку осуществления Конвенции,</w:t>
      </w:r>
    </w:p>
    <w:p w14:paraId="3DEA18EC" w14:textId="262E246D"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5C23E3">
        <w:rPr>
          <w:i/>
          <w:iCs/>
          <w:lang w:val="ru-RU"/>
        </w:rPr>
        <w:t>подчеркивая</w:t>
      </w:r>
      <w:r>
        <w:rPr>
          <w:lang w:val="ru-RU"/>
        </w:rPr>
        <w:t xml:space="preserve"> преимущества цифровизации для менеджмента знаний и создания потенциала с целью активизации прогресса в достижении целей Конвенции в соответствии с перспективным видением, представленным в концепции «Организация Объединенных Наций</w:t>
      </w:r>
      <w:r w:rsidR="003A54A6">
        <w:rPr>
          <w:lang w:val="ru-RU"/>
        </w:rPr>
        <w:t> </w:t>
      </w:r>
      <w:r>
        <w:rPr>
          <w:lang w:val="ru-RU"/>
        </w:rPr>
        <w:t>2.0», которой предусматривается содействие инновациям, сотрудничеству и цифровой культуре в рамках всей системы Организации Объединенных Наций,</w:t>
      </w:r>
    </w:p>
    <w:p w14:paraId="58CAE814"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5C23E3">
        <w:rPr>
          <w:i/>
          <w:iCs/>
          <w:lang w:val="ru-RU"/>
        </w:rPr>
        <w:t>признавая</w:t>
      </w:r>
      <w:r>
        <w:rPr>
          <w:lang w:val="ru-RU"/>
        </w:rPr>
        <w:t xml:space="preserve"> необходимость обмена информацией в соответствии со статьями 17 и 24 Конвенции для содействия сотрудничеству в области обмена информацией между Сторонами и соответствующими заинтересованными субъектами,</w:t>
      </w:r>
    </w:p>
    <w:p w14:paraId="7B363901"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1.</w:t>
      </w:r>
      <w:r>
        <w:rPr>
          <w:lang w:val="ru-RU"/>
        </w:rPr>
        <w:tab/>
      </w:r>
      <w:r w:rsidRPr="005C23E3">
        <w:rPr>
          <w:i/>
          <w:iCs/>
          <w:lang w:val="ru-RU"/>
        </w:rPr>
        <w:t>с удовлетворением отмечает</w:t>
      </w:r>
      <w:r>
        <w:rPr>
          <w:lang w:val="ru-RU"/>
        </w:rPr>
        <w:t xml:space="preserve"> прогресс, достигнутый секретариатом в осуществлении цифровой стратегии в течение двухгодичного периода 2024–2025 годов</w:t>
      </w:r>
      <w:r w:rsidRPr="00631C1C">
        <w:rPr>
          <w:rFonts w:asciiTheme="majorBidi" w:hAnsiTheme="majorBidi" w:cstheme="majorBidi"/>
          <w:shd w:val="clear" w:color="auto" w:fill="FFFFFF"/>
          <w:vertAlign w:val="superscript"/>
          <w:lang w:val="ru-RU"/>
        </w:rPr>
        <w:footnoteReference w:id="27"/>
      </w:r>
      <w:r>
        <w:rPr>
          <w:lang w:val="ru-RU"/>
        </w:rPr>
        <w:t>;</w:t>
      </w:r>
    </w:p>
    <w:p w14:paraId="6A35D139"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2.</w:t>
      </w:r>
      <w:r>
        <w:rPr>
          <w:lang w:val="ru-RU"/>
        </w:rPr>
        <w:tab/>
      </w:r>
      <w:r w:rsidRPr="005C23E3">
        <w:rPr>
          <w:i/>
          <w:iCs/>
          <w:lang w:val="ru-RU"/>
        </w:rPr>
        <w:t>поручает</w:t>
      </w:r>
      <w:r>
        <w:rPr>
          <w:lang w:val="ru-RU"/>
        </w:rPr>
        <w:t xml:space="preserve"> секретариату продолжать осуществление цифровой стратегии в соответствии с программой работы и бюджетом для Минаматской конвенции о ртути на двухгодичный период 2026–2027 годов и определить приоритетность соответствующих мероприятий для постепенного продвижения стратегии в ходе будущих двухгодичных периодов, включая потенциал для использования искусственного интеллекта;</w:t>
      </w:r>
    </w:p>
    <w:p w14:paraId="2DA86D45"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3.</w:t>
      </w:r>
      <w:r>
        <w:rPr>
          <w:lang w:val="ru-RU"/>
        </w:rPr>
        <w:tab/>
      </w:r>
      <w:r w:rsidRPr="005C23E3">
        <w:rPr>
          <w:i/>
          <w:iCs/>
          <w:lang w:val="ru-RU"/>
        </w:rPr>
        <w:t>признает</w:t>
      </w:r>
      <w:r>
        <w:rPr>
          <w:lang w:val="ru-RU"/>
        </w:rPr>
        <w:t xml:space="preserve"> веб-сайт Конвенции в качестве основного источника общедоступной информации и знаний о Конвенции и поручает секретариату обновлять его в соответствии с цифровой стратегией;</w:t>
      </w:r>
    </w:p>
    <w:p w14:paraId="3174C9AF"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4.</w:t>
      </w:r>
      <w:r>
        <w:rPr>
          <w:lang w:val="ru-RU"/>
        </w:rPr>
        <w:tab/>
      </w:r>
      <w:r w:rsidRPr="005C23E3">
        <w:rPr>
          <w:i/>
          <w:iCs/>
          <w:lang w:val="ru-RU"/>
        </w:rPr>
        <w:t>постановляет</w:t>
      </w:r>
      <w:r>
        <w:rPr>
          <w:lang w:val="ru-RU"/>
        </w:rPr>
        <w:t xml:space="preserve"> поддержать разработку Платформы обмена информацией в рамках Минаматской конвенции в качестве </w:t>
      </w:r>
      <w:proofErr w:type="spellStart"/>
      <w:r>
        <w:rPr>
          <w:lang w:val="ru-RU"/>
        </w:rPr>
        <w:t>затратоэффективного</w:t>
      </w:r>
      <w:proofErr w:type="spellEnd"/>
      <w:r>
        <w:rPr>
          <w:lang w:val="ru-RU"/>
        </w:rPr>
        <w:t xml:space="preserve"> и транспарентного средства для обмена информацией в соответствии со статьями 17 и 24, при наличии ресурсов;</w:t>
      </w:r>
    </w:p>
    <w:p w14:paraId="6869FB57" w14:textId="5EE4A563"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5.</w:t>
      </w:r>
      <w:r>
        <w:rPr>
          <w:lang w:val="ru-RU"/>
        </w:rPr>
        <w:tab/>
      </w:r>
      <w:r w:rsidRPr="005C23E3">
        <w:rPr>
          <w:i/>
          <w:iCs/>
          <w:lang w:val="ru-RU"/>
        </w:rPr>
        <w:t>призывает</w:t>
      </w:r>
      <w:r>
        <w:rPr>
          <w:lang w:val="ru-RU"/>
        </w:rPr>
        <w:t xml:space="preserve"> секретариат</w:t>
      </w:r>
      <w:r w:rsidR="005233BB">
        <w:rPr>
          <w:lang w:val="ru-RU"/>
        </w:rPr>
        <w:t>,</w:t>
      </w:r>
      <w:r>
        <w:rPr>
          <w:lang w:val="ru-RU"/>
        </w:rPr>
        <w:t xml:space="preserve"> при наличии ресурсов</w:t>
      </w:r>
      <w:r w:rsidR="005233BB">
        <w:rPr>
          <w:lang w:val="ru-RU"/>
        </w:rPr>
        <w:t>,</w:t>
      </w:r>
      <w:r>
        <w:rPr>
          <w:lang w:val="ru-RU"/>
        </w:rPr>
        <w:t xml:space="preserve"> продолжать сотрудничество и координацию с Глобальным партнерством по ртути для популяризации совместных инициатив по обмену знаниями о связанных с ртутью вопросах, включая совместную разработку дата</w:t>
      </w:r>
      <w:r w:rsidR="0065329A">
        <w:rPr>
          <w:lang w:val="ru-RU"/>
        </w:rPr>
        <w:noBreakHyphen/>
      </w:r>
      <w:r>
        <w:rPr>
          <w:lang w:val="ru-RU"/>
        </w:rPr>
        <w:t>продуктов, коммуникационных инструментов и платформ знаний, обеспечивая при этом взаимодополняемость;</w:t>
      </w:r>
    </w:p>
    <w:p w14:paraId="44DC1E5C"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6.</w:t>
      </w:r>
      <w:r>
        <w:rPr>
          <w:lang w:val="ru-RU"/>
        </w:rPr>
        <w:tab/>
      </w:r>
      <w:r w:rsidRPr="005C23E3">
        <w:rPr>
          <w:i/>
          <w:iCs/>
          <w:lang w:val="ru-RU"/>
        </w:rPr>
        <w:t>поручает</w:t>
      </w:r>
      <w:r>
        <w:rPr>
          <w:lang w:val="ru-RU"/>
        </w:rPr>
        <w:t xml:space="preserve"> секретариату продолжать сотрудничество в области менеджмента знаний, цифровизации и обмена информацией с секретариатами других многосторонних природоохранных соглашений и другими партнерами, включая инициативу «Информационный портал Организации Объединенных Наций по многосторонним природоохранным соглашениям (</w:t>
      </w:r>
      <w:proofErr w:type="spellStart"/>
      <w:r>
        <w:rPr>
          <w:lang w:val="ru-RU"/>
        </w:rPr>
        <w:t>ИнфорМПС</w:t>
      </w:r>
      <w:proofErr w:type="spellEnd"/>
      <w:r>
        <w:rPr>
          <w:lang w:val="ru-RU"/>
        </w:rPr>
        <w:t>)»;</w:t>
      </w:r>
    </w:p>
    <w:p w14:paraId="4B857C86"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7.</w:t>
      </w:r>
      <w:r>
        <w:rPr>
          <w:lang w:val="ru-RU"/>
        </w:rPr>
        <w:tab/>
      </w:r>
      <w:r w:rsidRPr="005C23E3">
        <w:rPr>
          <w:i/>
          <w:iCs/>
          <w:lang w:val="ru-RU"/>
        </w:rPr>
        <w:t>также поручает</w:t>
      </w:r>
      <w:r>
        <w:rPr>
          <w:lang w:val="ru-RU"/>
        </w:rPr>
        <w:t xml:space="preserve"> секретариату продолжать сотрудничество с секретариатом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для обмена информацией, опытом и передовыми методами в области менеджмента знаний и цифровизации;</w:t>
      </w:r>
    </w:p>
    <w:p w14:paraId="5B06F6FF"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sectPr w:rsidR="00107665" w:rsidRPr="00DB6FFC" w:rsidSect="00107665">
          <w:footnotePr>
            <w:numRestart w:val="eachSect"/>
          </w:footnotePr>
          <w:type w:val="continuous"/>
          <w:pgSz w:w="11906" w:h="16838" w:code="9"/>
          <w:pgMar w:top="907" w:right="992" w:bottom="1418" w:left="1418" w:header="539" w:footer="975" w:gutter="0"/>
          <w:cols w:space="539"/>
          <w:docGrid w:linePitch="360"/>
        </w:sectPr>
      </w:pPr>
      <w:r>
        <w:rPr>
          <w:lang w:val="ru-RU"/>
        </w:rPr>
        <w:t>8.</w:t>
      </w:r>
      <w:r>
        <w:rPr>
          <w:lang w:val="ru-RU"/>
        </w:rPr>
        <w:tab/>
      </w:r>
      <w:r w:rsidRPr="005C23E3">
        <w:rPr>
          <w:i/>
          <w:iCs/>
          <w:lang w:val="ru-RU"/>
        </w:rPr>
        <w:t>также поручает</w:t>
      </w:r>
      <w:r>
        <w:rPr>
          <w:lang w:val="ru-RU"/>
        </w:rPr>
        <w:t xml:space="preserve"> секретариату представить Конференции Сторон на ее седьмом совещании доклад о ходе работы по осуществлению цифровой стратегии.</w:t>
      </w:r>
    </w:p>
    <w:p w14:paraId="353E7811" w14:textId="77777777" w:rsidR="00107665" w:rsidRPr="00DB6FFC" w:rsidRDefault="00107665" w:rsidP="0094750E">
      <w:pPr>
        <w:tabs>
          <w:tab w:val="clear" w:pos="1247"/>
          <w:tab w:val="clear" w:pos="1814"/>
          <w:tab w:val="clear" w:pos="2381"/>
          <w:tab w:val="clear" w:pos="2948"/>
          <w:tab w:val="clear" w:pos="3515"/>
        </w:tabs>
        <w:spacing w:after="160" w:line="278" w:lineRule="auto"/>
        <w:rPr>
          <w:rFonts w:asciiTheme="majorBidi" w:hAnsiTheme="majorBidi" w:cstheme="majorBidi"/>
          <w:lang w:val="ru-RU"/>
        </w:rPr>
      </w:pPr>
      <w:r w:rsidRPr="00DB6FFC">
        <w:rPr>
          <w:rFonts w:asciiTheme="majorBidi" w:hAnsiTheme="majorBidi" w:cstheme="majorBidi"/>
          <w:lang w:val="ru-RU"/>
        </w:rPr>
        <w:br w:type="page"/>
      </w:r>
    </w:p>
    <w:p w14:paraId="3890FF70" w14:textId="46426972" w:rsidR="00107665" w:rsidRPr="00B560F3" w:rsidRDefault="00B560F3" w:rsidP="0054086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70" w:name="_Toc213853075"/>
      <w:r w:rsidRPr="00A22783">
        <w:rPr>
          <w:lang w:val="ru-RU"/>
        </w:rPr>
        <w:lastRenderedPageBreak/>
        <w:tab/>
      </w:r>
      <w:bookmarkStart w:id="71" w:name="_Toc222992825"/>
      <w:r w:rsidR="00107665" w:rsidRPr="00B560F3">
        <w:rPr>
          <w:lang w:val="ru-RU"/>
        </w:rPr>
        <w:t xml:space="preserve">Решение MК-6/18. «Дорожная карта» для расширения сопутствующих выгод при осуществлении Минаматской конвенции и </w:t>
      </w:r>
      <w:proofErr w:type="spellStart"/>
      <w:r w:rsidR="00107665" w:rsidRPr="00B560F3">
        <w:rPr>
          <w:lang w:val="ru-RU"/>
        </w:rPr>
        <w:t>Куньминско</w:t>
      </w:r>
      <w:proofErr w:type="spellEnd"/>
      <w:r w:rsidR="00107665" w:rsidRPr="00B560F3">
        <w:rPr>
          <w:lang w:val="ru-RU"/>
        </w:rPr>
        <w:t>-Монреальской глобальной рамочной программы в области биоразнообразия</w:t>
      </w:r>
      <w:bookmarkStart w:id="72" w:name="_Toc219712816"/>
      <w:bookmarkEnd w:id="70"/>
      <w:bookmarkEnd w:id="71"/>
      <w:bookmarkEnd w:id="72"/>
    </w:p>
    <w:p w14:paraId="2DA44EAB"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i/>
          <w:iCs/>
          <w:shd w:val="clear" w:color="auto" w:fill="FFFFFF"/>
          <w:lang w:val="ru-RU"/>
        </w:rPr>
      </w:pPr>
      <w:r>
        <w:rPr>
          <w:i/>
          <w:iCs/>
          <w:lang w:val="ru-RU"/>
        </w:rPr>
        <w:t>Конференция Сторон,</w:t>
      </w:r>
    </w:p>
    <w:p w14:paraId="136ACDF1" w14:textId="623D60DE"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с удовлетворением отмечая</w:t>
      </w:r>
      <w:r>
        <w:rPr>
          <w:lang w:val="ru-RU"/>
        </w:rPr>
        <w:t xml:space="preserve"> работу секретариата во исполнение решения MК-5/17 </w:t>
      </w:r>
      <w:r w:rsidR="006118D2">
        <w:rPr>
          <w:lang w:val="ru-RU"/>
        </w:rPr>
        <w:t>«</w:t>
      </w:r>
      <w:r w:rsidR="006118D2" w:rsidRPr="00B560F3">
        <w:rPr>
          <w:lang w:val="ru-RU"/>
        </w:rPr>
        <w:t xml:space="preserve">Ртуть и </w:t>
      </w:r>
      <w:proofErr w:type="spellStart"/>
      <w:r w:rsidR="006118D2" w:rsidRPr="00B560F3">
        <w:rPr>
          <w:lang w:val="ru-RU"/>
        </w:rPr>
        <w:t>Куньминско</w:t>
      </w:r>
      <w:proofErr w:type="spellEnd"/>
      <w:r w:rsidR="006118D2" w:rsidRPr="00B560F3">
        <w:rPr>
          <w:lang w:val="ru-RU"/>
        </w:rPr>
        <w:t>-Монреальская глобальная рамочная программа в области биоразнообразия</w:t>
      </w:r>
      <w:r w:rsidR="006118D2">
        <w:rPr>
          <w:lang w:val="ru-RU"/>
        </w:rPr>
        <w:t>»</w:t>
      </w:r>
      <w:r>
        <w:rPr>
          <w:lang w:val="ru-RU"/>
        </w:rPr>
        <w:t>, включая материалы, подготовленные в ответ на призывы Исполнительного секретаря Конвенции о биологическом разнообразии о предоставлении информации об индикаторах, о чем сообщалось Конференции Сторон Минаматской конвенции на ее шестом совещании,</w:t>
      </w:r>
    </w:p>
    <w:p w14:paraId="036B4589"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pPr>
      <w:r w:rsidRPr="002D3800">
        <w:rPr>
          <w:i/>
          <w:iCs/>
          <w:lang w:val="ru-RU"/>
        </w:rPr>
        <w:t>принимая во внимание</w:t>
      </w:r>
      <w:r>
        <w:rPr>
          <w:lang w:val="ru-RU"/>
        </w:rPr>
        <w:t xml:space="preserve"> предложение Конференции Сторон Конвенции о биологическом разнообразии в ее решении 16/35, обращенное к Конференции Сторон Минаматской конвенции, а также к руководящим органам других конвенций по химическим веществам и отходам, Продовольственной и сельскохозяйственной организации Объединенных Наций и другим соответствующим конвенциям и организациям, включая Глобальную рамочную программу по химическим веществам «Ради планеты, свободной от вредного воздействия химических веществ и отходов», сотрудничать с тремя Рио-де-</w:t>
      </w:r>
      <w:proofErr w:type="spellStart"/>
      <w:r>
        <w:rPr>
          <w:lang w:val="ru-RU"/>
        </w:rPr>
        <w:t>Жанейрскими</w:t>
      </w:r>
      <w:proofErr w:type="spellEnd"/>
      <w:r>
        <w:rPr>
          <w:lang w:val="ru-RU"/>
        </w:rPr>
        <w:t xml:space="preserve"> конвенциями с целью решения задачи 7 Рамочной программы, касающейся сокращения загрязнения до уровней, не наносящих вреда биоразнообразию, </w:t>
      </w:r>
    </w:p>
    <w:p w14:paraId="455747F9"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с признательностью отмечая</w:t>
      </w:r>
      <w:r>
        <w:rPr>
          <w:lang w:val="ru-RU"/>
        </w:rPr>
        <w:t xml:space="preserve"> работу, проводимую при содействии Программы Организации Объединенных Наций по окружающей среде в рамках Бернского процесса, включая итоги третьей конференции в рамках этого процесса</w:t>
      </w:r>
      <w:r w:rsidRPr="00E8757C">
        <w:rPr>
          <w:rStyle w:val="FootnoteReference"/>
          <w:rFonts w:cstheme="majorBidi"/>
          <w:lang w:val="ru-RU"/>
        </w:rPr>
        <w:footnoteReference w:id="28"/>
      </w:r>
      <w:r>
        <w:rPr>
          <w:lang w:val="ru-RU"/>
        </w:rPr>
        <w:t>,</w:t>
      </w:r>
    </w:p>
    <w:p w14:paraId="407105EE" w14:textId="77777777"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pPr>
      <w:r w:rsidRPr="002D3800">
        <w:rPr>
          <w:i/>
          <w:iCs/>
          <w:lang w:val="ru-RU"/>
        </w:rPr>
        <w:t>приветствует</w:t>
      </w:r>
      <w:r>
        <w:rPr>
          <w:lang w:val="ru-RU"/>
        </w:rPr>
        <w:t xml:space="preserve"> «дорожную карту» для расширения сопутствующих выгод при осуществлении Минаматской конвенции о ртути и </w:t>
      </w:r>
      <w:proofErr w:type="spellStart"/>
      <w:r>
        <w:rPr>
          <w:lang w:val="ru-RU"/>
        </w:rPr>
        <w:t>Куньминско</w:t>
      </w:r>
      <w:proofErr w:type="spellEnd"/>
      <w:r>
        <w:rPr>
          <w:lang w:val="ru-RU"/>
        </w:rPr>
        <w:t>-Монреальской глобальной рамочной программы в области биоразнообразия до 2030 года</w:t>
      </w:r>
      <w:r w:rsidRPr="00631C1C">
        <w:rPr>
          <w:rFonts w:asciiTheme="majorBidi" w:hAnsiTheme="majorBidi" w:cstheme="majorBidi"/>
          <w:shd w:val="clear" w:color="auto" w:fill="FFFFFF"/>
          <w:vertAlign w:val="superscript"/>
          <w:lang w:val="ru-RU"/>
        </w:rPr>
        <w:footnoteReference w:id="29"/>
      </w:r>
      <w:r>
        <w:rPr>
          <w:lang w:val="ru-RU"/>
        </w:rPr>
        <w:t>, подготовленную секретариатом в соответствии с решением МК-5/17;</w:t>
      </w:r>
    </w:p>
    <w:p w14:paraId="4AFD5992" w14:textId="7383A265"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pPr>
      <w:r w:rsidRPr="002D3800">
        <w:rPr>
          <w:i/>
          <w:iCs/>
          <w:lang w:val="ru-RU"/>
        </w:rPr>
        <w:t>призывает</w:t>
      </w:r>
      <w:r>
        <w:rPr>
          <w:lang w:val="ru-RU"/>
        </w:rPr>
        <w:t xml:space="preserve"> Стороны и другие соответствующие заинтересованные субъекты, </w:t>
      </w:r>
      <w:r w:rsidR="001F7C84">
        <w:rPr>
          <w:lang w:val="ru-RU"/>
        </w:rPr>
        <w:t>в надлежащ</w:t>
      </w:r>
      <w:r w:rsidR="00971C4A">
        <w:rPr>
          <w:lang w:val="ru-RU"/>
        </w:rPr>
        <w:t>их случаях</w:t>
      </w:r>
      <w:r>
        <w:rPr>
          <w:lang w:val="ru-RU"/>
        </w:rPr>
        <w:t>, осуществлять меры, предложенные в «дорожной карте», на добровольной основе, в соответствии с национальными приоритетами, обстоятельствами и возможностями и под руководством национальных правительств;</w:t>
      </w:r>
    </w:p>
    <w:p w14:paraId="74621545" w14:textId="1FE9BC0E"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pPr>
      <w:r w:rsidRPr="002D3800">
        <w:rPr>
          <w:i/>
          <w:iCs/>
          <w:lang w:val="ru-RU"/>
        </w:rPr>
        <w:t>призывает</w:t>
      </w:r>
      <w:r>
        <w:rPr>
          <w:lang w:val="ru-RU"/>
        </w:rPr>
        <w:t xml:space="preserve"> Стороны и предлагает другим правительствам, представившим уведомления в соответствии с пунктом 3 статьи 7 о кустарной и мелкомасштабной золотодобыче, использовать подготовленный секретариатом вспомогательный технический документ об интеграции мер по сокращению загрязнения ртутью в результате кустарной и мелкомасштабной золотодобычи в национальные стратегии и планы действий в области биоразнообразия, согласованные с </w:t>
      </w:r>
      <w:proofErr w:type="spellStart"/>
      <w:r>
        <w:rPr>
          <w:lang w:val="ru-RU"/>
        </w:rPr>
        <w:t>Куньминско</w:t>
      </w:r>
      <w:proofErr w:type="spellEnd"/>
      <w:r>
        <w:rPr>
          <w:lang w:val="ru-RU"/>
        </w:rPr>
        <w:t>-Монреальской глобальной рамочной программой в области биоразнообразия</w:t>
      </w:r>
      <w:r w:rsidRPr="00631C1C">
        <w:rPr>
          <w:rStyle w:val="FootnoteReference"/>
          <w:rFonts w:cstheme="majorBidi"/>
          <w:lang w:val="ru-RU"/>
        </w:rPr>
        <w:footnoteReference w:id="30"/>
      </w:r>
      <w:r>
        <w:rPr>
          <w:lang w:val="ru-RU"/>
        </w:rPr>
        <w:t xml:space="preserve">, </w:t>
      </w:r>
      <w:r w:rsidR="00A11321">
        <w:rPr>
          <w:lang w:val="ru-RU"/>
        </w:rPr>
        <w:t xml:space="preserve">в </w:t>
      </w:r>
      <w:r w:rsidR="009D1CF6">
        <w:rPr>
          <w:lang w:val="ru-RU"/>
        </w:rPr>
        <w:t>надлежащи</w:t>
      </w:r>
      <w:r w:rsidR="00A11321">
        <w:rPr>
          <w:lang w:val="ru-RU"/>
        </w:rPr>
        <w:t>х</w:t>
      </w:r>
      <w:r w:rsidR="009D1CF6">
        <w:rPr>
          <w:lang w:val="ru-RU"/>
        </w:rPr>
        <w:t xml:space="preserve"> </w:t>
      </w:r>
      <w:r w:rsidR="00A11321">
        <w:rPr>
          <w:lang w:val="ru-RU"/>
        </w:rPr>
        <w:t>случаях</w:t>
      </w:r>
      <w:r>
        <w:rPr>
          <w:lang w:val="ru-RU"/>
        </w:rPr>
        <w:t xml:space="preserve"> и без ущерба для национальных обстоятельств и директивных механизмов;</w:t>
      </w:r>
    </w:p>
    <w:p w14:paraId="71D6F319" w14:textId="77777777" w:rsidR="00107665" w:rsidRPr="00631C1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rPr>
      </w:pPr>
      <w:r w:rsidRPr="002D3800">
        <w:rPr>
          <w:i/>
          <w:iCs/>
          <w:lang w:val="ru-RU"/>
        </w:rPr>
        <w:t>приветствует</w:t>
      </w:r>
      <w:r>
        <w:rPr>
          <w:lang w:val="ru-RU"/>
        </w:rPr>
        <w:t xml:space="preserve"> решение Конференции Сторон Конвенции о биологическом разнообразии предложить Межправительственной научно-политической платформе по биоразнообразию и экосистемным услугам рассмотреть вопрос о включении оценки загрязнения и биоразнообразия в ее скользящую программу работы</w:t>
      </w:r>
      <w:r w:rsidRPr="00631C1C">
        <w:rPr>
          <w:rFonts w:asciiTheme="majorBidi" w:hAnsiTheme="majorBidi" w:cstheme="majorBidi"/>
          <w:shd w:val="clear" w:color="auto" w:fill="FFFFFF"/>
          <w:vertAlign w:val="superscript"/>
          <w:lang w:val="ru-RU"/>
        </w:rPr>
        <w:footnoteReference w:id="31"/>
      </w:r>
      <w:r>
        <w:rPr>
          <w:lang w:val="ru-RU"/>
        </w:rPr>
        <w:t xml:space="preserve"> и поручает секретариату начать сотрудничество с секретариатом Платформы без дублирования проводящейся работы в рамках Минаматской конвенции с целью изучения возможных способов, с помощью которых работа Платформы могла бы способствовать осуществлению Минаматской конвенции;</w:t>
      </w:r>
    </w:p>
    <w:p w14:paraId="5E38E9CF" w14:textId="0798684D"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призывает</w:t>
      </w:r>
      <w:r>
        <w:rPr>
          <w:lang w:val="ru-RU"/>
        </w:rPr>
        <w:t xml:space="preserve"> Стороны участвовать в Бернском процессе и активно содействовать сотрудничеству и согласованности мер политики многосторонних природоохранных соглашений на национальном уровне, принимая во внимание национальные обстоятельства, потребности и приоритеты и полностью уважая национальный суверенитет и политическую сферу, посредством, </w:t>
      </w:r>
      <w:r w:rsidR="001126DF">
        <w:rPr>
          <w:lang w:val="ru-RU"/>
        </w:rPr>
        <w:t>в надлежащих случаях</w:t>
      </w:r>
      <w:r>
        <w:rPr>
          <w:lang w:val="ru-RU"/>
        </w:rPr>
        <w:t xml:space="preserve">, общегосударственного и общесоциального </w:t>
      </w:r>
      <w:r>
        <w:rPr>
          <w:lang w:val="ru-RU"/>
        </w:rPr>
        <w:lastRenderedPageBreak/>
        <w:t>подходов, избегая при этом ненужной дополнительной нагрузки в отношении представления сведений;</w:t>
      </w:r>
    </w:p>
    <w:p w14:paraId="486EA169" w14:textId="2AF84F42"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sectPr w:rsidR="00107665" w:rsidRPr="00DB6FFC" w:rsidSect="00107665">
          <w:footnotePr>
            <w:numRestart w:val="eachSect"/>
          </w:footnotePr>
          <w:type w:val="continuous"/>
          <w:pgSz w:w="11906" w:h="16838" w:code="9"/>
          <w:pgMar w:top="907" w:right="992" w:bottom="1418" w:left="1418" w:header="539" w:footer="975" w:gutter="0"/>
          <w:cols w:space="539"/>
          <w:docGrid w:linePitch="360"/>
        </w:sectPr>
      </w:pPr>
      <w:r w:rsidRPr="002D3800">
        <w:rPr>
          <w:i/>
          <w:iCs/>
          <w:lang w:val="ru-RU"/>
        </w:rPr>
        <w:t>поручает</w:t>
      </w:r>
      <w:r>
        <w:rPr>
          <w:lang w:val="ru-RU"/>
        </w:rPr>
        <w:t xml:space="preserve"> секретариату</w:t>
      </w:r>
      <w:r w:rsidR="00C73293">
        <w:rPr>
          <w:lang w:val="ru-RU"/>
        </w:rPr>
        <w:t>,</w:t>
      </w:r>
      <w:r>
        <w:rPr>
          <w:lang w:val="ru-RU"/>
        </w:rPr>
        <w:t xml:space="preserve"> при наличии ресурсов</w:t>
      </w:r>
      <w:r w:rsidR="00C73293">
        <w:rPr>
          <w:lang w:val="ru-RU"/>
        </w:rPr>
        <w:t>,</w:t>
      </w:r>
      <w:r>
        <w:rPr>
          <w:lang w:val="ru-RU"/>
        </w:rPr>
        <w:t xml:space="preserve"> вносить вклад в осуществление «дорожной карты» и продолжать свое вовлечение в Бернский процесс в сотрудничестве с другими многосторонними природоохранными соглашениями и Программой Организации Объединенных Наций по окружающей среде, не создавая новых обязательств для Сторон и при условии предоставления достаточной финансовой и технической поддержки, особенно для развивающихся стран.</w:t>
      </w:r>
    </w:p>
    <w:p w14:paraId="5733129C"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rPr>
          <w:lang w:val="ru-RU"/>
        </w:rPr>
      </w:pPr>
      <w:bookmarkStart w:id="73" w:name="_Toc213853076"/>
      <w:r w:rsidRPr="00DB6FFC">
        <w:rPr>
          <w:lang w:val="ru-RU"/>
        </w:rPr>
        <w:br w:type="page"/>
      </w:r>
    </w:p>
    <w:p w14:paraId="5D5DBFDD" w14:textId="6E06294A" w:rsidR="00107665" w:rsidRPr="00B560F3" w:rsidRDefault="00B560F3" w:rsidP="0054086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sidRPr="00A22783">
        <w:rPr>
          <w:lang w:val="ru-RU"/>
        </w:rPr>
        <w:lastRenderedPageBreak/>
        <w:tab/>
      </w:r>
      <w:bookmarkStart w:id="74" w:name="_Toc222992826"/>
      <w:r w:rsidR="00107665" w:rsidRPr="00B560F3">
        <w:rPr>
          <w:lang w:val="ru-RU"/>
        </w:rPr>
        <w:t>Решение MК-6/19. Международное сотрудничество и координация</w:t>
      </w:r>
      <w:bookmarkStart w:id="75" w:name="_Toc219712817"/>
      <w:bookmarkEnd w:id="73"/>
      <w:bookmarkEnd w:id="74"/>
      <w:bookmarkEnd w:id="75"/>
    </w:p>
    <w:p w14:paraId="70966F47" w14:textId="77777777" w:rsidR="00107665" w:rsidRPr="00B97600"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i/>
          <w:iCs/>
          <w:lang w:val="ru-RU"/>
        </w:rPr>
      </w:pPr>
      <w:r w:rsidRPr="00B97600">
        <w:rPr>
          <w:i/>
          <w:iCs/>
          <w:lang w:val="ru-RU"/>
        </w:rPr>
        <w:t>Конференция Сторон,</w:t>
      </w:r>
    </w:p>
    <w:p w14:paraId="5637E982"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B97600">
        <w:rPr>
          <w:i/>
          <w:iCs/>
          <w:lang w:val="ru-RU"/>
        </w:rPr>
        <w:t>ссылаясь</w:t>
      </w:r>
      <w:r w:rsidRPr="00B97600">
        <w:rPr>
          <w:lang w:val="ru-RU"/>
        </w:rPr>
        <w:t xml:space="preserve"> на пункт 5 b) статьи 23 Минаматской конвенции о ртути, которым предусматривается, что Конференция Сторон и секретариат сотрудничают в соответствующих случаях с компетентными международными организациями, а также межправительственными и неправительственными органами,</w:t>
      </w:r>
      <w:r>
        <w:rPr>
          <w:lang w:val="ru-RU"/>
        </w:rPr>
        <w:t xml:space="preserve"> </w:t>
      </w:r>
    </w:p>
    <w:p w14:paraId="3A05FDAA"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выражая</w:t>
      </w:r>
      <w:r>
        <w:rPr>
          <w:lang w:val="ru-RU"/>
        </w:rPr>
        <w:t xml:space="preserve"> </w:t>
      </w:r>
      <w:r w:rsidRPr="00E43416">
        <w:rPr>
          <w:i/>
          <w:iCs/>
          <w:lang w:val="ru-RU"/>
        </w:rPr>
        <w:t xml:space="preserve">свою признательность </w:t>
      </w:r>
      <w:r>
        <w:rPr>
          <w:lang w:val="ru-RU"/>
        </w:rPr>
        <w:t>международным организациям и инициативам, которые в 2024 и 2025 годах проводили мероприятия по содействию ратификации и осуществлению Конвенции, о чем сообщалось Конференции Сторон на ее шестом совещании, за проведение этих мероприятий,</w:t>
      </w:r>
    </w:p>
    <w:p w14:paraId="12E129A5"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приветствуя</w:t>
      </w:r>
      <w:r>
        <w:rPr>
          <w:lang w:val="ru-RU"/>
        </w:rPr>
        <w:t xml:space="preserve"> сотрудничество между секретариатом и Детским фондом Организации Объединенных Наций и совместную публикацию об опасности ртути для детей,</w:t>
      </w:r>
    </w:p>
    <w:p w14:paraId="63074BF9" w14:textId="77777777"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приветствует</w:t>
      </w:r>
      <w:r>
        <w:rPr>
          <w:lang w:val="ru-RU"/>
        </w:rPr>
        <w:t xml:space="preserve"> принятие Ассамблеей Организации Объединенных Наций по окружающей среде на ее шестой сессии</w:t>
      </w:r>
      <w:r w:rsidRPr="00631C1C">
        <w:rPr>
          <w:rFonts w:asciiTheme="majorBidi" w:eastAsia="Calibri" w:hAnsiTheme="majorBidi" w:cstheme="majorBidi"/>
          <w:vertAlign w:val="superscript"/>
          <w:lang w:val="ru-RU"/>
        </w:rPr>
        <w:footnoteReference w:id="32"/>
      </w:r>
      <w:r>
        <w:rPr>
          <w:lang w:val="ru-RU"/>
        </w:rPr>
        <w:t xml:space="preserve"> резолюций по вопросам, связанным с Минаматской конвенцией о ртути, и поручает секретариату вносить вклад в осуществление этих резолюций в надлежащих случаях;</w:t>
      </w:r>
    </w:p>
    <w:p w14:paraId="29FA6FAB" w14:textId="77777777"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также приветствует</w:t>
      </w:r>
      <w:r>
        <w:rPr>
          <w:lang w:val="ru-RU"/>
        </w:rPr>
        <w:t xml:space="preserve"> создание 20 июня 2025 года в Пунта-дель-Эсте (Уругвай) Межправительственной группы по вопросам научно-политического взаимодействия в области химических веществ, отходов и загрязнения, выражает заинтересованность в создании партнерства с Группой в целях продвижения работы по достижению цели Конвенции и поручает секретариату Конвенции сотрудничать с секретариатом Группы и добиваться статуса наблюдателя в Пленуме Группы;</w:t>
      </w:r>
    </w:p>
    <w:p w14:paraId="079AAF4B" w14:textId="0832E38E"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поручает</w:t>
      </w:r>
      <w:r>
        <w:rPr>
          <w:lang w:val="ru-RU"/>
        </w:rPr>
        <w:t xml:space="preserve"> секретариату Конвенции провести</w:t>
      </w:r>
      <w:r w:rsidR="00DB3D0F">
        <w:rPr>
          <w:lang w:val="ru-RU"/>
        </w:rPr>
        <w:t>,</w:t>
      </w:r>
      <w:r>
        <w:rPr>
          <w:lang w:val="ru-RU"/>
        </w:rPr>
        <w:t xml:space="preserve"> при наличии ресурсов</w:t>
      </w:r>
      <w:r w:rsidR="00DB3D0F">
        <w:rPr>
          <w:lang w:val="ru-RU"/>
        </w:rPr>
        <w:t>,</w:t>
      </w:r>
      <w:r>
        <w:rPr>
          <w:lang w:val="ru-RU"/>
        </w:rPr>
        <w:t xml:space="preserve"> предварительное исследование в отношении возможных областей, в которых укрепление научно-политического взаимодействия способствовало бы осуществлению Конвенции, с учетом вклада Сторон и других субъектов, а также экспертов, которые сотрудничают в рамках Международной конференции «Ртуть как глобальный загрязнитель», для рассмотрения Конференцией Сторон на ее седьмом совещании; </w:t>
      </w:r>
    </w:p>
    <w:p w14:paraId="54437E40" w14:textId="77777777"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приветствует</w:t>
      </w:r>
      <w:r>
        <w:rPr>
          <w:lang w:val="ru-RU"/>
        </w:rPr>
        <w:t xml:space="preserve"> предложение о мероприятиях, обеспечивающих взаимную поддержку в осуществлении Минаматской конвенции о ртути и Глобальной рамочной программы по химическим веществам «Ради планеты, свободной от вредного воздействия химических веществ и отходов»</w:t>
      </w:r>
      <w:r w:rsidRPr="00631C1C">
        <w:rPr>
          <w:rFonts w:asciiTheme="majorBidi" w:eastAsia="Calibri" w:hAnsiTheme="majorBidi" w:cstheme="majorBidi"/>
          <w:vertAlign w:val="superscript"/>
          <w:lang w:val="ru-RU"/>
        </w:rPr>
        <w:footnoteReference w:id="33"/>
      </w:r>
      <w:r>
        <w:rPr>
          <w:lang w:val="ru-RU"/>
        </w:rPr>
        <w:t xml:space="preserve"> и поручает секретариату осуществлять эти мероприятия и </w:t>
      </w:r>
      <w:proofErr w:type="gramStart"/>
      <w:r>
        <w:rPr>
          <w:lang w:val="ru-RU"/>
        </w:rPr>
        <w:t>продолжать</w:t>
      </w:r>
      <w:proofErr w:type="gramEnd"/>
      <w:r>
        <w:rPr>
          <w:lang w:val="ru-RU"/>
        </w:rPr>
        <w:t xml:space="preserve"> и далее укреплять сотрудничество и координацию с секретариатом Глобальной рамочной программы по химическим веществам; </w:t>
      </w:r>
    </w:p>
    <w:p w14:paraId="3C4F4B52" w14:textId="77777777"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поручает</w:t>
      </w:r>
      <w:r>
        <w:rPr>
          <w:lang w:val="ru-RU"/>
        </w:rPr>
        <w:t xml:space="preserve"> Исполнительному секретарю принять необходимые меры для обеспечения членства Конвенции и участия секретариата Конвенции в Межорганизационной программе по рациональному регулированию химических веществ и предлагает секретариату продолжать работать в тесном сотрудничестве с этой программой; </w:t>
      </w:r>
    </w:p>
    <w:p w14:paraId="49095C1C" w14:textId="166FB786" w:rsidR="00107665" w:rsidRPr="00DB6FFC"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strike/>
          <w:lang w:val="ru-RU"/>
        </w:rPr>
      </w:pPr>
      <w:r w:rsidRPr="002D3800">
        <w:rPr>
          <w:i/>
          <w:iCs/>
          <w:lang w:val="ru-RU"/>
        </w:rPr>
        <w:t>поручает</w:t>
      </w:r>
      <w:r>
        <w:rPr>
          <w:lang w:val="ru-RU"/>
        </w:rPr>
        <w:t xml:space="preserve"> секретариату</w:t>
      </w:r>
      <w:r w:rsidR="00193D36">
        <w:rPr>
          <w:lang w:val="ru-RU"/>
        </w:rPr>
        <w:t>,</w:t>
      </w:r>
      <w:r>
        <w:rPr>
          <w:lang w:val="ru-RU"/>
        </w:rPr>
        <w:t xml:space="preserve"> при наличии ресурсов</w:t>
      </w:r>
      <w:r w:rsidR="00193D36">
        <w:rPr>
          <w:lang w:val="ru-RU"/>
        </w:rPr>
        <w:t>,</w:t>
      </w:r>
      <w:r>
        <w:rPr>
          <w:lang w:val="ru-RU"/>
        </w:rPr>
        <w:t xml:space="preserve"> продолжать сотрудничество и координацию с Глобальным партнерством по ртути, Конвенцией о биологическом разнообразии, Рамочной конвенцией Организации Объединенных Наций об изменении климата, Конвенцией Организации Объединенных Наций по борьбе с опустыниванием в тех странах, которые испытывают серьезную засуху и/или опустынивание, особенно в Африке, Международным агентством по атомной энергии и Детским фондом Организации Объединенных Наций по вопросам, представляющим общий интерес, а также с другими </w:t>
      </w:r>
      <w:r>
        <w:rPr>
          <w:lang w:val="ru-RU"/>
        </w:rPr>
        <w:lastRenderedPageBreak/>
        <w:t>международными органами, в областях, имеющих отношение к Минаматской конвенции о ртути, в том числе в областях и с организациями, которые перечислены в документе UNEP/MC/COP.5/INF/28;</w:t>
      </w:r>
    </w:p>
    <w:p w14:paraId="1917E660" w14:textId="77777777" w:rsidR="00107665" w:rsidRPr="00B560F3" w:rsidRDefault="00107665"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pPr>
      <w:r w:rsidRPr="002D3800">
        <w:rPr>
          <w:i/>
          <w:iCs/>
          <w:lang w:val="ru-RU"/>
        </w:rPr>
        <w:t>также поручает</w:t>
      </w:r>
      <w:r>
        <w:rPr>
          <w:lang w:val="ru-RU"/>
        </w:rPr>
        <w:t xml:space="preserve"> секретариату представить доклад о выполнении настоящего решения Конференции Сторон на ее седьмом совещании </w:t>
      </w:r>
      <w:r w:rsidR="000D4048">
        <w:rPr>
          <w:lang w:val="ru-RU"/>
        </w:rPr>
        <w:t>надлежащим</w:t>
      </w:r>
      <w:r w:rsidR="0049647B">
        <w:rPr>
          <w:lang w:val="ru-RU"/>
        </w:rPr>
        <w:t xml:space="preserve"> образом</w:t>
      </w:r>
      <w:r>
        <w:rPr>
          <w:lang w:val="ru-RU"/>
        </w:rPr>
        <w:t>.</w:t>
      </w:r>
    </w:p>
    <w:p w14:paraId="071F776A" w14:textId="77747FCF" w:rsidR="00B560F3" w:rsidRPr="00DB6FFC" w:rsidRDefault="00B560F3" w:rsidP="0094750E">
      <w:pPr>
        <w:numPr>
          <w:ilvl w:val="0"/>
          <w:numId w:val="26"/>
        </w:numPr>
        <w:tabs>
          <w:tab w:val="clear" w:pos="1247"/>
          <w:tab w:val="clear" w:pos="1814"/>
          <w:tab w:val="clear" w:pos="2381"/>
          <w:tab w:val="clear" w:pos="2948"/>
          <w:tab w:val="clear" w:pos="3515"/>
        </w:tabs>
        <w:spacing w:after="120"/>
        <w:ind w:left="1247" w:firstLine="624"/>
        <w:rPr>
          <w:rFonts w:asciiTheme="majorBidi" w:eastAsia="Calibri" w:hAnsiTheme="majorBidi" w:cstheme="majorBidi"/>
          <w:lang w:val="ru-RU"/>
        </w:rPr>
        <w:sectPr w:rsidR="00B560F3" w:rsidRPr="00DB6FFC" w:rsidSect="00107665">
          <w:footnotePr>
            <w:numRestart w:val="eachSect"/>
          </w:footnotePr>
          <w:type w:val="continuous"/>
          <w:pgSz w:w="11906" w:h="16838" w:code="9"/>
          <w:pgMar w:top="907" w:right="992" w:bottom="1418" w:left="1418" w:header="539" w:footer="975" w:gutter="0"/>
          <w:cols w:space="539"/>
          <w:docGrid w:linePitch="360"/>
        </w:sectPr>
      </w:pPr>
    </w:p>
    <w:p w14:paraId="5D34DDCB" w14:textId="77777777" w:rsidR="00107665" w:rsidRPr="00DB6FFC" w:rsidRDefault="00107665" w:rsidP="0094750E">
      <w:pPr>
        <w:tabs>
          <w:tab w:val="clear" w:pos="1247"/>
          <w:tab w:val="clear" w:pos="1814"/>
          <w:tab w:val="clear" w:pos="2381"/>
          <w:tab w:val="clear" w:pos="2948"/>
          <w:tab w:val="clear" w:pos="3515"/>
        </w:tabs>
        <w:spacing w:after="160" w:line="278" w:lineRule="auto"/>
        <w:rPr>
          <w:rFonts w:asciiTheme="majorBidi" w:hAnsiTheme="majorBidi" w:cstheme="majorBidi"/>
          <w:lang w:val="ru-RU"/>
        </w:rPr>
      </w:pPr>
      <w:r w:rsidRPr="00DB6FFC">
        <w:rPr>
          <w:rFonts w:asciiTheme="majorBidi" w:hAnsiTheme="majorBidi" w:cstheme="majorBidi"/>
          <w:lang w:val="ru-RU"/>
        </w:rPr>
        <w:br w:type="page"/>
      </w:r>
    </w:p>
    <w:p w14:paraId="502DAF1A" w14:textId="33F8A5FD" w:rsidR="00107665" w:rsidRPr="003D40AF" w:rsidRDefault="003D40AF" w:rsidP="0054086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76" w:name="_Toc213853077"/>
      <w:r w:rsidRPr="00A22783">
        <w:rPr>
          <w:lang w:val="ru-RU"/>
        </w:rPr>
        <w:lastRenderedPageBreak/>
        <w:tab/>
      </w:r>
      <w:bookmarkStart w:id="77" w:name="_Toc222992827"/>
      <w:r w:rsidR="00107665" w:rsidRPr="003D40AF">
        <w:rPr>
          <w:lang w:val="ru-RU"/>
        </w:rPr>
        <w:t>Решение МК-6/20. Сотрудничество и координация между секретариатами Минаматской конвенции о ртути и Базельской, Роттердамской и Стокгольмской конвенций</w:t>
      </w:r>
      <w:bookmarkStart w:id="78" w:name="_Toc219712818"/>
      <w:bookmarkEnd w:id="76"/>
      <w:bookmarkEnd w:id="77"/>
      <w:bookmarkEnd w:id="78"/>
    </w:p>
    <w:p w14:paraId="03A36A0A" w14:textId="77777777" w:rsidR="00107665" w:rsidRPr="00DB6FFC" w:rsidRDefault="00107665" w:rsidP="002D3800">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i/>
          <w:iCs/>
          <w:lang w:val="ru-RU"/>
        </w:rPr>
      </w:pPr>
      <w:r>
        <w:rPr>
          <w:i/>
          <w:iCs/>
          <w:lang w:val="ru-RU"/>
        </w:rPr>
        <w:t>Конференция Сторон,</w:t>
      </w:r>
    </w:p>
    <w:p w14:paraId="2F27C332" w14:textId="77777777" w:rsidR="00107665" w:rsidRPr="00DB6FFC" w:rsidRDefault="00107665" w:rsidP="002D3800">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56FD1">
        <w:rPr>
          <w:i/>
          <w:iCs/>
          <w:lang w:val="ru-RU"/>
        </w:rPr>
        <w:t>признавая</w:t>
      </w:r>
      <w:r>
        <w:rPr>
          <w:lang w:val="ru-RU"/>
        </w:rPr>
        <w:t>, что совместное использование услуг в рамках стабильного механизма будет способствовать укреплению сотрудничества и координации с учетом опыта и близкого расположения и может содействовать эффективному осуществлению Минаматской конвенции о ртути,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без ущерба для автономии секретариатов или подотчетности их административных руководителей,</w:t>
      </w:r>
    </w:p>
    <w:p w14:paraId="23782C88" w14:textId="77777777" w:rsidR="00107665" w:rsidRPr="00DB6FFC" w:rsidRDefault="00107665" w:rsidP="002D3800">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56FD1">
        <w:rPr>
          <w:i/>
          <w:iCs/>
          <w:lang w:val="ru-RU"/>
        </w:rPr>
        <w:t>ссылаясь</w:t>
      </w:r>
      <w:r>
        <w:rPr>
          <w:lang w:val="ru-RU"/>
        </w:rPr>
        <w:t xml:space="preserve"> на решения МК-3/11, МК-4/9 и МК-5/19 о сотрудничестве и координации с секретариатом Базельской, Роттердамской и Стокгольмской конвенций, </w:t>
      </w:r>
    </w:p>
    <w:p w14:paraId="54512F4D" w14:textId="77777777" w:rsidR="00107665" w:rsidRPr="00DB6FFC" w:rsidRDefault="00107665" w:rsidP="002D3800">
      <w:pPr>
        <w:pStyle w:val="Normal-pool"/>
        <w:numPr>
          <w:ilvl w:val="6"/>
          <w:numId w:val="67"/>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lang w:val="ru-RU"/>
        </w:rPr>
      </w:pPr>
      <w:r w:rsidRPr="00956FD1">
        <w:rPr>
          <w:i/>
          <w:iCs/>
          <w:lang w:val="ru-RU"/>
        </w:rPr>
        <w:t>принимает к сведению</w:t>
      </w:r>
      <w:r>
        <w:rPr>
          <w:lang w:val="ru-RU"/>
        </w:rPr>
        <w:t xml:space="preserve"> совместный доклад о сотрудничестве и координации между секретариатом Минаматской конвенции о ртути и секретариатом Базельской, Роттердамской и Стокгольмской конвенций</w:t>
      </w:r>
      <w:r w:rsidRPr="00631C1C">
        <w:rPr>
          <w:rFonts w:asciiTheme="majorBidi" w:hAnsiTheme="majorBidi" w:cstheme="majorBidi"/>
          <w:iCs/>
          <w:vertAlign w:val="superscript"/>
          <w:lang w:val="ru-RU"/>
        </w:rPr>
        <w:footnoteReference w:id="34"/>
      </w:r>
      <w:r>
        <w:rPr>
          <w:lang w:val="ru-RU"/>
        </w:rPr>
        <w:t>, а также общую информацию о мероприятиях по сотрудничеству, в том числе в целях обмена и приобретения соответствующих услуг, запланированных двумя секретариатами на двухгодичный период 2026–2027 годов</w:t>
      </w:r>
      <w:r w:rsidRPr="00631C1C">
        <w:rPr>
          <w:rFonts w:asciiTheme="majorBidi" w:hAnsiTheme="majorBidi" w:cstheme="majorBidi"/>
          <w:iCs/>
          <w:vertAlign w:val="superscript"/>
          <w:lang w:val="ru-RU"/>
        </w:rPr>
        <w:footnoteReference w:id="35"/>
      </w:r>
      <w:r>
        <w:rPr>
          <w:lang w:val="ru-RU"/>
        </w:rPr>
        <w:t>;</w:t>
      </w:r>
    </w:p>
    <w:p w14:paraId="49908B44" w14:textId="77777777" w:rsidR="00107665" w:rsidRPr="00DB6FFC" w:rsidRDefault="00107665" w:rsidP="002D3800">
      <w:pPr>
        <w:pStyle w:val="Normal-pool"/>
        <w:numPr>
          <w:ilvl w:val="6"/>
          <w:numId w:val="67"/>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56FD1">
        <w:rPr>
          <w:i/>
          <w:iCs/>
          <w:lang w:val="ru-RU"/>
        </w:rPr>
        <w:t>вновь подтверждает</w:t>
      </w:r>
      <w:r>
        <w:rPr>
          <w:lang w:val="ru-RU"/>
        </w:rPr>
        <w:t xml:space="preserve"> важность продолжения сотрудничества в отношении программной синергии, использования целевой группы в составе двух секретариатов и Сектора химических веществ и здравоохранения Программы Организации Объединенных Наций по окружающей среде, а также значимость возможности для секретариата Минаматской конвенции о ртути оказывать </w:t>
      </w:r>
      <w:proofErr w:type="spellStart"/>
      <w:r>
        <w:rPr>
          <w:lang w:val="ru-RU"/>
        </w:rPr>
        <w:t>секретариатскую</w:t>
      </w:r>
      <w:proofErr w:type="spellEnd"/>
      <w:r>
        <w:rPr>
          <w:lang w:val="ru-RU"/>
        </w:rPr>
        <w:t xml:space="preserve"> поддержку Базельской, Роттердамской и Стокгольмской конвенциям на основе принципа возмещения расходов в соответствии с программами работы и бюджетами Минаматской конвенции на каждый двухгодичный период; </w:t>
      </w:r>
      <w:bookmarkStart w:id="79" w:name="_Hlk38284587"/>
      <w:bookmarkEnd w:id="79"/>
    </w:p>
    <w:p w14:paraId="493B97EE" w14:textId="3A465F4B" w:rsidR="00107665" w:rsidRPr="00DB6FFC" w:rsidRDefault="00107665" w:rsidP="002D3800">
      <w:pPr>
        <w:pStyle w:val="Normal-pool"/>
        <w:numPr>
          <w:ilvl w:val="6"/>
          <w:numId w:val="67"/>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56FD1">
        <w:rPr>
          <w:i/>
          <w:iCs/>
          <w:lang w:val="ru-RU"/>
        </w:rPr>
        <w:t>приветствует</w:t>
      </w:r>
      <w:r>
        <w:rPr>
          <w:lang w:val="ru-RU"/>
        </w:rPr>
        <w:t xml:space="preserve"> сотрудничество между секретариатом Минаматской конвенции о ртути и секретариатом Базельской, Роттердамской и Стокгольмской конвенций в области подготовки потенциальных председателей и участников переговоров на совещаниях органов и поручает секретариату Минаматской конвенции о ртути, при наличи</w:t>
      </w:r>
      <w:r w:rsidR="0076542C">
        <w:rPr>
          <w:lang w:val="ru-RU"/>
        </w:rPr>
        <w:t>и</w:t>
      </w:r>
      <w:r>
        <w:rPr>
          <w:lang w:val="ru-RU"/>
        </w:rPr>
        <w:t xml:space="preserve"> ресурсов, продолжать вносить вклад в осуществление такой подготовки;</w:t>
      </w:r>
    </w:p>
    <w:p w14:paraId="0E405257" w14:textId="77777777" w:rsidR="00107665" w:rsidRPr="00631C1C" w:rsidRDefault="00107665" w:rsidP="002D3800">
      <w:pPr>
        <w:pStyle w:val="Normal-pool"/>
        <w:numPr>
          <w:ilvl w:val="6"/>
          <w:numId w:val="67"/>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956FD1">
        <w:rPr>
          <w:i/>
          <w:iCs/>
          <w:lang w:val="ru-RU"/>
        </w:rPr>
        <w:t>поручает</w:t>
      </w:r>
      <w:r>
        <w:rPr>
          <w:lang w:val="ru-RU"/>
        </w:rPr>
        <w:t xml:space="preserve"> Исполнительному секретарю:</w:t>
      </w:r>
    </w:p>
    <w:p w14:paraId="54A39504" w14:textId="0440A694" w:rsidR="00107665" w:rsidRPr="00DB6FFC" w:rsidRDefault="00107665" w:rsidP="002D3800">
      <w:pPr>
        <w:pStyle w:val="Normalnumber"/>
        <w:numPr>
          <w:ilvl w:val="0"/>
          <w:numId w:val="66"/>
        </w:numPr>
        <w:tabs>
          <w:tab w:val="clear" w:pos="1247"/>
          <w:tab w:val="clear" w:pos="1814"/>
          <w:tab w:val="clear" w:pos="2381"/>
          <w:tab w:val="clear" w:pos="2948"/>
          <w:tab w:val="clear" w:pos="3515"/>
        </w:tabs>
        <w:adjustRightInd w:val="0"/>
        <w:snapToGrid w:val="0"/>
        <w:spacing w:after="110"/>
        <w:ind w:left="1247" w:firstLine="624"/>
        <w:rPr>
          <w:rFonts w:asciiTheme="majorBidi" w:hAnsiTheme="majorBidi" w:cstheme="majorBidi"/>
          <w:lang w:val="ru-RU"/>
        </w:rPr>
      </w:pPr>
      <w:r>
        <w:rPr>
          <w:lang w:val="ru-RU"/>
        </w:rPr>
        <w:t xml:space="preserve">продолжать, совместно с секретариатом Минаматской конвенции о ртути и под общим руководством целевой группы, в надлежащих случаях, сотрудничество по соответствующим административным, программным, научным и техническим вопросам, а также вопросам технической помощи, в соответствии с программой работы и бюджетом, и изучать способы дальнейшего укрепления сотрудничества и взаимодействия с Базельской, Роттердамской и Стокгольмской конвенциями; </w:t>
      </w:r>
    </w:p>
    <w:p w14:paraId="2298AA40" w14:textId="7E360967" w:rsidR="00107665" w:rsidRPr="00DB6FFC" w:rsidRDefault="00107665" w:rsidP="002D3800">
      <w:pPr>
        <w:pStyle w:val="Normalnumber"/>
        <w:numPr>
          <w:ilvl w:val="0"/>
          <w:numId w:val="66"/>
        </w:numPr>
        <w:tabs>
          <w:tab w:val="clear" w:pos="1247"/>
          <w:tab w:val="clear" w:pos="1814"/>
          <w:tab w:val="clear" w:pos="2381"/>
          <w:tab w:val="clear" w:pos="2948"/>
          <w:tab w:val="clear" w:pos="3515"/>
        </w:tabs>
        <w:adjustRightInd w:val="0"/>
        <w:snapToGrid w:val="0"/>
        <w:spacing w:after="110"/>
        <w:ind w:left="1247" w:firstLine="624"/>
        <w:rPr>
          <w:rFonts w:asciiTheme="majorBidi" w:hAnsiTheme="majorBidi" w:cstheme="majorBidi"/>
          <w:lang w:val="ru-RU"/>
        </w:rPr>
      </w:pPr>
      <w:r>
        <w:rPr>
          <w:lang w:val="ru-RU"/>
        </w:rPr>
        <w:t>продолжать осуществлять совместное использование услуг и приобретение соответствующих услуг с секретариатом Базельской, Роттердамской и Стокгольмской конвенций на основе принципа возмещения расходов</w:t>
      </w:r>
      <w:r w:rsidR="001879C4">
        <w:rPr>
          <w:lang w:val="ru-RU"/>
        </w:rPr>
        <w:t>,</w:t>
      </w:r>
      <w:r>
        <w:rPr>
          <w:lang w:val="ru-RU"/>
        </w:rPr>
        <w:t xml:space="preserve"> </w:t>
      </w:r>
      <w:r w:rsidR="00F8036C">
        <w:rPr>
          <w:lang w:val="ru-RU"/>
        </w:rPr>
        <w:t>надлежащим образом</w:t>
      </w:r>
      <w:r>
        <w:rPr>
          <w:lang w:val="ru-RU"/>
        </w:rPr>
        <w:t xml:space="preserve"> и в соответствии с программой работы и бюджетом на каждый двухгодичный период;</w:t>
      </w:r>
    </w:p>
    <w:p w14:paraId="55C80D06" w14:textId="77777777" w:rsidR="00107665" w:rsidRPr="00DB6FFC" w:rsidRDefault="00107665" w:rsidP="002D3800">
      <w:pPr>
        <w:pStyle w:val="Normalnumber"/>
        <w:numPr>
          <w:ilvl w:val="0"/>
          <w:numId w:val="66"/>
        </w:numPr>
        <w:tabs>
          <w:tab w:val="clear" w:pos="1247"/>
          <w:tab w:val="clear" w:pos="1814"/>
          <w:tab w:val="clear" w:pos="2381"/>
          <w:tab w:val="clear" w:pos="2948"/>
          <w:tab w:val="clear" w:pos="3515"/>
        </w:tabs>
        <w:adjustRightInd w:val="0"/>
        <w:snapToGrid w:val="0"/>
        <w:spacing w:after="110"/>
        <w:ind w:left="1247" w:firstLine="624"/>
        <w:rPr>
          <w:rFonts w:asciiTheme="majorBidi" w:hAnsiTheme="majorBidi" w:cstheme="majorBidi"/>
          <w:lang w:val="ru-RU"/>
        </w:rPr>
        <w:sectPr w:rsidR="00107665" w:rsidRPr="00DB6FFC" w:rsidSect="00107665">
          <w:footnotePr>
            <w:numRestart w:val="eachSect"/>
          </w:footnotePr>
          <w:type w:val="continuous"/>
          <w:pgSz w:w="11906" w:h="16838" w:code="9"/>
          <w:pgMar w:top="907" w:right="992" w:bottom="1418" w:left="1418" w:header="539" w:footer="975" w:gutter="0"/>
          <w:cols w:space="539"/>
          <w:docGrid w:linePitch="360"/>
        </w:sectPr>
      </w:pPr>
      <w:r>
        <w:rPr>
          <w:lang w:val="ru-RU"/>
        </w:rPr>
        <w:t>представить доклад о выполнении настоящего решения, в том числе о стабильном механизме сотрудничества и совместном использовании услуг, предоставив общую информацию о мероприятиях по сотрудничеству, запланированных в рамках такого механизма на двухгодичный период 2028–2029 годов, для рассмотрения Конференцией Сторон и, при необходимости, получения от нее дальнейших руководящих указаний на ее следующем совещании.</w:t>
      </w:r>
    </w:p>
    <w:p w14:paraId="76A88CB9" w14:textId="77777777" w:rsidR="00107665" w:rsidRPr="00DB6FFC" w:rsidRDefault="00107665" w:rsidP="002D3800">
      <w:pPr>
        <w:tabs>
          <w:tab w:val="clear" w:pos="1247"/>
          <w:tab w:val="clear" w:pos="1814"/>
          <w:tab w:val="clear" w:pos="2381"/>
          <w:tab w:val="clear" w:pos="2948"/>
          <w:tab w:val="clear" w:pos="3515"/>
        </w:tabs>
        <w:spacing w:after="160" w:line="278" w:lineRule="auto"/>
        <w:rPr>
          <w:rFonts w:asciiTheme="majorBidi" w:hAnsiTheme="majorBidi" w:cstheme="majorBidi"/>
          <w:lang w:val="ru-RU"/>
        </w:rPr>
      </w:pPr>
      <w:r w:rsidRPr="00DB6FFC">
        <w:rPr>
          <w:rFonts w:asciiTheme="majorBidi" w:hAnsiTheme="majorBidi" w:cstheme="majorBidi"/>
          <w:lang w:val="ru-RU"/>
        </w:rPr>
        <w:br w:type="page"/>
      </w:r>
    </w:p>
    <w:p w14:paraId="3B2B847A" w14:textId="23D84ED6" w:rsidR="00107665" w:rsidRPr="003D40AF" w:rsidRDefault="003D40AF" w:rsidP="00F269B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sidRPr="00A22783">
        <w:rPr>
          <w:lang w:val="ru-RU"/>
        </w:rPr>
        <w:lastRenderedPageBreak/>
        <w:tab/>
      </w:r>
      <w:bookmarkStart w:id="80" w:name="_Toc222992828"/>
      <w:r w:rsidR="00107665" w:rsidRPr="003D40AF">
        <w:rPr>
          <w:lang w:val="ru-RU"/>
        </w:rPr>
        <w:t>Решение MК-6/21. Программа работы и бюджет на двухгодичный период 2026‒2027 годов</w:t>
      </w:r>
      <w:bookmarkStart w:id="81" w:name="_Toc219712819"/>
      <w:bookmarkEnd w:id="80"/>
      <w:bookmarkEnd w:id="81"/>
    </w:p>
    <w:p w14:paraId="0F860C1F"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248BC5E6"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ссылаясь</w:t>
      </w:r>
      <w:r>
        <w:rPr>
          <w:lang w:val="ru-RU"/>
        </w:rPr>
        <w:t xml:space="preserve"> на решение МК-5/20 о программе работы и бюджете на двухгодичный период 2024–2025 годов,</w:t>
      </w:r>
    </w:p>
    <w:p w14:paraId="2133CAB8"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с удовлетворением отмечая</w:t>
      </w:r>
      <w:r>
        <w:rPr>
          <w:lang w:val="ru-RU"/>
        </w:rPr>
        <w:t xml:space="preserve"> ежегодный взнос Швейцарии, принимающей страны секретариата, в размере 1 млн швейц. фр., 60 процентов которого направляется в Общий целевой фонд, а 40 процентов – в Специальный целевой фонд Минаматской конвенции о ртути для первоочередной поддержки участия представителей из развивающихся стран в совещаниях Конференции Сторон,</w:t>
      </w:r>
    </w:p>
    <w:p w14:paraId="5AF4B73B"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принимая к сведению</w:t>
      </w:r>
      <w:r>
        <w:rPr>
          <w:lang w:val="ru-RU"/>
        </w:rPr>
        <w:t xml:space="preserve"> взносы, уплаченные Сторонами в Общий целевой фонд,</w:t>
      </w:r>
    </w:p>
    <w:p w14:paraId="792629B9"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отмечая</w:t>
      </w:r>
      <w:r>
        <w:rPr>
          <w:lang w:val="ru-RU"/>
        </w:rPr>
        <w:t>, что резерв оборотных средств Конвенции в составе Общего целевого фонда в полном объеме был сформирован в 2018 году, и подтверждая, что резерв оборотных средств поддерживается на уровне 15 процентов от объема годового бюджета,</w:t>
      </w:r>
    </w:p>
    <w:p w14:paraId="481B8F80"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с признательностью отмечая</w:t>
      </w:r>
      <w:r>
        <w:rPr>
          <w:lang w:val="ru-RU"/>
        </w:rPr>
        <w:t xml:space="preserve"> взносы в Специальный целевой фонд, уплаченные и объявленные в течение двухгодичного периода 2024–2025 годов Испанией, Канадой, Королевством Нидерландов, Швецией и Японией; </w:t>
      </w:r>
    </w:p>
    <w:p w14:paraId="645CED8D" w14:textId="77777777" w:rsidR="00107665" w:rsidRPr="00266526"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956FD1">
        <w:rPr>
          <w:i/>
          <w:iCs/>
          <w:lang w:val="ru-RU"/>
        </w:rPr>
        <w:t>с признательностью отмечая также</w:t>
      </w:r>
      <w:r>
        <w:rPr>
          <w:lang w:val="ru-RU"/>
        </w:rPr>
        <w:t xml:space="preserve"> взносы, уплаченные и объявленные Австрией, Германией, Данией, Королевством Нидерландов, Норвегией, Соединенным Королевством Великобритании и Северной Ирландии, Соединенными Штатами Америки, Францией, Швецией и Швейцарией, на вспомогательные мероприятия по линии Особого целевого фонда для Целевой международной программы для поддержки процессов создания потенциала и оказания технической помощи для четвертого раунда подачи заявок;</w:t>
      </w:r>
    </w:p>
    <w:p w14:paraId="5C122212"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82" w:name="_Toc222992829"/>
      <w:r>
        <w:rPr>
          <w:bCs/>
          <w:lang w:val="ru-RU"/>
        </w:rPr>
        <w:t>I</w:t>
      </w:r>
      <w:bookmarkEnd w:id="82"/>
    </w:p>
    <w:p w14:paraId="3EB2034D"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83" w:name="_Toc222992830"/>
      <w:r>
        <w:rPr>
          <w:bCs/>
          <w:lang w:val="ru-RU"/>
        </w:rPr>
        <w:t>Общий целевой фонд для Минаматской конвенции о ртути</w:t>
      </w:r>
      <w:bookmarkEnd w:id="83"/>
    </w:p>
    <w:p w14:paraId="4E3576FD"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 к сведению</w:t>
      </w:r>
      <w:r>
        <w:rPr>
          <w:lang w:val="ru-RU"/>
        </w:rPr>
        <w:t xml:space="preserve"> предлагаемые программу работы и бюджет на двухгодичный период 2026–2027 годов</w:t>
      </w:r>
      <w:r w:rsidRPr="001D2F94">
        <w:rPr>
          <w:rStyle w:val="FootnoteReference"/>
          <w:lang w:val="ru-RU"/>
        </w:rPr>
        <w:footnoteReference w:id="36"/>
      </w:r>
      <w:r>
        <w:rPr>
          <w:lang w:val="ru-RU"/>
        </w:rPr>
        <w:t>; информацию по финансовым вопросам, включая доклад о расходах</w:t>
      </w:r>
      <w:r w:rsidRPr="001D2F94">
        <w:rPr>
          <w:rStyle w:val="FootnoteReference"/>
          <w:lang w:val="ru-RU"/>
        </w:rPr>
        <w:footnoteReference w:id="37"/>
      </w:r>
      <w:r>
        <w:rPr>
          <w:lang w:val="ru-RU"/>
        </w:rPr>
        <w:t>; справки о предусмотренных бюджетом мероприятиях</w:t>
      </w:r>
      <w:r w:rsidRPr="001D2F94">
        <w:rPr>
          <w:rStyle w:val="FootnoteReference"/>
          <w:lang w:val="ru-RU"/>
        </w:rPr>
        <w:footnoteReference w:id="38"/>
      </w:r>
      <w:r>
        <w:rPr>
          <w:lang w:val="ru-RU"/>
        </w:rPr>
        <w:t>; и представленный секретариатом доклад о ходе осуществления программы работы на 2024–2025 годы</w:t>
      </w:r>
      <w:r w:rsidRPr="001D2F94">
        <w:rPr>
          <w:rStyle w:val="FootnoteReference"/>
          <w:lang w:val="ru-RU"/>
        </w:rPr>
        <w:footnoteReference w:id="39"/>
      </w:r>
      <w:r>
        <w:rPr>
          <w:lang w:val="ru-RU"/>
        </w:rPr>
        <w:t>;</w:t>
      </w:r>
    </w:p>
    <w:p w14:paraId="7422B5D4"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одобряет</w:t>
      </w:r>
      <w:r>
        <w:rPr>
          <w:lang w:val="ru-RU"/>
        </w:rPr>
        <w:t xml:space="preserve"> бюджет для Общего целевого фонда на двухгодичный период 2026</w:t>
      </w:r>
      <w:r w:rsidRPr="00215D83">
        <w:rPr>
          <w:lang w:val="ru-RU"/>
        </w:rPr>
        <w:noBreakHyphen/>
      </w:r>
      <w:r>
        <w:rPr>
          <w:lang w:val="ru-RU"/>
        </w:rPr>
        <w:t>2027 годов в размере 8 431 553 долл. США;</w:t>
      </w:r>
    </w:p>
    <w:p w14:paraId="72A671C2" w14:textId="77777777" w:rsidR="00107665" w:rsidRPr="00DC639F"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уполномочивает</w:t>
      </w:r>
      <w:r>
        <w:rPr>
          <w:lang w:val="ru-RU"/>
        </w:rPr>
        <w:t xml:space="preserve"> Исполнительного секретаря использовать из расчетного имеющегося остатка средств Общего целевого фонда сумму в размере 96 050 долл. США для финансирования одного совещания Группы по оценке эффективности; </w:t>
      </w:r>
    </w:p>
    <w:p w14:paraId="76672778" w14:textId="7F8D72F2"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i/>
          <w:iCs/>
          <w:lang w:val="ru-RU"/>
        </w:rPr>
      </w:pPr>
      <w:r>
        <w:rPr>
          <w:i/>
          <w:iCs/>
          <w:lang w:val="ru-RU"/>
        </w:rPr>
        <w:t xml:space="preserve">утверждает </w:t>
      </w:r>
      <w:r>
        <w:rPr>
          <w:lang w:val="ru-RU"/>
        </w:rPr>
        <w:t>штатное расписание секретариата на двухгодичный период 2026</w:t>
      </w:r>
      <w:r w:rsidR="00956FD1" w:rsidRPr="00686EBF">
        <w:rPr>
          <w:lang w:val="ru-RU"/>
        </w:rPr>
        <w:noBreakHyphen/>
      </w:r>
      <w:r>
        <w:rPr>
          <w:lang w:val="ru-RU"/>
        </w:rPr>
        <w:t>2027 годов, которое использовалось для расчета расходов при составлении общего бюджета,</w:t>
      </w:r>
      <w:r w:rsidRPr="00275D2B">
        <w:rPr>
          <w:lang w:val="ru-RU"/>
        </w:rPr>
        <w:t xml:space="preserve"> </w:t>
      </w:r>
      <w:r>
        <w:rPr>
          <w:lang w:val="ru-RU"/>
        </w:rPr>
        <w:t>изложенное в таблице 3 приложения к настоящему решению;</w:t>
      </w:r>
    </w:p>
    <w:p w14:paraId="6E621A81"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уполномочивает</w:t>
      </w:r>
      <w:r>
        <w:rPr>
          <w:lang w:val="ru-RU"/>
        </w:rPr>
        <w:t xml:space="preserve"> в порядке исключения Исполнительного секретаря в качестве крайней меры привлекать дополнительные средства в сумме, не превышающей 541 749 долл. США, за счет чистого остатка средств Общего целевого фонда для покрытия любого дефицита средств в утвержденном штатном расписании на двухгодичный период 2026–2027 годов, если ежегодное увеличение, применяемое к реальным расходам на содержание персонала и используемое для определения заложенных в бюджет расходов на содержание персонала, окажется недостаточным, при условии, что чистый остаток средств не окажется ниже уровня резерва оборотных средств;</w:t>
      </w:r>
    </w:p>
    <w:p w14:paraId="449FC711"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w:t>
      </w:r>
      <w:r>
        <w:rPr>
          <w:lang w:val="ru-RU"/>
        </w:rPr>
        <w:t xml:space="preserve"> ориентировочную шкалу взносов для распределения средств на расходы в 2026–2027 годах,</w:t>
      </w:r>
      <w:r w:rsidRPr="005A4A3B">
        <w:rPr>
          <w:lang w:val="ru-RU"/>
        </w:rPr>
        <w:t xml:space="preserve"> </w:t>
      </w:r>
      <w:r>
        <w:rPr>
          <w:lang w:val="ru-RU"/>
        </w:rPr>
        <w:t xml:space="preserve">изложенную в таблице 2 приложения к настоящему решению, и уполномочивает Исполнительного секретаря, в соответствии с Финансовыми положениями и </w:t>
      </w:r>
      <w:r>
        <w:rPr>
          <w:lang w:val="ru-RU"/>
        </w:rPr>
        <w:lastRenderedPageBreak/>
        <w:t>правилами Организации Объединенных Наций, корректировать шкалу взносов, включив в нее все Стороны, для которых Конвенция вступила в силу по состоянию на 1 января 2026 года;</w:t>
      </w:r>
    </w:p>
    <w:p w14:paraId="40A4A8EC"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напоминает</w:t>
      </w:r>
      <w:r>
        <w:rPr>
          <w:lang w:val="ru-RU"/>
        </w:rPr>
        <w:t xml:space="preserve"> о том, что срок уплаты взносов в Общий целевой фонд – 1 января года, для которого эти взносы были предусмотрены в бюджете, и не позднее 31 декабря того же года, и призывает Стороны уплачивать их взносы как можно скорее, с тем чтобы секретариат мог выполнять свою работу;</w:t>
      </w:r>
    </w:p>
    <w:p w14:paraId="07F14619"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предлагает</w:t>
      </w:r>
      <w:r>
        <w:rPr>
          <w:lang w:val="ru-RU"/>
        </w:rPr>
        <w:t xml:space="preserve"> Сторонам приложить все усилия для скорейшей уплаты любых неуплаченных взносов и поручает секретариату представить Конференции Сторон на ее седьмом совещании доклад о прогрессе, достигнутом благодаря усилиям, предпринятым Сторонами;</w:t>
      </w:r>
    </w:p>
    <w:p w14:paraId="4E1AD0D3"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поручает</w:t>
      </w:r>
      <w:r>
        <w:rPr>
          <w:lang w:val="ru-RU"/>
        </w:rPr>
        <w:t xml:space="preserve"> секретариату в сложившейся ситуации работать непосредственно с постоянными представительствами, министерствами иностранных дел и координаторами Сторон, с тем чтобы они в кратчайшие сроки выплатили свои неуплаченные взносы в полном объеме, и представлять на соответствующих совещаниях информацию о текущем положении дел с неуплаченными взносами и их последствиями;</w:t>
      </w:r>
    </w:p>
    <w:p w14:paraId="75C9FAC7"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84" w:name="_Toc222992831"/>
      <w:r>
        <w:rPr>
          <w:bCs/>
          <w:lang w:val="ru-RU"/>
        </w:rPr>
        <w:t>II</w:t>
      </w:r>
      <w:bookmarkEnd w:id="84"/>
    </w:p>
    <w:p w14:paraId="60A6931C"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85" w:name="_Toc222992832"/>
      <w:r>
        <w:rPr>
          <w:bCs/>
          <w:lang w:val="ru-RU"/>
        </w:rPr>
        <w:t>Специальный целевой фонд для Минаматской конвенции о ртути</w:t>
      </w:r>
      <w:bookmarkEnd w:id="85"/>
    </w:p>
    <w:p w14:paraId="71668BE2"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 к сведению</w:t>
      </w:r>
      <w:r>
        <w:rPr>
          <w:lang w:val="ru-RU"/>
        </w:rPr>
        <w:t xml:space="preserve"> представленный Исполнительным секретарем доклад о мероприятиях и расходах за 2024‒2025 годы в рамках Специального целевого фонда согласно информации о финансовых вопросах</w:t>
      </w:r>
      <w:r w:rsidRPr="001D2F94">
        <w:rPr>
          <w:rStyle w:val="FootnoteReference"/>
          <w:lang w:val="ru-RU"/>
        </w:rPr>
        <w:footnoteReference w:id="40"/>
      </w:r>
      <w:r>
        <w:rPr>
          <w:lang w:val="ru-RU"/>
        </w:rPr>
        <w:t>, а также представленный секретариатом доклад о ходе осуществления программы работы на 2024–2025 годы</w:t>
      </w:r>
      <w:r w:rsidRPr="001D2F94">
        <w:rPr>
          <w:rStyle w:val="FootnoteReference"/>
          <w:lang w:val="ru-RU"/>
        </w:rPr>
        <w:footnoteReference w:id="41"/>
      </w:r>
      <w:r>
        <w:rPr>
          <w:lang w:val="ru-RU"/>
        </w:rPr>
        <w:t xml:space="preserve">; </w:t>
      </w:r>
    </w:p>
    <w:p w14:paraId="061160D4"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 к сведению</w:t>
      </w:r>
      <w:r>
        <w:rPr>
          <w:lang w:val="ru-RU"/>
        </w:rPr>
        <w:t xml:space="preserve"> </w:t>
      </w:r>
      <w:r>
        <w:rPr>
          <w:i/>
          <w:iCs/>
          <w:lang w:val="ru-RU"/>
        </w:rPr>
        <w:t>также</w:t>
      </w:r>
      <w:r>
        <w:rPr>
          <w:lang w:val="ru-RU"/>
        </w:rPr>
        <w:t xml:space="preserve"> предлагаемые программу работы и бюджет на двухгодичный период 2026–2027 годов</w:t>
      </w:r>
      <w:r w:rsidRPr="001D2F94">
        <w:rPr>
          <w:rStyle w:val="FootnoteReference"/>
          <w:lang w:val="ru-RU"/>
        </w:rPr>
        <w:footnoteReference w:id="42"/>
      </w:r>
      <w:r>
        <w:rPr>
          <w:lang w:val="ru-RU"/>
        </w:rPr>
        <w:t>, а также дополнительную информацию о финансовых вопросах</w:t>
      </w:r>
      <w:r w:rsidRPr="001D2F94">
        <w:rPr>
          <w:rStyle w:val="FootnoteReference"/>
          <w:lang w:val="ru-RU"/>
        </w:rPr>
        <w:footnoteReference w:id="43"/>
      </w:r>
      <w:r>
        <w:rPr>
          <w:lang w:val="ru-RU"/>
        </w:rPr>
        <w:t xml:space="preserve"> и справки о предусмотренных бюджетом мероприятиях</w:t>
      </w:r>
      <w:r w:rsidRPr="001D2F94">
        <w:rPr>
          <w:rStyle w:val="FootnoteReference"/>
          <w:lang w:val="ru-RU"/>
        </w:rPr>
        <w:footnoteReference w:id="44"/>
      </w:r>
      <w:r>
        <w:rPr>
          <w:lang w:val="ru-RU"/>
        </w:rPr>
        <w:t>;</w:t>
      </w:r>
    </w:p>
    <w:p w14:paraId="63BC6514" w14:textId="77777777" w:rsidR="00107665" w:rsidRPr="005D0F95"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соглашается</w:t>
      </w:r>
      <w:r>
        <w:rPr>
          <w:lang w:val="ru-RU"/>
        </w:rPr>
        <w:t xml:space="preserve"> со сметой для Специального целевого фонда на двухгодичный период 2026–2027 годов в размере 4 891 770 долл. США; </w:t>
      </w:r>
    </w:p>
    <w:p w14:paraId="4D7E95B8"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отмечает</w:t>
      </w:r>
      <w:r>
        <w:rPr>
          <w:lang w:val="ru-RU"/>
        </w:rPr>
        <w:t>, что осуществление запланированных мероприятий обусловливается наличием ресурсов, вносимых в Специальный целевой фонд;</w:t>
      </w:r>
    </w:p>
    <w:p w14:paraId="0C428B70"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призывает</w:t>
      </w:r>
      <w:r>
        <w:rPr>
          <w:lang w:val="ru-RU"/>
        </w:rPr>
        <w:t xml:space="preserve"> Стороны Конвенции и предлагает государствам, не являющимся Сторонами Конвенции, и другим субъектам, располагающим такой возможностью, уплачивать взносы в Специальный целевой фонд;</w:t>
      </w:r>
    </w:p>
    <w:p w14:paraId="6FEC0820"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предлагает</w:t>
      </w:r>
      <w:r>
        <w:rPr>
          <w:lang w:val="ru-RU"/>
        </w:rPr>
        <w:t xml:space="preserve"> Сторонам и государствам, не являющимся Сторонами Конвенции, и другим субъектам, располагающим такой возможностью, уплачивать взносы в Специальный целевой фонд для оказания поддержки участию представителей Сторон из числа развивающихся стран и стран с переходной экономикой в совещаниях Конференции Сторон и ее вспомогательных органов;</w:t>
      </w:r>
    </w:p>
    <w:p w14:paraId="4D00958E"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поручает</w:t>
      </w:r>
      <w:r>
        <w:rPr>
          <w:lang w:val="ru-RU"/>
        </w:rPr>
        <w:t xml:space="preserve"> Исполнительному секретарю организовать, при наличии ресурсов, мероприятие высокого уровня, посвященное десятой годовщине Конвенции, в ходе восьмой сессии Ассамблеи Организации Объединенных Наций по окружающей среде;</w:t>
      </w:r>
    </w:p>
    <w:p w14:paraId="2A765203"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86" w:name="_Toc222992833"/>
      <w:r>
        <w:rPr>
          <w:bCs/>
          <w:lang w:val="ru-RU"/>
        </w:rPr>
        <w:t>III</w:t>
      </w:r>
      <w:bookmarkEnd w:id="86"/>
    </w:p>
    <w:p w14:paraId="1835065F"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87" w:name="_Toc222992834"/>
      <w:r>
        <w:rPr>
          <w:bCs/>
          <w:lang w:val="ru-RU"/>
        </w:rPr>
        <w:t>Особый целевой фонд для Минаматской конвенции о ртути</w:t>
      </w:r>
      <w:bookmarkEnd w:id="87"/>
    </w:p>
    <w:p w14:paraId="454236B7"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 к сведению</w:t>
      </w:r>
      <w:r>
        <w:rPr>
          <w:lang w:val="ru-RU"/>
        </w:rPr>
        <w:t xml:space="preserve"> общий доклад о Целевой международной программе для поддержки процессов создания потенциала и оказания технической помощи и Особого целевого фонда, сформированного для этой деятельности</w:t>
      </w:r>
      <w:r w:rsidRPr="001D2F94">
        <w:rPr>
          <w:rStyle w:val="FootnoteReference"/>
          <w:lang w:val="ru-RU"/>
        </w:rPr>
        <w:footnoteReference w:id="45"/>
      </w:r>
      <w:r>
        <w:rPr>
          <w:lang w:val="ru-RU"/>
        </w:rPr>
        <w:t xml:space="preserve">; </w:t>
      </w:r>
    </w:p>
    <w:p w14:paraId="1839D9E8"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предлагает</w:t>
      </w:r>
      <w:r>
        <w:rPr>
          <w:lang w:val="ru-RU"/>
        </w:rPr>
        <w:t xml:space="preserve"> Сторонам и государствам, не являющимся Сторонами Конвенции, и другим субъектам, располагающим такой возможностью, уплачивать взносы в Особый целевой </w:t>
      </w:r>
      <w:r>
        <w:rPr>
          <w:lang w:val="ru-RU"/>
        </w:rPr>
        <w:lastRenderedPageBreak/>
        <w:t>фонд для поддержки мероприятий по созданию потенциала и оказанию технической помощи в соответствии со статьей 13 Конвенции;</w:t>
      </w:r>
    </w:p>
    <w:p w14:paraId="7E69616F"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призывает</w:t>
      </w:r>
      <w:r>
        <w:rPr>
          <w:lang w:val="ru-RU"/>
        </w:rPr>
        <w:t xml:space="preserve"> Стороны финансировать должность младшего сотрудника</w:t>
      </w:r>
      <w:r>
        <w:rPr>
          <w:lang w:val="ru-RU"/>
        </w:rPr>
        <w:noBreakHyphen/>
        <w:t>специалиста для оказания помощи в осуществлении деятельности в рамках Целевой международной программы;</w:t>
      </w:r>
    </w:p>
    <w:p w14:paraId="2BCBDC75"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b w:val="0"/>
          <w:lang w:val="ru-RU"/>
        </w:rPr>
      </w:pPr>
      <w:bookmarkStart w:id="88" w:name="_Toc222992835"/>
      <w:r>
        <w:rPr>
          <w:bCs/>
          <w:lang w:val="ru-RU"/>
        </w:rPr>
        <w:t>IV</w:t>
      </w:r>
      <w:bookmarkEnd w:id="88"/>
    </w:p>
    <w:p w14:paraId="46D5352B"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b w:val="0"/>
          <w:lang w:val="ru-RU"/>
        </w:rPr>
      </w:pPr>
      <w:bookmarkStart w:id="89" w:name="_Toc222992836"/>
      <w:r>
        <w:rPr>
          <w:bCs/>
          <w:lang w:val="ru-RU"/>
        </w:rPr>
        <w:t>Подготовка к двухгодичному периоду 2028</w:t>
      </w:r>
      <w:r w:rsidRPr="004057FC">
        <w:rPr>
          <w:bCs/>
          <w:lang w:val="ru-RU"/>
        </w:rPr>
        <w:t>–</w:t>
      </w:r>
      <w:r>
        <w:rPr>
          <w:bCs/>
          <w:lang w:val="ru-RU"/>
        </w:rPr>
        <w:t>2029 годов</w:t>
      </w:r>
      <w:bookmarkEnd w:id="89"/>
    </w:p>
    <w:p w14:paraId="7C658317"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i/>
          <w:iCs/>
          <w:lang w:val="ru-RU"/>
        </w:rPr>
      </w:pPr>
      <w:r>
        <w:rPr>
          <w:i/>
          <w:iCs/>
          <w:lang w:val="ru-RU"/>
        </w:rPr>
        <w:t>поручает</w:t>
      </w:r>
      <w:r>
        <w:rPr>
          <w:lang w:val="ru-RU"/>
        </w:rPr>
        <w:t xml:space="preserve"> Исполнительному секретарю подготовить бюджет на двухгодичный период 2028–2029 годов для рассмотрения Конференцией Сторон на ее седьмом совещании в 2027 году, разъяснив основные принципы, предположения и программную стратегию, на которых основывается бюджет, и представив расходы на этот двухгодичный период в соответствии с программным форматом и с указанием предусмотренных бюджетом мероприятий, сопроводив каждое мероприятие справкой о предусмотренном бюджетом мероприятии;</w:t>
      </w:r>
    </w:p>
    <w:p w14:paraId="5D630CB4"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i/>
          <w:iCs/>
          <w:lang w:val="ru-RU"/>
        </w:rPr>
      </w:pPr>
      <w:r>
        <w:rPr>
          <w:i/>
          <w:iCs/>
          <w:lang w:val="ru-RU"/>
        </w:rPr>
        <w:t>поручает также</w:t>
      </w:r>
      <w:r>
        <w:rPr>
          <w:lang w:val="ru-RU"/>
        </w:rPr>
        <w:t xml:space="preserve"> Исполнительному секретарю при подготовке бюджета и программы работы на двухгодичный период 2028–2029 годов представить два сценария:</w:t>
      </w:r>
    </w:p>
    <w:p w14:paraId="3BEB3F44" w14:textId="77777777" w:rsidR="00107665" w:rsidRPr="00215D83" w:rsidRDefault="00107665" w:rsidP="002D3800">
      <w:pPr>
        <w:pStyle w:val="NormalNonumber"/>
        <w:numPr>
          <w:ilvl w:val="0"/>
          <w:numId w:val="6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сценарий, предусматривающий сохранение операционного бюджета на уровне 2026–2027 годов в номинальном выражении;</w:t>
      </w:r>
    </w:p>
    <w:p w14:paraId="4AE6E06E" w14:textId="77777777" w:rsidR="00107665" w:rsidRPr="00215D83" w:rsidRDefault="00107665" w:rsidP="002D3800">
      <w:pPr>
        <w:pStyle w:val="NormalNonumber"/>
        <w:numPr>
          <w:ilvl w:val="0"/>
          <w:numId w:val="6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сценарий, в котором отражаются необходимые изменения в вышеупомянутом сценарии для удовлетворения прогнозируемых потребностей и покрытия связанных с этим расходов или экономии средств, а увеличение бюджета по сравнению с уровнем 2026</w:t>
      </w:r>
      <w:r w:rsidRPr="00215D83">
        <w:rPr>
          <w:lang w:val="ru-RU"/>
        </w:rPr>
        <w:noBreakHyphen/>
      </w:r>
      <w:r>
        <w:rPr>
          <w:lang w:val="ru-RU"/>
        </w:rPr>
        <w:t>2027</w:t>
      </w:r>
      <w:r>
        <w:rPr>
          <w:lang w:val="en-US"/>
        </w:rPr>
        <w:t> </w:t>
      </w:r>
      <w:r>
        <w:rPr>
          <w:lang w:val="ru-RU"/>
        </w:rPr>
        <w:t>годов в номинальном выражении не превышает 5 процентов;</w:t>
      </w:r>
    </w:p>
    <w:p w14:paraId="163CB5CE"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подчеркивает</w:t>
      </w:r>
      <w:r>
        <w:rPr>
          <w:lang w:val="ru-RU"/>
        </w:rPr>
        <w:t xml:space="preserve"> необходимость обеспечения того, чтобы предлагаемые бюджеты были реалистичными и отражали согласованные приоритеты всех Сторон, с тем чтобы содействовать обеспечению устойчивого и стабильного остатка средств в фондах и остатка кассовых средств, включая полученные взносы;</w:t>
      </w:r>
      <w:bookmarkStart w:id="90" w:name="_Hlk38285479"/>
      <w:bookmarkEnd w:id="90"/>
    </w:p>
    <w:p w14:paraId="32174B25"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поручает</w:t>
      </w:r>
      <w:r>
        <w:rPr>
          <w:lang w:val="ru-RU"/>
        </w:rPr>
        <w:t xml:space="preserve"> Исполнительному секретарю в соответствии с пунктом 8 правила 5 Финансовых правил Конференции Сторон Минаматской конвенции о ртути, ее вспомогательных органов и секретариата Конвенции незамедлительно подтвердить получение всех объявленных и уплаченных взносов и проинформировать об этом Стороны путем публикации на веб-сайте Конвенции актуальной информации о положении дел с объявленными взносами и о ходе уплаты взносов, а также представить подробную и актуальную информацию о фактических поступлениях и расходах Общего целевого фонда и Специального целевого фонда;</w:t>
      </w:r>
      <w:bookmarkStart w:id="91" w:name="_Hlk38285636"/>
      <w:bookmarkEnd w:id="91"/>
    </w:p>
    <w:p w14:paraId="42AAA3D5" w14:textId="65871C0B"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поручает также</w:t>
      </w:r>
      <w:r>
        <w:rPr>
          <w:lang w:val="ru-RU"/>
        </w:rPr>
        <w:t xml:space="preserve"> Исполнительному секретарю в соответствии с пунктом 1 правила 3 Финансовых правил Конференции Сторон Минаматской конвенции о ртути, ее вспомогательных органов и секретариата Конвенции представить подробную информацию о фактических поступлениях и расходах за каждый год двухгодичного периода 2024</w:t>
      </w:r>
      <w:r w:rsidR="003D26E8">
        <w:rPr>
          <w:lang w:val="ru-RU"/>
        </w:rPr>
        <w:t>–</w:t>
      </w:r>
      <w:r>
        <w:rPr>
          <w:lang w:val="ru-RU"/>
        </w:rPr>
        <w:t>2025</w:t>
      </w:r>
      <w:r>
        <w:rPr>
          <w:lang w:val="en-US"/>
        </w:rPr>
        <w:t> </w:t>
      </w:r>
      <w:r>
        <w:rPr>
          <w:lang w:val="ru-RU"/>
        </w:rPr>
        <w:t>годов и за 2026 год, а также смету фактических расходов на 2027 год;</w:t>
      </w:r>
    </w:p>
    <w:p w14:paraId="275BF09B" w14:textId="653912CE" w:rsidR="00107665" w:rsidRPr="00215D83"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Pr>
          <w:lang w:val="ru-RU"/>
        </w:rPr>
        <w:t>25.</w:t>
      </w:r>
      <w:r>
        <w:rPr>
          <w:lang w:val="ru-RU"/>
        </w:rPr>
        <w:tab/>
      </w:r>
      <w:r>
        <w:rPr>
          <w:i/>
          <w:iCs/>
          <w:lang w:val="ru-RU"/>
        </w:rPr>
        <w:t>поручает далее</w:t>
      </w:r>
      <w:r>
        <w:rPr>
          <w:lang w:val="ru-RU"/>
        </w:rPr>
        <w:t xml:space="preserve"> Исполнительному секретарю подготовить</w:t>
      </w:r>
      <w:r w:rsidR="0026438A" w:rsidRPr="0026438A">
        <w:rPr>
          <w:lang w:val="ru-RU"/>
        </w:rPr>
        <w:t xml:space="preserve"> </w:t>
      </w:r>
      <w:r w:rsidR="0026438A">
        <w:rPr>
          <w:lang w:val="ru-RU"/>
        </w:rPr>
        <w:t>доклад</w:t>
      </w:r>
      <w:r>
        <w:rPr>
          <w:lang w:val="ru-RU"/>
        </w:rPr>
        <w:t>, при наличи</w:t>
      </w:r>
      <w:r w:rsidR="0026438A">
        <w:rPr>
          <w:lang w:val="ru-RU"/>
        </w:rPr>
        <w:t>и</w:t>
      </w:r>
      <w:r>
        <w:rPr>
          <w:lang w:val="ru-RU"/>
        </w:rPr>
        <w:t xml:space="preserve"> ресурсов, для рассмотрения Конференцией Сторон на ее седьмом совещании, в котором будут представлены варианты мер по снижению затрат. В число таких вариантов могут входить, среди прочего, изменение сроков, формата и продолжительности совещаний, проводимых в рамках Конвенции, соображения, касающиеся экономически целесообразных технологий письменного перевода, соображения, связанные с кадровым обеспечением секретариата, а также соображения, касающиеся возможных соглашений о совместном несении расходов с секретариатами других соответствующих многосторонних природоохранных соглашений с учетом передовых методов работы.</w:t>
      </w:r>
    </w:p>
    <w:p w14:paraId="0D2A3611" w14:textId="77777777" w:rsidR="00107665" w:rsidRPr="00215D83" w:rsidRDefault="00107665" w:rsidP="00107665">
      <w:pPr>
        <w:pStyle w:val="Normal-pool"/>
        <w:tabs>
          <w:tab w:val="clear" w:pos="624"/>
          <w:tab w:val="clear" w:pos="1247"/>
          <w:tab w:val="clear" w:pos="1871"/>
          <w:tab w:val="clear" w:pos="2495"/>
          <w:tab w:val="clear" w:pos="3119"/>
          <w:tab w:val="clear" w:pos="3742"/>
          <w:tab w:val="clear" w:pos="4366"/>
          <w:tab w:val="clear" w:pos="4990"/>
        </w:tabs>
        <w:rPr>
          <w:sz w:val="4"/>
          <w:szCs w:val="4"/>
          <w:lang w:val="ru-RU"/>
        </w:rPr>
      </w:pPr>
    </w:p>
    <w:p w14:paraId="2768CFCB" w14:textId="77777777" w:rsidR="00107665" w:rsidRPr="00DB6FFC" w:rsidRDefault="00107665" w:rsidP="00107665">
      <w:pPr>
        <w:pStyle w:val="NormalNonumber"/>
        <w:tabs>
          <w:tab w:val="clear" w:pos="1247"/>
          <w:tab w:val="clear" w:pos="1871"/>
          <w:tab w:val="clear" w:pos="2495"/>
          <w:tab w:val="clear" w:pos="3119"/>
          <w:tab w:val="clear" w:pos="3742"/>
          <w:tab w:val="clear" w:pos="4366"/>
          <w:tab w:val="clear" w:pos="4990"/>
        </w:tabs>
        <w:ind w:left="0"/>
        <w:rPr>
          <w:rFonts w:asciiTheme="majorBidi" w:hAnsiTheme="majorBidi" w:cstheme="majorBidi"/>
          <w:lang w:val="ru-RU"/>
        </w:rPr>
        <w:sectPr w:rsidR="00107665" w:rsidRPr="00DB6FFC" w:rsidSect="00107665">
          <w:footnotePr>
            <w:numRestart w:val="eachSect"/>
          </w:footnotePr>
          <w:type w:val="continuous"/>
          <w:pgSz w:w="11906" w:h="16838" w:code="9"/>
          <w:pgMar w:top="907" w:right="992" w:bottom="1418" w:left="1418" w:header="539" w:footer="975" w:gutter="0"/>
          <w:cols w:space="539"/>
          <w:docGrid w:linePitch="360"/>
        </w:sectPr>
      </w:pPr>
      <w:r>
        <w:rPr>
          <w:lang w:val="ru-RU"/>
        </w:rPr>
        <w:t>.</w:t>
      </w:r>
    </w:p>
    <w:p w14:paraId="7AF85943" w14:textId="579EDD80" w:rsidR="00107665" w:rsidRPr="00DB6FFC" w:rsidRDefault="00107665" w:rsidP="003D26E8">
      <w:pPr>
        <w:pStyle w:val="CH2"/>
        <w:tabs>
          <w:tab w:val="clear" w:pos="851"/>
          <w:tab w:val="clear" w:pos="1247"/>
          <w:tab w:val="clear" w:pos="1871"/>
          <w:tab w:val="clear" w:pos="2495"/>
          <w:tab w:val="clear" w:pos="3119"/>
          <w:tab w:val="clear" w:pos="3742"/>
          <w:tab w:val="clear" w:pos="4366"/>
          <w:tab w:val="clear" w:pos="4990"/>
        </w:tabs>
        <w:ind w:left="2494"/>
        <w:rPr>
          <w:rFonts w:asciiTheme="majorBidi" w:hAnsiTheme="majorBidi" w:cstheme="majorBidi"/>
          <w:lang w:val="ru-RU"/>
        </w:rPr>
      </w:pPr>
      <w:bookmarkStart w:id="92" w:name="_Toc222992837"/>
      <w:r>
        <w:rPr>
          <w:bCs/>
          <w:lang w:val="ru-RU"/>
        </w:rPr>
        <w:lastRenderedPageBreak/>
        <w:t>Приложение к решению МК-6/21</w:t>
      </w:r>
      <w:bookmarkEnd w:id="92"/>
    </w:p>
    <w:p w14:paraId="24855A39" w14:textId="5E8EED5D" w:rsidR="00107665" w:rsidRPr="00DB6FFC" w:rsidRDefault="00107665" w:rsidP="008110A8">
      <w:pPr>
        <w:pStyle w:val="Titletable"/>
        <w:tabs>
          <w:tab w:val="clear" w:pos="624"/>
          <w:tab w:val="clear" w:pos="1247"/>
          <w:tab w:val="clear" w:pos="1871"/>
          <w:tab w:val="clear" w:pos="2495"/>
          <w:tab w:val="clear" w:pos="3119"/>
          <w:tab w:val="clear" w:pos="3742"/>
          <w:tab w:val="clear" w:pos="4366"/>
          <w:tab w:val="clear" w:pos="4990"/>
        </w:tabs>
        <w:spacing w:after="0"/>
        <w:rPr>
          <w:rFonts w:asciiTheme="majorBidi" w:hAnsiTheme="majorBidi" w:cstheme="majorBidi"/>
          <w:lang w:val="ru-RU"/>
        </w:rPr>
      </w:pPr>
      <w:r w:rsidRPr="00DD470C">
        <w:rPr>
          <w:b w:val="0"/>
          <w:bCs w:val="0"/>
          <w:lang w:val="ru-RU"/>
        </w:rPr>
        <w:t xml:space="preserve">Таблица 1 </w:t>
      </w:r>
      <w:r w:rsidR="00DD470C">
        <w:rPr>
          <w:lang w:val="ru-RU"/>
        </w:rPr>
        <w:br/>
      </w:r>
      <w:r>
        <w:rPr>
          <w:lang w:val="ru-RU"/>
        </w:rPr>
        <w:t>Программа работы и бюджет на двухгодичный период 2026‒2027 годов</w:t>
      </w:r>
    </w:p>
    <w:p w14:paraId="2AE3125A" w14:textId="77777777" w:rsidR="00107665" w:rsidRPr="00DD470C" w:rsidRDefault="00107665" w:rsidP="008110A8">
      <w:pPr>
        <w:pStyle w:val="Titletable"/>
        <w:tabs>
          <w:tab w:val="clear" w:pos="624"/>
          <w:tab w:val="clear" w:pos="1247"/>
          <w:tab w:val="clear" w:pos="1871"/>
          <w:tab w:val="clear" w:pos="2495"/>
          <w:tab w:val="clear" w:pos="3119"/>
          <w:tab w:val="clear" w:pos="3742"/>
          <w:tab w:val="clear" w:pos="4366"/>
          <w:tab w:val="clear" w:pos="4990"/>
        </w:tabs>
        <w:spacing w:after="0"/>
        <w:rPr>
          <w:rFonts w:asciiTheme="majorBidi" w:hAnsiTheme="majorBidi" w:cstheme="majorBidi"/>
          <w:b w:val="0"/>
          <w:bCs w:val="0"/>
          <w:sz w:val="18"/>
          <w:szCs w:val="18"/>
        </w:rPr>
      </w:pPr>
      <w:r w:rsidRPr="00DD470C">
        <w:rPr>
          <w:b w:val="0"/>
          <w:bCs w:val="0"/>
          <w:sz w:val="18"/>
          <w:szCs w:val="18"/>
          <w:lang w:val="ru-RU"/>
        </w:rPr>
        <w:t>(долл. США)</w:t>
      </w:r>
    </w:p>
    <w:tbl>
      <w:tblPr>
        <w:tblW w:w="5000" w:type="pct"/>
        <w:jc w:val="right"/>
        <w:tblLayout w:type="fixed"/>
        <w:tblLook w:val="04A0" w:firstRow="1" w:lastRow="0" w:firstColumn="1" w:lastColumn="0" w:noHBand="0" w:noVBand="1"/>
      </w:tblPr>
      <w:tblGrid>
        <w:gridCol w:w="284"/>
        <w:gridCol w:w="6946"/>
        <w:gridCol w:w="1275"/>
        <w:gridCol w:w="1134"/>
        <w:gridCol w:w="1276"/>
        <w:gridCol w:w="1134"/>
        <w:gridCol w:w="1134"/>
        <w:gridCol w:w="1245"/>
      </w:tblGrid>
      <w:tr w:rsidR="00107665" w:rsidRPr="00D62C5E" w14:paraId="5EF001DB" w14:textId="77777777" w:rsidTr="008E43FF">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6443D1C6" w14:textId="77777777" w:rsidR="00107665" w:rsidRPr="00D62C5E" w:rsidRDefault="00107665" w:rsidP="008110A8">
            <w:pPr>
              <w:tabs>
                <w:tab w:val="clear" w:pos="1247"/>
                <w:tab w:val="clear" w:pos="1814"/>
                <w:tab w:val="clear" w:pos="2381"/>
                <w:tab w:val="clear" w:pos="2948"/>
                <w:tab w:val="clear" w:pos="3515"/>
              </w:tabs>
              <w:spacing w:before="40" w:after="40"/>
              <w:rPr>
                <w:i/>
                <w:iCs/>
                <w:sz w:val="18"/>
                <w:szCs w:val="18"/>
              </w:rPr>
            </w:pPr>
            <w:r w:rsidRPr="00D62C5E">
              <w:rPr>
                <w:i/>
                <w:iCs/>
                <w:color w:val="000000"/>
                <w:sz w:val="18"/>
                <w:szCs w:val="18"/>
              </w:rPr>
              <w:t> </w:t>
            </w:r>
          </w:p>
        </w:tc>
        <w:tc>
          <w:tcPr>
            <w:tcW w:w="6946" w:type="dxa"/>
            <w:tcBorders>
              <w:top w:val="single" w:sz="4" w:space="0" w:color="auto"/>
              <w:bottom w:val="single" w:sz="4" w:space="0" w:color="auto"/>
            </w:tcBorders>
            <w:shd w:val="clear" w:color="000000" w:fill="DBB731"/>
            <w:noWrap/>
            <w:vAlign w:val="bottom"/>
            <w:hideMark/>
          </w:tcPr>
          <w:p w14:paraId="18D372EC" w14:textId="4E7F88FA" w:rsidR="00107665" w:rsidRPr="00D62C5E" w:rsidRDefault="00107665" w:rsidP="008110A8">
            <w:pPr>
              <w:tabs>
                <w:tab w:val="clear" w:pos="1247"/>
                <w:tab w:val="clear" w:pos="1814"/>
                <w:tab w:val="clear" w:pos="2381"/>
                <w:tab w:val="clear" w:pos="2948"/>
                <w:tab w:val="clear" w:pos="3515"/>
              </w:tabs>
              <w:spacing w:before="40" w:after="40"/>
              <w:rPr>
                <w:i/>
                <w:iCs/>
                <w:sz w:val="18"/>
                <w:szCs w:val="18"/>
              </w:rPr>
            </w:pPr>
            <w:r w:rsidRPr="00D62C5E">
              <w:rPr>
                <w:i/>
                <w:iCs/>
                <w:color w:val="000000"/>
                <w:sz w:val="18"/>
                <w:szCs w:val="18"/>
                <w:lang w:val="ru-RU"/>
              </w:rPr>
              <w:t>Бюджет, 2026</w:t>
            </w:r>
            <w:r w:rsidR="00162D22" w:rsidRPr="00D62C5E">
              <w:rPr>
                <w:i/>
                <w:iCs/>
                <w:color w:val="000000"/>
                <w:sz w:val="18"/>
                <w:szCs w:val="18"/>
                <w:lang w:val="ru-RU"/>
              </w:rPr>
              <w:t>–</w:t>
            </w:r>
            <w:r w:rsidRPr="00D62C5E">
              <w:rPr>
                <w:i/>
                <w:iCs/>
                <w:color w:val="000000"/>
                <w:sz w:val="18"/>
                <w:szCs w:val="18"/>
                <w:lang w:val="ru-RU"/>
              </w:rPr>
              <w:t>2027 годы</w:t>
            </w:r>
          </w:p>
        </w:tc>
        <w:tc>
          <w:tcPr>
            <w:tcW w:w="3685" w:type="dxa"/>
            <w:gridSpan w:val="3"/>
            <w:tcBorders>
              <w:top w:val="single" w:sz="4" w:space="0" w:color="auto"/>
              <w:bottom w:val="single" w:sz="4" w:space="0" w:color="auto"/>
            </w:tcBorders>
            <w:shd w:val="clear" w:color="000000" w:fill="DBB731"/>
            <w:vAlign w:val="bottom"/>
            <w:hideMark/>
          </w:tcPr>
          <w:p w14:paraId="02EC80FC" w14:textId="77777777" w:rsidR="00107665" w:rsidRPr="00D62C5E" w:rsidRDefault="00107665" w:rsidP="008110A8">
            <w:pPr>
              <w:tabs>
                <w:tab w:val="clear" w:pos="1247"/>
                <w:tab w:val="clear" w:pos="1814"/>
                <w:tab w:val="clear" w:pos="2381"/>
                <w:tab w:val="clear" w:pos="2948"/>
                <w:tab w:val="clear" w:pos="3515"/>
              </w:tabs>
              <w:spacing w:before="40" w:after="40"/>
              <w:jc w:val="center"/>
              <w:rPr>
                <w:i/>
                <w:iCs/>
                <w:sz w:val="18"/>
                <w:szCs w:val="18"/>
              </w:rPr>
            </w:pPr>
            <w:r w:rsidRPr="00D62C5E">
              <w:rPr>
                <w:i/>
                <w:iCs/>
                <w:color w:val="000000"/>
                <w:sz w:val="18"/>
                <w:szCs w:val="18"/>
                <w:lang w:val="ru-RU"/>
              </w:rPr>
              <w:t>Общий целевой фонд</w:t>
            </w:r>
          </w:p>
        </w:tc>
        <w:tc>
          <w:tcPr>
            <w:tcW w:w="3513" w:type="dxa"/>
            <w:gridSpan w:val="3"/>
            <w:tcBorders>
              <w:top w:val="single" w:sz="4" w:space="0" w:color="auto"/>
              <w:bottom w:val="single" w:sz="4" w:space="0" w:color="auto"/>
            </w:tcBorders>
            <w:shd w:val="clear" w:color="000000" w:fill="DBB731"/>
            <w:vAlign w:val="bottom"/>
            <w:hideMark/>
          </w:tcPr>
          <w:p w14:paraId="461CEE55" w14:textId="77777777" w:rsidR="00107665" w:rsidRPr="00D62C5E" w:rsidRDefault="00107665" w:rsidP="008110A8">
            <w:pPr>
              <w:tabs>
                <w:tab w:val="clear" w:pos="1247"/>
                <w:tab w:val="clear" w:pos="1814"/>
                <w:tab w:val="clear" w:pos="2381"/>
                <w:tab w:val="clear" w:pos="2948"/>
                <w:tab w:val="clear" w:pos="3515"/>
              </w:tabs>
              <w:spacing w:before="40" w:after="40"/>
              <w:jc w:val="center"/>
              <w:rPr>
                <w:i/>
                <w:iCs/>
                <w:sz w:val="18"/>
                <w:szCs w:val="18"/>
              </w:rPr>
            </w:pPr>
            <w:r w:rsidRPr="00D62C5E">
              <w:rPr>
                <w:i/>
                <w:iCs/>
                <w:color w:val="000000"/>
                <w:sz w:val="18"/>
                <w:szCs w:val="18"/>
                <w:lang w:val="ru-RU"/>
              </w:rPr>
              <w:t>Специальный целевой фонд</w:t>
            </w:r>
          </w:p>
        </w:tc>
      </w:tr>
      <w:tr w:rsidR="00107665" w:rsidRPr="00D62C5E" w14:paraId="06B28D86" w14:textId="77777777" w:rsidTr="008E43FF">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8840A46"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tcBorders>
              <w:top w:val="single" w:sz="4" w:space="0" w:color="auto"/>
              <w:bottom w:val="single" w:sz="12" w:space="0" w:color="auto"/>
            </w:tcBorders>
            <w:shd w:val="clear" w:color="000000" w:fill="DBB731"/>
            <w:noWrap/>
            <w:vAlign w:val="center"/>
            <w:hideMark/>
          </w:tcPr>
          <w:p w14:paraId="3C8ADF7E" w14:textId="77777777" w:rsidR="00107665" w:rsidRPr="00D62C5E" w:rsidRDefault="00107665" w:rsidP="008110A8">
            <w:pPr>
              <w:tabs>
                <w:tab w:val="clear" w:pos="1247"/>
                <w:tab w:val="clear" w:pos="1814"/>
                <w:tab w:val="clear" w:pos="2381"/>
                <w:tab w:val="clear" w:pos="2948"/>
                <w:tab w:val="clear" w:pos="3515"/>
              </w:tabs>
              <w:spacing w:before="40" w:after="40"/>
              <w:rPr>
                <w:i/>
                <w:iCs/>
                <w:sz w:val="18"/>
                <w:szCs w:val="18"/>
              </w:rPr>
            </w:pPr>
            <w:r w:rsidRPr="00D62C5E">
              <w:rPr>
                <w:i/>
                <w:iCs/>
                <w:color w:val="000000"/>
                <w:sz w:val="18"/>
                <w:szCs w:val="18"/>
                <w:lang w:val="ru-RU"/>
              </w:rPr>
              <w:t>Мероприятие</w:t>
            </w:r>
          </w:p>
        </w:tc>
        <w:tc>
          <w:tcPr>
            <w:tcW w:w="1275" w:type="dxa"/>
            <w:tcBorders>
              <w:top w:val="single" w:sz="4" w:space="0" w:color="auto"/>
              <w:bottom w:val="single" w:sz="12" w:space="0" w:color="auto"/>
            </w:tcBorders>
            <w:shd w:val="clear" w:color="000000" w:fill="DBB731"/>
            <w:vAlign w:val="center"/>
            <w:hideMark/>
          </w:tcPr>
          <w:p w14:paraId="36ACCA3A"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2026 год</w:t>
            </w:r>
          </w:p>
        </w:tc>
        <w:tc>
          <w:tcPr>
            <w:tcW w:w="1134" w:type="dxa"/>
            <w:tcBorders>
              <w:top w:val="single" w:sz="4" w:space="0" w:color="auto"/>
              <w:bottom w:val="single" w:sz="12" w:space="0" w:color="auto"/>
            </w:tcBorders>
            <w:shd w:val="clear" w:color="000000" w:fill="DBB731"/>
            <w:vAlign w:val="center"/>
            <w:hideMark/>
          </w:tcPr>
          <w:p w14:paraId="1DD6EAAA"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2027 год</w:t>
            </w:r>
          </w:p>
        </w:tc>
        <w:tc>
          <w:tcPr>
            <w:tcW w:w="1276" w:type="dxa"/>
            <w:tcBorders>
              <w:top w:val="single" w:sz="4" w:space="0" w:color="auto"/>
              <w:bottom w:val="single" w:sz="12" w:space="0" w:color="auto"/>
            </w:tcBorders>
            <w:shd w:val="clear" w:color="000000" w:fill="DBB731"/>
            <w:vAlign w:val="center"/>
            <w:hideMark/>
          </w:tcPr>
          <w:p w14:paraId="58F53C32"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Всего</w:t>
            </w:r>
          </w:p>
        </w:tc>
        <w:tc>
          <w:tcPr>
            <w:tcW w:w="1134" w:type="dxa"/>
            <w:tcBorders>
              <w:top w:val="single" w:sz="4" w:space="0" w:color="auto"/>
              <w:bottom w:val="single" w:sz="12" w:space="0" w:color="auto"/>
            </w:tcBorders>
            <w:shd w:val="clear" w:color="000000" w:fill="DBB731"/>
            <w:vAlign w:val="center"/>
            <w:hideMark/>
          </w:tcPr>
          <w:p w14:paraId="53132C18"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2026 год</w:t>
            </w:r>
          </w:p>
        </w:tc>
        <w:tc>
          <w:tcPr>
            <w:tcW w:w="1134" w:type="dxa"/>
            <w:tcBorders>
              <w:top w:val="single" w:sz="4" w:space="0" w:color="auto"/>
              <w:bottom w:val="single" w:sz="12" w:space="0" w:color="auto"/>
            </w:tcBorders>
            <w:shd w:val="clear" w:color="000000" w:fill="DBB731"/>
            <w:vAlign w:val="center"/>
            <w:hideMark/>
          </w:tcPr>
          <w:p w14:paraId="218F7E12"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2027 год</w:t>
            </w:r>
          </w:p>
        </w:tc>
        <w:tc>
          <w:tcPr>
            <w:tcW w:w="1245" w:type="dxa"/>
            <w:tcBorders>
              <w:top w:val="single" w:sz="4" w:space="0" w:color="auto"/>
              <w:bottom w:val="single" w:sz="12" w:space="0" w:color="auto"/>
            </w:tcBorders>
            <w:shd w:val="clear" w:color="000000" w:fill="DBB731"/>
            <w:vAlign w:val="center"/>
            <w:hideMark/>
          </w:tcPr>
          <w:p w14:paraId="18E43ADA"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Всего</w:t>
            </w:r>
          </w:p>
        </w:tc>
      </w:tr>
      <w:tr w:rsidR="00107665" w:rsidRPr="00D62C5E" w14:paraId="56D658C3" w14:textId="77777777" w:rsidTr="008E43FF">
        <w:trPr>
          <w:trHeight w:val="153"/>
          <w:jc w:val="right"/>
        </w:trPr>
        <w:tc>
          <w:tcPr>
            <w:tcW w:w="7230" w:type="dxa"/>
            <w:gridSpan w:val="2"/>
            <w:tcBorders>
              <w:top w:val="single" w:sz="4" w:space="0" w:color="auto"/>
            </w:tcBorders>
            <w:noWrap/>
            <w:vAlign w:val="center"/>
            <w:hideMark/>
          </w:tcPr>
          <w:p w14:paraId="0AEBF65F"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A.</w:t>
            </w:r>
            <w:r w:rsidRPr="00D62C5E">
              <w:rPr>
                <w:color w:val="000000"/>
                <w:sz w:val="18"/>
                <w:szCs w:val="18"/>
                <w:lang w:val="ru-RU"/>
              </w:rPr>
              <w:t xml:space="preserve"> </w:t>
            </w:r>
            <w:r w:rsidRPr="00D62C5E">
              <w:rPr>
                <w:b/>
                <w:bCs/>
                <w:color w:val="000000"/>
                <w:sz w:val="18"/>
                <w:szCs w:val="18"/>
                <w:lang w:val="ru-RU"/>
              </w:rPr>
              <w:t>Конференции и совещания</w:t>
            </w:r>
          </w:p>
        </w:tc>
        <w:tc>
          <w:tcPr>
            <w:tcW w:w="1275" w:type="dxa"/>
            <w:tcBorders>
              <w:top w:val="single" w:sz="4" w:space="0" w:color="auto"/>
            </w:tcBorders>
            <w:noWrap/>
            <w:vAlign w:val="center"/>
            <w:hideMark/>
          </w:tcPr>
          <w:p w14:paraId="19573FD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43386D0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tcBorders>
            <w:noWrap/>
            <w:vAlign w:val="center"/>
            <w:hideMark/>
          </w:tcPr>
          <w:p w14:paraId="66BB642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3DFF333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025CC48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top w:val="single" w:sz="4" w:space="0" w:color="auto"/>
            </w:tcBorders>
            <w:noWrap/>
            <w:vAlign w:val="center"/>
            <w:hideMark/>
          </w:tcPr>
          <w:p w14:paraId="3BEB8EE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7C28495B" w14:textId="77777777" w:rsidTr="008E43FF">
        <w:trPr>
          <w:trHeight w:val="315"/>
          <w:jc w:val="right"/>
        </w:trPr>
        <w:tc>
          <w:tcPr>
            <w:tcW w:w="7230" w:type="dxa"/>
            <w:gridSpan w:val="2"/>
            <w:noWrap/>
            <w:vAlign w:val="center"/>
            <w:hideMark/>
          </w:tcPr>
          <w:p w14:paraId="781812B1"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w:t>
            </w:r>
            <w:r w:rsidRPr="00D62C5E">
              <w:rPr>
                <w:color w:val="000000"/>
                <w:sz w:val="18"/>
                <w:szCs w:val="18"/>
                <w:lang w:val="ru-RU"/>
              </w:rPr>
              <w:t xml:space="preserve"> </w:t>
            </w:r>
            <w:r w:rsidRPr="00D62C5E">
              <w:rPr>
                <w:b/>
                <w:bCs/>
                <w:color w:val="000000"/>
                <w:sz w:val="18"/>
                <w:szCs w:val="18"/>
                <w:lang w:val="ru-RU"/>
              </w:rPr>
              <w:t>Седьмое совещание Конференции Сторон</w:t>
            </w:r>
          </w:p>
        </w:tc>
        <w:tc>
          <w:tcPr>
            <w:tcW w:w="1275" w:type="dxa"/>
            <w:noWrap/>
            <w:vAlign w:val="center"/>
            <w:hideMark/>
          </w:tcPr>
          <w:p w14:paraId="4E92190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55D7A7D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4D4FC69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0881772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69C3E74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1B8C9B2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4D42683C" w14:textId="77777777" w:rsidTr="008E43FF">
        <w:trPr>
          <w:trHeight w:val="52"/>
          <w:jc w:val="right"/>
        </w:trPr>
        <w:tc>
          <w:tcPr>
            <w:tcW w:w="284" w:type="dxa"/>
            <w:tcBorders>
              <w:top w:val="nil"/>
            </w:tcBorders>
            <w:noWrap/>
            <w:hideMark/>
          </w:tcPr>
          <w:p w14:paraId="30931861"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p>
        </w:tc>
        <w:tc>
          <w:tcPr>
            <w:tcW w:w="6946" w:type="dxa"/>
            <w:tcBorders>
              <w:top w:val="nil"/>
            </w:tcBorders>
            <w:noWrap/>
            <w:vAlign w:val="center"/>
            <w:hideMark/>
          </w:tcPr>
          <w:p w14:paraId="161AFF82"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1.1. Седьмое совещание</w:t>
            </w:r>
          </w:p>
        </w:tc>
        <w:tc>
          <w:tcPr>
            <w:tcW w:w="1275" w:type="dxa"/>
            <w:tcBorders>
              <w:top w:val="nil"/>
            </w:tcBorders>
            <w:noWrap/>
            <w:vAlign w:val="center"/>
            <w:hideMark/>
          </w:tcPr>
          <w:p w14:paraId="24C8CF8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46CE5BD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1 045 000</w:t>
            </w:r>
          </w:p>
        </w:tc>
        <w:tc>
          <w:tcPr>
            <w:tcW w:w="1276" w:type="dxa"/>
            <w:tcBorders>
              <w:top w:val="nil"/>
            </w:tcBorders>
            <w:noWrap/>
            <w:vAlign w:val="center"/>
            <w:hideMark/>
          </w:tcPr>
          <w:p w14:paraId="75A5185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1 045 000</w:t>
            </w:r>
          </w:p>
        </w:tc>
        <w:tc>
          <w:tcPr>
            <w:tcW w:w="1134" w:type="dxa"/>
            <w:tcBorders>
              <w:top w:val="nil"/>
            </w:tcBorders>
            <w:noWrap/>
            <w:vAlign w:val="center"/>
            <w:hideMark/>
          </w:tcPr>
          <w:p w14:paraId="59A4DE3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24EE890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475 000</w:t>
            </w:r>
          </w:p>
        </w:tc>
        <w:tc>
          <w:tcPr>
            <w:tcW w:w="1245" w:type="dxa"/>
            <w:tcBorders>
              <w:top w:val="nil"/>
            </w:tcBorders>
            <w:noWrap/>
            <w:vAlign w:val="center"/>
            <w:hideMark/>
          </w:tcPr>
          <w:p w14:paraId="6E0B943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475 000</w:t>
            </w:r>
          </w:p>
        </w:tc>
      </w:tr>
      <w:tr w:rsidR="00107665" w:rsidRPr="00D62C5E" w14:paraId="615C9F99" w14:textId="77777777" w:rsidTr="008E43FF">
        <w:trPr>
          <w:trHeight w:val="183"/>
          <w:jc w:val="right"/>
        </w:trPr>
        <w:tc>
          <w:tcPr>
            <w:tcW w:w="284" w:type="dxa"/>
            <w:noWrap/>
            <w:hideMark/>
          </w:tcPr>
          <w:p w14:paraId="07A5A6AF"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p>
        </w:tc>
        <w:tc>
          <w:tcPr>
            <w:tcW w:w="6946" w:type="dxa"/>
            <w:noWrap/>
            <w:vAlign w:val="center"/>
            <w:hideMark/>
          </w:tcPr>
          <w:p w14:paraId="78F835B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1.2. Региональные подготовительные совещания</w:t>
            </w:r>
          </w:p>
        </w:tc>
        <w:tc>
          <w:tcPr>
            <w:tcW w:w="1275" w:type="dxa"/>
            <w:noWrap/>
            <w:vAlign w:val="center"/>
            <w:hideMark/>
          </w:tcPr>
          <w:p w14:paraId="65321C9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4E7F24E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7EB82C5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7A896E0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054DEDF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420 000</w:t>
            </w:r>
          </w:p>
        </w:tc>
        <w:tc>
          <w:tcPr>
            <w:tcW w:w="1245" w:type="dxa"/>
            <w:noWrap/>
            <w:vAlign w:val="center"/>
            <w:hideMark/>
          </w:tcPr>
          <w:p w14:paraId="19AEC8D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420 000</w:t>
            </w:r>
          </w:p>
        </w:tc>
      </w:tr>
      <w:tr w:rsidR="00107665" w:rsidRPr="00D62C5E" w14:paraId="30FC3B6E" w14:textId="77777777" w:rsidTr="008E43FF">
        <w:trPr>
          <w:trHeight w:val="315"/>
          <w:jc w:val="right"/>
        </w:trPr>
        <w:tc>
          <w:tcPr>
            <w:tcW w:w="7230" w:type="dxa"/>
            <w:gridSpan w:val="2"/>
            <w:shd w:val="clear" w:color="000000" w:fill="B4C6E7"/>
            <w:noWrap/>
            <w:vAlign w:val="center"/>
            <w:hideMark/>
          </w:tcPr>
          <w:p w14:paraId="39639E34"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w:t>
            </w:r>
            <w:r w:rsidRPr="00D62C5E">
              <w:rPr>
                <w:color w:val="000000"/>
                <w:sz w:val="18"/>
                <w:szCs w:val="18"/>
                <w:lang w:val="ru-RU"/>
              </w:rPr>
              <w:t xml:space="preserve"> </w:t>
            </w:r>
            <w:r w:rsidRPr="00D62C5E">
              <w:rPr>
                <w:b/>
                <w:bCs/>
                <w:color w:val="000000"/>
                <w:sz w:val="18"/>
                <w:szCs w:val="18"/>
                <w:lang w:val="ru-RU"/>
              </w:rPr>
              <w:t>Седьмое совещание Конференции Сторон</w:t>
            </w:r>
          </w:p>
        </w:tc>
        <w:tc>
          <w:tcPr>
            <w:tcW w:w="1275" w:type="dxa"/>
            <w:shd w:val="clear" w:color="000000" w:fill="B4C6E7"/>
            <w:noWrap/>
            <w:vAlign w:val="center"/>
            <w:hideMark/>
          </w:tcPr>
          <w:p w14:paraId="3DB900C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7D5F2AC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1 045 000</w:t>
            </w:r>
          </w:p>
        </w:tc>
        <w:tc>
          <w:tcPr>
            <w:tcW w:w="1276" w:type="dxa"/>
            <w:shd w:val="clear" w:color="000000" w:fill="B4C6E7"/>
            <w:noWrap/>
            <w:vAlign w:val="center"/>
            <w:hideMark/>
          </w:tcPr>
          <w:p w14:paraId="46FA053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1 045 000</w:t>
            </w:r>
          </w:p>
        </w:tc>
        <w:tc>
          <w:tcPr>
            <w:tcW w:w="1134" w:type="dxa"/>
            <w:shd w:val="clear" w:color="000000" w:fill="B4C6E7"/>
            <w:noWrap/>
            <w:vAlign w:val="center"/>
            <w:hideMark/>
          </w:tcPr>
          <w:p w14:paraId="00A7DE4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43076A4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895 000</w:t>
            </w:r>
          </w:p>
        </w:tc>
        <w:tc>
          <w:tcPr>
            <w:tcW w:w="1245" w:type="dxa"/>
            <w:shd w:val="clear" w:color="000000" w:fill="B4C6E7"/>
            <w:noWrap/>
            <w:vAlign w:val="center"/>
            <w:hideMark/>
          </w:tcPr>
          <w:p w14:paraId="0E85759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895 000</w:t>
            </w:r>
          </w:p>
        </w:tc>
      </w:tr>
      <w:tr w:rsidR="00107665" w:rsidRPr="00D62C5E" w14:paraId="067A093A" w14:textId="77777777" w:rsidTr="008E43FF">
        <w:trPr>
          <w:trHeight w:val="163"/>
          <w:jc w:val="right"/>
        </w:trPr>
        <w:tc>
          <w:tcPr>
            <w:tcW w:w="7230" w:type="dxa"/>
            <w:gridSpan w:val="2"/>
            <w:noWrap/>
            <w:vAlign w:val="center"/>
            <w:hideMark/>
          </w:tcPr>
          <w:p w14:paraId="5780B92F"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2.</w:t>
            </w:r>
            <w:r w:rsidRPr="00D62C5E">
              <w:rPr>
                <w:color w:val="000000"/>
                <w:sz w:val="18"/>
                <w:szCs w:val="18"/>
                <w:lang w:val="ru-RU"/>
              </w:rPr>
              <w:t xml:space="preserve"> </w:t>
            </w:r>
            <w:r w:rsidRPr="00D62C5E">
              <w:rPr>
                <w:b/>
                <w:bCs/>
                <w:color w:val="000000"/>
                <w:sz w:val="18"/>
                <w:szCs w:val="18"/>
                <w:lang w:val="ru-RU"/>
              </w:rPr>
              <w:t>Бюро Конференции Сторон</w:t>
            </w:r>
          </w:p>
        </w:tc>
        <w:tc>
          <w:tcPr>
            <w:tcW w:w="1275" w:type="dxa"/>
            <w:noWrap/>
            <w:vAlign w:val="center"/>
            <w:hideMark/>
          </w:tcPr>
          <w:p w14:paraId="004D323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2C8B4DC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7733AC2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14611D4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6CAC177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210CE35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47E1325D" w14:textId="77777777" w:rsidTr="008E43FF">
        <w:trPr>
          <w:trHeight w:val="52"/>
          <w:jc w:val="right"/>
        </w:trPr>
        <w:tc>
          <w:tcPr>
            <w:tcW w:w="284" w:type="dxa"/>
            <w:tcBorders>
              <w:bottom w:val="nil"/>
            </w:tcBorders>
            <w:noWrap/>
            <w:hideMark/>
          </w:tcPr>
          <w:p w14:paraId="12C0A547"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bottom w:val="nil"/>
            </w:tcBorders>
            <w:noWrap/>
            <w:vAlign w:val="center"/>
            <w:hideMark/>
          </w:tcPr>
          <w:p w14:paraId="039158E8"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2.1. Совещания Бюро</w:t>
            </w:r>
          </w:p>
        </w:tc>
        <w:tc>
          <w:tcPr>
            <w:tcW w:w="1275" w:type="dxa"/>
            <w:tcBorders>
              <w:bottom w:val="nil"/>
            </w:tcBorders>
            <w:noWrap/>
            <w:vAlign w:val="center"/>
            <w:hideMark/>
          </w:tcPr>
          <w:p w14:paraId="7A0C740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26 000</w:t>
            </w:r>
          </w:p>
        </w:tc>
        <w:tc>
          <w:tcPr>
            <w:tcW w:w="1134" w:type="dxa"/>
            <w:tcBorders>
              <w:bottom w:val="nil"/>
            </w:tcBorders>
            <w:noWrap/>
            <w:vAlign w:val="center"/>
            <w:hideMark/>
          </w:tcPr>
          <w:p w14:paraId="4ACC0FC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bottom w:val="nil"/>
            </w:tcBorders>
            <w:noWrap/>
            <w:vAlign w:val="center"/>
            <w:hideMark/>
          </w:tcPr>
          <w:p w14:paraId="11861A0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26 000</w:t>
            </w:r>
          </w:p>
        </w:tc>
        <w:tc>
          <w:tcPr>
            <w:tcW w:w="1134" w:type="dxa"/>
            <w:tcBorders>
              <w:bottom w:val="nil"/>
            </w:tcBorders>
            <w:noWrap/>
            <w:vAlign w:val="center"/>
            <w:hideMark/>
          </w:tcPr>
          <w:p w14:paraId="60A1B5D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bottom w:val="nil"/>
            </w:tcBorders>
            <w:noWrap/>
            <w:vAlign w:val="center"/>
            <w:hideMark/>
          </w:tcPr>
          <w:p w14:paraId="36C8F80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bottom w:val="nil"/>
            </w:tcBorders>
            <w:noWrap/>
            <w:vAlign w:val="center"/>
            <w:hideMark/>
          </w:tcPr>
          <w:p w14:paraId="56DF197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36409A26" w14:textId="77777777" w:rsidTr="008E43FF">
        <w:trPr>
          <w:trHeight w:val="315"/>
          <w:jc w:val="right"/>
        </w:trPr>
        <w:tc>
          <w:tcPr>
            <w:tcW w:w="7230" w:type="dxa"/>
            <w:gridSpan w:val="2"/>
            <w:shd w:val="clear" w:color="000000" w:fill="B4C6E7"/>
            <w:noWrap/>
            <w:vAlign w:val="center"/>
            <w:hideMark/>
          </w:tcPr>
          <w:p w14:paraId="2555F9D8"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2.</w:t>
            </w:r>
            <w:r w:rsidRPr="00D62C5E">
              <w:rPr>
                <w:color w:val="000000"/>
                <w:sz w:val="18"/>
                <w:szCs w:val="18"/>
                <w:lang w:val="ru-RU"/>
              </w:rPr>
              <w:t xml:space="preserve"> </w:t>
            </w:r>
            <w:r w:rsidRPr="00D62C5E">
              <w:rPr>
                <w:b/>
                <w:bCs/>
                <w:color w:val="000000"/>
                <w:sz w:val="18"/>
                <w:szCs w:val="18"/>
                <w:lang w:val="ru-RU"/>
              </w:rPr>
              <w:t>Бюро Конференции Сторон</w:t>
            </w:r>
          </w:p>
        </w:tc>
        <w:tc>
          <w:tcPr>
            <w:tcW w:w="1275" w:type="dxa"/>
            <w:shd w:val="clear" w:color="000000" w:fill="B4C6E7"/>
            <w:noWrap/>
            <w:vAlign w:val="center"/>
            <w:hideMark/>
          </w:tcPr>
          <w:p w14:paraId="6E5EA80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26 000</w:t>
            </w:r>
          </w:p>
        </w:tc>
        <w:tc>
          <w:tcPr>
            <w:tcW w:w="1134" w:type="dxa"/>
            <w:shd w:val="clear" w:color="000000" w:fill="B4C6E7"/>
            <w:noWrap/>
            <w:vAlign w:val="center"/>
            <w:hideMark/>
          </w:tcPr>
          <w:p w14:paraId="40624A6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shd w:val="clear" w:color="000000" w:fill="B4C6E7"/>
            <w:noWrap/>
            <w:vAlign w:val="center"/>
            <w:hideMark/>
          </w:tcPr>
          <w:p w14:paraId="15CDFE8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26 000</w:t>
            </w:r>
          </w:p>
        </w:tc>
        <w:tc>
          <w:tcPr>
            <w:tcW w:w="1134" w:type="dxa"/>
            <w:shd w:val="clear" w:color="000000" w:fill="B4C6E7"/>
            <w:noWrap/>
            <w:vAlign w:val="center"/>
            <w:hideMark/>
          </w:tcPr>
          <w:p w14:paraId="1AAB67F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3CBFB15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21041FB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A87A26" w14:paraId="419C5687" w14:textId="77777777" w:rsidTr="008E43FF">
        <w:trPr>
          <w:trHeight w:val="52"/>
          <w:jc w:val="right"/>
        </w:trPr>
        <w:tc>
          <w:tcPr>
            <w:tcW w:w="7230" w:type="dxa"/>
            <w:gridSpan w:val="2"/>
            <w:noWrap/>
            <w:vAlign w:val="center"/>
            <w:hideMark/>
          </w:tcPr>
          <w:p w14:paraId="67667D44"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3.</w:t>
            </w:r>
            <w:r w:rsidRPr="00D62C5E">
              <w:rPr>
                <w:color w:val="000000"/>
                <w:sz w:val="18"/>
                <w:szCs w:val="18"/>
                <w:lang w:val="ru-RU"/>
              </w:rPr>
              <w:t xml:space="preserve"> </w:t>
            </w:r>
            <w:r w:rsidRPr="00D62C5E">
              <w:rPr>
                <w:b/>
                <w:bCs/>
                <w:color w:val="000000"/>
                <w:sz w:val="18"/>
                <w:szCs w:val="18"/>
                <w:lang w:val="ru-RU"/>
              </w:rPr>
              <w:t>Комитет по осуществлению и соблюдению</w:t>
            </w:r>
          </w:p>
        </w:tc>
        <w:tc>
          <w:tcPr>
            <w:tcW w:w="1275" w:type="dxa"/>
            <w:noWrap/>
            <w:vAlign w:val="center"/>
            <w:hideMark/>
          </w:tcPr>
          <w:p w14:paraId="61E0954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FCAF2F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27D806D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258A10A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3CAD041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5483067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68EDF802" w14:textId="77777777" w:rsidTr="008E43FF">
        <w:trPr>
          <w:trHeight w:val="52"/>
          <w:jc w:val="right"/>
        </w:trPr>
        <w:tc>
          <w:tcPr>
            <w:tcW w:w="284" w:type="dxa"/>
            <w:tcBorders>
              <w:top w:val="nil"/>
            </w:tcBorders>
            <w:noWrap/>
            <w:hideMark/>
          </w:tcPr>
          <w:p w14:paraId="25B05B93"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rPr>
              <w:t> </w:t>
            </w:r>
          </w:p>
        </w:tc>
        <w:tc>
          <w:tcPr>
            <w:tcW w:w="6946" w:type="dxa"/>
            <w:tcBorders>
              <w:top w:val="nil"/>
            </w:tcBorders>
            <w:noWrap/>
            <w:vAlign w:val="center"/>
            <w:hideMark/>
          </w:tcPr>
          <w:p w14:paraId="79B5EAC5"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3.1. Совещание Комитета</w:t>
            </w:r>
          </w:p>
        </w:tc>
        <w:tc>
          <w:tcPr>
            <w:tcW w:w="1275" w:type="dxa"/>
            <w:tcBorders>
              <w:top w:val="nil"/>
            </w:tcBorders>
            <w:noWrap/>
            <w:vAlign w:val="center"/>
            <w:hideMark/>
          </w:tcPr>
          <w:p w14:paraId="52FC75A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33 000</w:t>
            </w:r>
          </w:p>
        </w:tc>
        <w:tc>
          <w:tcPr>
            <w:tcW w:w="1134" w:type="dxa"/>
            <w:tcBorders>
              <w:top w:val="nil"/>
            </w:tcBorders>
            <w:noWrap/>
            <w:vAlign w:val="center"/>
            <w:hideMark/>
          </w:tcPr>
          <w:p w14:paraId="3A39C19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top w:val="nil"/>
            </w:tcBorders>
            <w:noWrap/>
            <w:vAlign w:val="center"/>
            <w:hideMark/>
          </w:tcPr>
          <w:p w14:paraId="54C55DE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33 000</w:t>
            </w:r>
          </w:p>
        </w:tc>
        <w:tc>
          <w:tcPr>
            <w:tcW w:w="1134" w:type="dxa"/>
            <w:tcBorders>
              <w:top w:val="nil"/>
            </w:tcBorders>
            <w:noWrap/>
            <w:vAlign w:val="center"/>
            <w:hideMark/>
          </w:tcPr>
          <w:p w14:paraId="32AF634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12 000</w:t>
            </w:r>
          </w:p>
        </w:tc>
        <w:tc>
          <w:tcPr>
            <w:tcW w:w="1134" w:type="dxa"/>
            <w:tcBorders>
              <w:top w:val="nil"/>
            </w:tcBorders>
            <w:noWrap/>
            <w:vAlign w:val="center"/>
            <w:hideMark/>
          </w:tcPr>
          <w:p w14:paraId="0D80227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07B5EA6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12 000</w:t>
            </w:r>
          </w:p>
        </w:tc>
      </w:tr>
      <w:tr w:rsidR="00107665" w:rsidRPr="00D62C5E" w14:paraId="5CB4ADCB" w14:textId="77777777" w:rsidTr="008E43FF">
        <w:trPr>
          <w:trHeight w:val="52"/>
          <w:jc w:val="right"/>
        </w:trPr>
        <w:tc>
          <w:tcPr>
            <w:tcW w:w="7230" w:type="dxa"/>
            <w:gridSpan w:val="2"/>
            <w:tcBorders>
              <w:bottom w:val="single" w:sz="4" w:space="0" w:color="auto"/>
            </w:tcBorders>
            <w:shd w:val="clear" w:color="000000" w:fill="B4C6E7"/>
            <w:noWrap/>
            <w:vAlign w:val="center"/>
            <w:hideMark/>
          </w:tcPr>
          <w:p w14:paraId="0C506455"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3.</w:t>
            </w:r>
            <w:r w:rsidRPr="00D62C5E">
              <w:rPr>
                <w:color w:val="000000"/>
                <w:sz w:val="18"/>
                <w:szCs w:val="18"/>
                <w:lang w:val="ru-RU"/>
              </w:rPr>
              <w:t xml:space="preserve"> </w:t>
            </w:r>
            <w:r w:rsidRPr="00D62C5E">
              <w:rPr>
                <w:b/>
                <w:bCs/>
                <w:color w:val="000000"/>
                <w:sz w:val="18"/>
                <w:szCs w:val="18"/>
                <w:lang w:val="ru-RU"/>
              </w:rPr>
              <w:t>Комитет по осуществлению и соблюдению</w:t>
            </w:r>
          </w:p>
        </w:tc>
        <w:tc>
          <w:tcPr>
            <w:tcW w:w="1275" w:type="dxa"/>
            <w:tcBorders>
              <w:bottom w:val="single" w:sz="4" w:space="0" w:color="auto"/>
            </w:tcBorders>
            <w:shd w:val="clear" w:color="000000" w:fill="B4C6E7"/>
            <w:noWrap/>
            <w:vAlign w:val="center"/>
            <w:hideMark/>
          </w:tcPr>
          <w:p w14:paraId="0325D12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33 000</w:t>
            </w:r>
          </w:p>
        </w:tc>
        <w:tc>
          <w:tcPr>
            <w:tcW w:w="1134" w:type="dxa"/>
            <w:tcBorders>
              <w:bottom w:val="single" w:sz="4" w:space="0" w:color="auto"/>
            </w:tcBorders>
            <w:shd w:val="clear" w:color="000000" w:fill="B4C6E7"/>
            <w:noWrap/>
            <w:vAlign w:val="center"/>
            <w:hideMark/>
          </w:tcPr>
          <w:p w14:paraId="5CD6329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060A2A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33 000</w:t>
            </w:r>
          </w:p>
        </w:tc>
        <w:tc>
          <w:tcPr>
            <w:tcW w:w="1134" w:type="dxa"/>
            <w:tcBorders>
              <w:bottom w:val="single" w:sz="4" w:space="0" w:color="auto"/>
            </w:tcBorders>
            <w:shd w:val="clear" w:color="000000" w:fill="B4C6E7"/>
            <w:noWrap/>
            <w:vAlign w:val="center"/>
            <w:hideMark/>
          </w:tcPr>
          <w:p w14:paraId="364BD30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c>
          <w:tcPr>
            <w:tcW w:w="1134" w:type="dxa"/>
            <w:tcBorders>
              <w:bottom w:val="single" w:sz="4" w:space="0" w:color="auto"/>
            </w:tcBorders>
            <w:shd w:val="clear" w:color="000000" w:fill="B4C6E7"/>
            <w:noWrap/>
            <w:vAlign w:val="center"/>
            <w:hideMark/>
          </w:tcPr>
          <w:p w14:paraId="15EC8E6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2F1F3EB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r>
      <w:tr w:rsidR="00107665" w:rsidRPr="00D62C5E" w14:paraId="2BA1B8F8"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1A7C2601"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(A)</w:t>
            </w:r>
          </w:p>
        </w:tc>
        <w:tc>
          <w:tcPr>
            <w:tcW w:w="1275" w:type="dxa"/>
            <w:tcBorders>
              <w:top w:val="single" w:sz="4" w:space="0" w:color="auto"/>
              <w:bottom w:val="single" w:sz="4" w:space="0" w:color="auto"/>
            </w:tcBorders>
            <w:shd w:val="clear" w:color="000000" w:fill="DBB731"/>
            <w:noWrap/>
            <w:vAlign w:val="center"/>
            <w:hideMark/>
          </w:tcPr>
          <w:p w14:paraId="27CAC55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59 000</w:t>
            </w:r>
          </w:p>
        </w:tc>
        <w:tc>
          <w:tcPr>
            <w:tcW w:w="1134" w:type="dxa"/>
            <w:tcBorders>
              <w:top w:val="single" w:sz="4" w:space="0" w:color="auto"/>
              <w:bottom w:val="single" w:sz="4" w:space="0" w:color="auto"/>
            </w:tcBorders>
            <w:shd w:val="clear" w:color="000000" w:fill="DBB731"/>
            <w:noWrap/>
            <w:vAlign w:val="center"/>
            <w:hideMark/>
          </w:tcPr>
          <w:p w14:paraId="290241D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1 045 000</w:t>
            </w:r>
          </w:p>
        </w:tc>
        <w:tc>
          <w:tcPr>
            <w:tcW w:w="1276" w:type="dxa"/>
            <w:tcBorders>
              <w:top w:val="single" w:sz="4" w:space="0" w:color="auto"/>
              <w:bottom w:val="single" w:sz="4" w:space="0" w:color="auto"/>
            </w:tcBorders>
            <w:shd w:val="clear" w:color="000000" w:fill="DBB731"/>
            <w:noWrap/>
            <w:vAlign w:val="center"/>
            <w:hideMark/>
          </w:tcPr>
          <w:p w14:paraId="56A4089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1 104 000</w:t>
            </w:r>
          </w:p>
        </w:tc>
        <w:tc>
          <w:tcPr>
            <w:tcW w:w="1134" w:type="dxa"/>
            <w:tcBorders>
              <w:top w:val="single" w:sz="4" w:space="0" w:color="auto"/>
              <w:bottom w:val="single" w:sz="4" w:space="0" w:color="auto"/>
            </w:tcBorders>
            <w:shd w:val="clear" w:color="000000" w:fill="DBB731"/>
            <w:noWrap/>
            <w:vAlign w:val="center"/>
            <w:hideMark/>
          </w:tcPr>
          <w:p w14:paraId="6DEAEAB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c>
          <w:tcPr>
            <w:tcW w:w="1134" w:type="dxa"/>
            <w:tcBorders>
              <w:top w:val="single" w:sz="4" w:space="0" w:color="auto"/>
              <w:bottom w:val="single" w:sz="4" w:space="0" w:color="auto"/>
            </w:tcBorders>
            <w:shd w:val="clear" w:color="000000" w:fill="DBB731"/>
            <w:noWrap/>
            <w:vAlign w:val="center"/>
            <w:hideMark/>
          </w:tcPr>
          <w:p w14:paraId="683A4D9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895 000</w:t>
            </w:r>
          </w:p>
        </w:tc>
        <w:tc>
          <w:tcPr>
            <w:tcW w:w="1245" w:type="dxa"/>
            <w:tcBorders>
              <w:top w:val="single" w:sz="4" w:space="0" w:color="auto"/>
              <w:bottom w:val="single" w:sz="4" w:space="0" w:color="auto"/>
            </w:tcBorders>
            <w:shd w:val="clear" w:color="000000" w:fill="DBB731"/>
            <w:noWrap/>
            <w:vAlign w:val="center"/>
            <w:hideMark/>
          </w:tcPr>
          <w:p w14:paraId="1FC0344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907 000</w:t>
            </w:r>
          </w:p>
        </w:tc>
      </w:tr>
      <w:tr w:rsidR="00107665" w:rsidRPr="00A87A26" w14:paraId="4C433EA7" w14:textId="77777777" w:rsidTr="008E43FF">
        <w:trPr>
          <w:trHeight w:val="42"/>
          <w:jc w:val="right"/>
        </w:trPr>
        <w:tc>
          <w:tcPr>
            <w:tcW w:w="7230" w:type="dxa"/>
            <w:gridSpan w:val="2"/>
            <w:tcBorders>
              <w:top w:val="single" w:sz="4" w:space="0" w:color="auto"/>
            </w:tcBorders>
            <w:noWrap/>
            <w:vAlign w:val="center"/>
            <w:hideMark/>
          </w:tcPr>
          <w:p w14:paraId="7641D8A2"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B.</w:t>
            </w:r>
            <w:r w:rsidRPr="00D62C5E">
              <w:rPr>
                <w:color w:val="000000"/>
                <w:sz w:val="18"/>
                <w:szCs w:val="18"/>
                <w:lang w:val="ru-RU"/>
              </w:rPr>
              <w:t xml:space="preserve"> </w:t>
            </w:r>
            <w:r w:rsidRPr="00D62C5E">
              <w:rPr>
                <w:b/>
                <w:bCs/>
                <w:color w:val="000000"/>
                <w:sz w:val="18"/>
                <w:szCs w:val="18"/>
                <w:lang w:val="ru-RU"/>
              </w:rPr>
              <w:t>Создание потенциала и оказание технической помощи</w:t>
            </w:r>
          </w:p>
        </w:tc>
        <w:tc>
          <w:tcPr>
            <w:tcW w:w="1275" w:type="dxa"/>
            <w:tcBorders>
              <w:top w:val="single" w:sz="4" w:space="0" w:color="auto"/>
            </w:tcBorders>
            <w:noWrap/>
            <w:vAlign w:val="center"/>
            <w:hideMark/>
          </w:tcPr>
          <w:p w14:paraId="5720B72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1D207B7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022E361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41DDD55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764F35C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57CF718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A87A26" w14:paraId="39C475ED" w14:textId="77777777" w:rsidTr="008E43FF">
        <w:trPr>
          <w:trHeight w:val="52"/>
          <w:jc w:val="right"/>
        </w:trPr>
        <w:tc>
          <w:tcPr>
            <w:tcW w:w="7230" w:type="dxa"/>
            <w:gridSpan w:val="2"/>
            <w:vAlign w:val="center"/>
            <w:hideMark/>
          </w:tcPr>
          <w:p w14:paraId="4AC77B1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4.</w:t>
            </w:r>
            <w:r w:rsidRPr="00D62C5E">
              <w:rPr>
                <w:color w:val="000000"/>
                <w:sz w:val="18"/>
                <w:szCs w:val="18"/>
                <w:lang w:val="ru-RU"/>
              </w:rPr>
              <w:t xml:space="preserve"> </w:t>
            </w:r>
            <w:r w:rsidRPr="00D62C5E">
              <w:rPr>
                <w:b/>
                <w:bCs/>
                <w:color w:val="000000"/>
                <w:sz w:val="18"/>
                <w:szCs w:val="18"/>
                <w:lang w:val="ru-RU"/>
              </w:rPr>
              <w:t>Программа Минаматской конвенции по созданию потенциала и оказанию технической помощи</w:t>
            </w:r>
          </w:p>
        </w:tc>
        <w:tc>
          <w:tcPr>
            <w:tcW w:w="1275" w:type="dxa"/>
            <w:noWrap/>
            <w:vAlign w:val="center"/>
            <w:hideMark/>
          </w:tcPr>
          <w:p w14:paraId="61CAD75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3DB3C2E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3447F3E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4764A74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B7332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0D6A156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493C1D37" w14:textId="77777777" w:rsidTr="008E43FF">
        <w:trPr>
          <w:trHeight w:val="300"/>
          <w:jc w:val="right"/>
        </w:trPr>
        <w:tc>
          <w:tcPr>
            <w:tcW w:w="284" w:type="dxa"/>
            <w:noWrap/>
            <w:hideMark/>
          </w:tcPr>
          <w:p w14:paraId="40ECC696"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rPr>
              <w:t> </w:t>
            </w:r>
          </w:p>
        </w:tc>
        <w:tc>
          <w:tcPr>
            <w:tcW w:w="6946" w:type="dxa"/>
            <w:noWrap/>
            <w:vAlign w:val="center"/>
            <w:hideMark/>
          </w:tcPr>
          <w:p w14:paraId="568B38E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4.1. Инструменты, методологии и формы предоставления услуг </w:t>
            </w:r>
          </w:p>
        </w:tc>
        <w:tc>
          <w:tcPr>
            <w:tcW w:w="1275" w:type="dxa"/>
            <w:noWrap/>
            <w:vAlign w:val="center"/>
            <w:hideMark/>
          </w:tcPr>
          <w:p w14:paraId="361258D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78E7446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5B3775B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79ABA8B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160 000</w:t>
            </w:r>
          </w:p>
        </w:tc>
        <w:tc>
          <w:tcPr>
            <w:tcW w:w="1134" w:type="dxa"/>
            <w:noWrap/>
            <w:vAlign w:val="center"/>
            <w:hideMark/>
          </w:tcPr>
          <w:p w14:paraId="49759B3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160 000</w:t>
            </w:r>
          </w:p>
        </w:tc>
        <w:tc>
          <w:tcPr>
            <w:tcW w:w="1245" w:type="dxa"/>
            <w:noWrap/>
            <w:vAlign w:val="center"/>
            <w:hideMark/>
          </w:tcPr>
          <w:p w14:paraId="3FD0D30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320 000</w:t>
            </w:r>
          </w:p>
        </w:tc>
      </w:tr>
      <w:tr w:rsidR="00107665" w:rsidRPr="00D62C5E" w14:paraId="2308D9FD" w14:textId="77777777" w:rsidTr="008E43FF">
        <w:trPr>
          <w:trHeight w:val="300"/>
          <w:jc w:val="right"/>
        </w:trPr>
        <w:tc>
          <w:tcPr>
            <w:tcW w:w="284" w:type="dxa"/>
            <w:noWrap/>
            <w:hideMark/>
          </w:tcPr>
          <w:p w14:paraId="22399BE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171DB28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4.2. Конкретные мероприятия по развитию потенциала   </w:t>
            </w:r>
          </w:p>
        </w:tc>
        <w:tc>
          <w:tcPr>
            <w:tcW w:w="1275" w:type="dxa"/>
            <w:noWrap/>
            <w:vAlign w:val="center"/>
            <w:hideMark/>
          </w:tcPr>
          <w:p w14:paraId="69558EF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25AC25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3EDD91C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552ECF9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270 000</w:t>
            </w:r>
          </w:p>
        </w:tc>
        <w:tc>
          <w:tcPr>
            <w:tcW w:w="1134" w:type="dxa"/>
            <w:noWrap/>
            <w:vAlign w:val="center"/>
            <w:hideMark/>
          </w:tcPr>
          <w:p w14:paraId="7FDED28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260 000</w:t>
            </w:r>
          </w:p>
        </w:tc>
        <w:tc>
          <w:tcPr>
            <w:tcW w:w="1245" w:type="dxa"/>
            <w:noWrap/>
            <w:vAlign w:val="center"/>
            <w:hideMark/>
          </w:tcPr>
          <w:p w14:paraId="224097B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530 000</w:t>
            </w:r>
          </w:p>
        </w:tc>
      </w:tr>
      <w:tr w:rsidR="00107665" w:rsidRPr="00D62C5E" w14:paraId="0A01E521" w14:textId="77777777" w:rsidTr="008E43FF">
        <w:trPr>
          <w:trHeight w:val="300"/>
          <w:jc w:val="right"/>
        </w:trPr>
        <w:tc>
          <w:tcPr>
            <w:tcW w:w="284" w:type="dxa"/>
            <w:noWrap/>
            <w:hideMark/>
          </w:tcPr>
          <w:p w14:paraId="259F9395"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75ED7858"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4.3. Мероприятия по созданию потенциала, проводимые по запросу  </w:t>
            </w:r>
          </w:p>
        </w:tc>
        <w:tc>
          <w:tcPr>
            <w:tcW w:w="1275" w:type="dxa"/>
            <w:noWrap/>
            <w:vAlign w:val="center"/>
            <w:hideMark/>
          </w:tcPr>
          <w:p w14:paraId="322EB12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44F995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3CBB36F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7539563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160 000</w:t>
            </w:r>
          </w:p>
        </w:tc>
        <w:tc>
          <w:tcPr>
            <w:tcW w:w="1134" w:type="dxa"/>
            <w:noWrap/>
            <w:vAlign w:val="center"/>
            <w:hideMark/>
          </w:tcPr>
          <w:p w14:paraId="33AD285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130 000</w:t>
            </w:r>
          </w:p>
        </w:tc>
        <w:tc>
          <w:tcPr>
            <w:tcW w:w="1245" w:type="dxa"/>
            <w:noWrap/>
            <w:vAlign w:val="center"/>
            <w:hideMark/>
          </w:tcPr>
          <w:p w14:paraId="14F1597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290 000</w:t>
            </w:r>
          </w:p>
        </w:tc>
      </w:tr>
      <w:tr w:rsidR="00107665" w:rsidRPr="00D62C5E" w14:paraId="3373CFDC" w14:textId="77777777" w:rsidTr="008E43FF">
        <w:trPr>
          <w:trHeight w:val="52"/>
          <w:jc w:val="right"/>
        </w:trPr>
        <w:tc>
          <w:tcPr>
            <w:tcW w:w="284" w:type="dxa"/>
            <w:noWrap/>
            <w:hideMark/>
          </w:tcPr>
          <w:p w14:paraId="05BFCDA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2A40342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 xml:space="preserve">4.4. </w:t>
            </w:r>
            <w:proofErr w:type="spellStart"/>
            <w:r w:rsidRPr="00D62C5E">
              <w:rPr>
                <w:color w:val="000000"/>
                <w:sz w:val="18"/>
                <w:szCs w:val="18"/>
                <w:lang w:val="ru-RU"/>
              </w:rPr>
              <w:t>Межсекторальные</w:t>
            </w:r>
            <w:proofErr w:type="spellEnd"/>
            <w:r w:rsidRPr="00D62C5E">
              <w:rPr>
                <w:color w:val="000000"/>
                <w:sz w:val="18"/>
                <w:szCs w:val="18"/>
                <w:lang w:val="ru-RU"/>
              </w:rPr>
              <w:t xml:space="preserve"> мероприятия </w:t>
            </w:r>
          </w:p>
        </w:tc>
        <w:tc>
          <w:tcPr>
            <w:tcW w:w="1275" w:type="dxa"/>
            <w:noWrap/>
            <w:vAlign w:val="center"/>
            <w:hideMark/>
          </w:tcPr>
          <w:p w14:paraId="7C1DFC3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25616C0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2579017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2E39CDF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180 000</w:t>
            </w:r>
          </w:p>
        </w:tc>
        <w:tc>
          <w:tcPr>
            <w:tcW w:w="1134" w:type="dxa"/>
            <w:noWrap/>
            <w:vAlign w:val="center"/>
            <w:hideMark/>
          </w:tcPr>
          <w:p w14:paraId="7A9EEB6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200 000</w:t>
            </w:r>
          </w:p>
        </w:tc>
        <w:tc>
          <w:tcPr>
            <w:tcW w:w="1245" w:type="dxa"/>
            <w:noWrap/>
            <w:vAlign w:val="center"/>
            <w:hideMark/>
          </w:tcPr>
          <w:p w14:paraId="3DBA69A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380 000</w:t>
            </w:r>
          </w:p>
        </w:tc>
      </w:tr>
      <w:tr w:rsidR="00107665" w:rsidRPr="00D62C5E" w14:paraId="7B6D76D7" w14:textId="77777777" w:rsidTr="008E43FF">
        <w:trPr>
          <w:trHeight w:val="315"/>
          <w:jc w:val="right"/>
        </w:trPr>
        <w:tc>
          <w:tcPr>
            <w:tcW w:w="7230" w:type="dxa"/>
            <w:gridSpan w:val="2"/>
            <w:tcBorders>
              <w:bottom w:val="single" w:sz="4" w:space="0" w:color="auto"/>
            </w:tcBorders>
            <w:shd w:val="clear" w:color="000000" w:fill="B4C6E7"/>
            <w:noWrap/>
            <w:vAlign w:val="center"/>
            <w:hideMark/>
          </w:tcPr>
          <w:p w14:paraId="7CF9FA7E" w14:textId="77777777" w:rsidR="00107665" w:rsidRPr="00D62C5E" w:rsidRDefault="00107665" w:rsidP="00D62C5E">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4.</w:t>
            </w:r>
            <w:r w:rsidRPr="00D62C5E">
              <w:rPr>
                <w:color w:val="000000"/>
                <w:sz w:val="18"/>
                <w:szCs w:val="18"/>
                <w:lang w:val="ru-RU"/>
              </w:rPr>
              <w:t xml:space="preserve"> </w:t>
            </w:r>
            <w:r w:rsidRPr="00D62C5E">
              <w:rPr>
                <w:b/>
                <w:bCs/>
                <w:color w:val="000000"/>
                <w:sz w:val="18"/>
                <w:szCs w:val="18"/>
                <w:lang w:val="ru-RU"/>
              </w:rPr>
              <w:t>Программа Минаматской конвенции по созданию потенциала и оказанию технической помощи</w:t>
            </w:r>
          </w:p>
        </w:tc>
        <w:tc>
          <w:tcPr>
            <w:tcW w:w="1275" w:type="dxa"/>
            <w:tcBorders>
              <w:bottom w:val="single" w:sz="4" w:space="0" w:color="auto"/>
            </w:tcBorders>
            <w:shd w:val="clear" w:color="000000" w:fill="B4C6E7"/>
            <w:noWrap/>
            <w:vAlign w:val="center"/>
            <w:hideMark/>
          </w:tcPr>
          <w:p w14:paraId="1D0BB03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bottom w:val="single" w:sz="4" w:space="0" w:color="auto"/>
            </w:tcBorders>
            <w:shd w:val="clear" w:color="000000" w:fill="B4C6E7"/>
            <w:noWrap/>
            <w:vAlign w:val="center"/>
            <w:hideMark/>
          </w:tcPr>
          <w:p w14:paraId="6474960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bottom w:val="single" w:sz="4" w:space="0" w:color="auto"/>
            </w:tcBorders>
            <w:shd w:val="clear" w:color="000000" w:fill="B4C6E7"/>
            <w:noWrap/>
            <w:vAlign w:val="center"/>
            <w:hideMark/>
          </w:tcPr>
          <w:p w14:paraId="67AC9F8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bottom w:val="single" w:sz="4" w:space="0" w:color="auto"/>
            </w:tcBorders>
            <w:shd w:val="clear" w:color="000000" w:fill="B4C6E7"/>
            <w:noWrap/>
            <w:vAlign w:val="center"/>
            <w:hideMark/>
          </w:tcPr>
          <w:p w14:paraId="646FCF3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770 000</w:t>
            </w:r>
          </w:p>
        </w:tc>
        <w:tc>
          <w:tcPr>
            <w:tcW w:w="1134" w:type="dxa"/>
            <w:tcBorders>
              <w:bottom w:val="single" w:sz="4" w:space="0" w:color="auto"/>
            </w:tcBorders>
            <w:shd w:val="clear" w:color="000000" w:fill="B4C6E7"/>
            <w:noWrap/>
            <w:vAlign w:val="center"/>
            <w:hideMark/>
          </w:tcPr>
          <w:p w14:paraId="306E138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750 000</w:t>
            </w:r>
          </w:p>
        </w:tc>
        <w:tc>
          <w:tcPr>
            <w:tcW w:w="1245" w:type="dxa"/>
            <w:tcBorders>
              <w:bottom w:val="single" w:sz="4" w:space="0" w:color="auto"/>
            </w:tcBorders>
            <w:shd w:val="clear" w:color="000000" w:fill="B4C6E7"/>
            <w:noWrap/>
            <w:vAlign w:val="center"/>
            <w:hideMark/>
          </w:tcPr>
          <w:p w14:paraId="09F0F18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1 520 000</w:t>
            </w:r>
          </w:p>
        </w:tc>
      </w:tr>
      <w:tr w:rsidR="00107665" w:rsidRPr="00D62C5E" w14:paraId="44DB2F51"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17510EA"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(B)</w:t>
            </w:r>
            <w:r w:rsidRPr="00D62C5E">
              <w:rPr>
                <w:color w:val="000000"/>
                <w:sz w:val="18"/>
                <w:szCs w:val="18"/>
                <w:lang w:val="ru-RU"/>
              </w:rPr>
              <w:t xml:space="preserve"> </w:t>
            </w:r>
          </w:p>
        </w:tc>
        <w:tc>
          <w:tcPr>
            <w:tcW w:w="1275" w:type="dxa"/>
            <w:tcBorders>
              <w:top w:val="single" w:sz="4" w:space="0" w:color="auto"/>
              <w:bottom w:val="single" w:sz="4" w:space="0" w:color="auto"/>
            </w:tcBorders>
            <w:shd w:val="clear" w:color="000000" w:fill="DBB731"/>
            <w:noWrap/>
            <w:vAlign w:val="center"/>
            <w:hideMark/>
          </w:tcPr>
          <w:p w14:paraId="7316AFC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48617BA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5ED13E9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1C5ACB9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770 000</w:t>
            </w:r>
          </w:p>
        </w:tc>
        <w:tc>
          <w:tcPr>
            <w:tcW w:w="1134" w:type="dxa"/>
            <w:tcBorders>
              <w:top w:val="single" w:sz="4" w:space="0" w:color="auto"/>
              <w:bottom w:val="single" w:sz="4" w:space="0" w:color="auto"/>
            </w:tcBorders>
            <w:shd w:val="clear" w:color="000000" w:fill="DBB731"/>
            <w:noWrap/>
            <w:vAlign w:val="center"/>
            <w:hideMark/>
          </w:tcPr>
          <w:p w14:paraId="62407A0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750 000</w:t>
            </w:r>
          </w:p>
        </w:tc>
        <w:tc>
          <w:tcPr>
            <w:tcW w:w="1245" w:type="dxa"/>
            <w:tcBorders>
              <w:top w:val="single" w:sz="4" w:space="0" w:color="auto"/>
              <w:bottom w:val="single" w:sz="4" w:space="0" w:color="auto"/>
            </w:tcBorders>
            <w:shd w:val="clear" w:color="000000" w:fill="DBB731"/>
            <w:noWrap/>
            <w:vAlign w:val="center"/>
            <w:hideMark/>
          </w:tcPr>
          <w:p w14:paraId="5E963E2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1 520 000</w:t>
            </w:r>
          </w:p>
        </w:tc>
      </w:tr>
      <w:tr w:rsidR="00107665" w:rsidRPr="00A87A26" w14:paraId="5FC48D22" w14:textId="77777777" w:rsidTr="008E43FF">
        <w:trPr>
          <w:trHeight w:val="42"/>
          <w:jc w:val="right"/>
        </w:trPr>
        <w:tc>
          <w:tcPr>
            <w:tcW w:w="7230" w:type="dxa"/>
            <w:gridSpan w:val="2"/>
            <w:tcBorders>
              <w:top w:val="single" w:sz="4" w:space="0" w:color="auto"/>
            </w:tcBorders>
            <w:noWrap/>
            <w:vAlign w:val="center"/>
            <w:hideMark/>
          </w:tcPr>
          <w:p w14:paraId="27B30567"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C.</w:t>
            </w:r>
            <w:r w:rsidRPr="00D62C5E">
              <w:rPr>
                <w:color w:val="000000"/>
                <w:sz w:val="18"/>
                <w:szCs w:val="18"/>
                <w:lang w:val="ru-RU"/>
              </w:rPr>
              <w:t xml:space="preserve"> </w:t>
            </w:r>
            <w:r w:rsidRPr="00D62C5E">
              <w:rPr>
                <w:b/>
                <w:bCs/>
                <w:color w:val="000000"/>
                <w:sz w:val="18"/>
                <w:szCs w:val="18"/>
                <w:lang w:val="ru-RU"/>
              </w:rPr>
              <w:t>Научные и технические мероприятия</w:t>
            </w:r>
          </w:p>
        </w:tc>
        <w:tc>
          <w:tcPr>
            <w:tcW w:w="1275" w:type="dxa"/>
            <w:tcBorders>
              <w:top w:val="single" w:sz="4" w:space="0" w:color="auto"/>
            </w:tcBorders>
            <w:noWrap/>
            <w:vAlign w:val="center"/>
            <w:hideMark/>
          </w:tcPr>
          <w:p w14:paraId="19E3052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35488C1F"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3B343F8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5E75F5B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6E600E8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761A087D"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r>
      <w:tr w:rsidR="00107665" w:rsidRPr="00A87A26" w14:paraId="358983D0" w14:textId="77777777" w:rsidTr="008E43FF">
        <w:trPr>
          <w:trHeight w:val="52"/>
          <w:jc w:val="right"/>
        </w:trPr>
        <w:tc>
          <w:tcPr>
            <w:tcW w:w="7230" w:type="dxa"/>
            <w:gridSpan w:val="2"/>
            <w:tcBorders>
              <w:top w:val="nil"/>
            </w:tcBorders>
            <w:noWrap/>
            <w:vAlign w:val="center"/>
            <w:hideMark/>
          </w:tcPr>
          <w:p w14:paraId="12673695"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5.</w:t>
            </w:r>
            <w:r w:rsidRPr="00D62C5E">
              <w:rPr>
                <w:color w:val="000000"/>
                <w:sz w:val="18"/>
                <w:szCs w:val="18"/>
                <w:lang w:val="ru-RU"/>
              </w:rPr>
              <w:t xml:space="preserve"> </w:t>
            </w:r>
            <w:r w:rsidRPr="00D62C5E">
              <w:rPr>
                <w:b/>
                <w:bCs/>
                <w:color w:val="000000"/>
                <w:sz w:val="18"/>
                <w:szCs w:val="18"/>
                <w:lang w:val="ru-RU"/>
              </w:rPr>
              <w:t>Оказание научной поддержки Сторонам Минаматской конвенции</w:t>
            </w:r>
          </w:p>
        </w:tc>
        <w:tc>
          <w:tcPr>
            <w:tcW w:w="1275" w:type="dxa"/>
            <w:tcBorders>
              <w:top w:val="nil"/>
            </w:tcBorders>
            <w:noWrap/>
            <w:vAlign w:val="center"/>
            <w:hideMark/>
          </w:tcPr>
          <w:p w14:paraId="1CA5B4D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1C1682BB"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nil"/>
            </w:tcBorders>
            <w:noWrap/>
            <w:vAlign w:val="center"/>
            <w:hideMark/>
          </w:tcPr>
          <w:p w14:paraId="26A1FA6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2F0F28C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739CA72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nil"/>
            </w:tcBorders>
            <w:noWrap/>
            <w:vAlign w:val="center"/>
            <w:hideMark/>
          </w:tcPr>
          <w:p w14:paraId="5BC52782"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48C9A4E7" w14:textId="77777777" w:rsidTr="008E43FF">
        <w:trPr>
          <w:trHeight w:val="300"/>
          <w:jc w:val="right"/>
        </w:trPr>
        <w:tc>
          <w:tcPr>
            <w:tcW w:w="284" w:type="dxa"/>
            <w:noWrap/>
            <w:vAlign w:val="center"/>
            <w:hideMark/>
          </w:tcPr>
          <w:p w14:paraId="77929761"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noWrap/>
            <w:vAlign w:val="center"/>
            <w:hideMark/>
          </w:tcPr>
          <w:p w14:paraId="4DC655C1"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5.1. Совершенствование методов создания кадастров ртути</w:t>
            </w:r>
          </w:p>
        </w:tc>
        <w:tc>
          <w:tcPr>
            <w:tcW w:w="1275" w:type="dxa"/>
            <w:noWrap/>
            <w:vAlign w:val="center"/>
            <w:hideMark/>
          </w:tcPr>
          <w:p w14:paraId="4CD4AE2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629A3E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56817BF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07D31D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noWrap/>
            <w:vAlign w:val="center"/>
            <w:hideMark/>
          </w:tcPr>
          <w:p w14:paraId="1DED8B5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245" w:type="dxa"/>
            <w:noWrap/>
            <w:vAlign w:val="center"/>
            <w:hideMark/>
          </w:tcPr>
          <w:p w14:paraId="3D06CBE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r>
      <w:tr w:rsidR="00107665" w:rsidRPr="00D62C5E" w14:paraId="3538749D" w14:textId="77777777" w:rsidTr="008E43FF">
        <w:trPr>
          <w:trHeight w:val="300"/>
          <w:jc w:val="right"/>
        </w:trPr>
        <w:tc>
          <w:tcPr>
            <w:tcW w:w="284" w:type="dxa"/>
            <w:noWrap/>
            <w:vAlign w:val="center"/>
            <w:hideMark/>
          </w:tcPr>
          <w:p w14:paraId="7AC80409"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664FD078"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5.2. Обмен информацией о моделировании и мониторинге</w:t>
            </w:r>
          </w:p>
        </w:tc>
        <w:tc>
          <w:tcPr>
            <w:tcW w:w="1275" w:type="dxa"/>
            <w:noWrap/>
            <w:vAlign w:val="center"/>
            <w:hideMark/>
          </w:tcPr>
          <w:p w14:paraId="1EFD678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7A79A15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2730B8F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334B48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noWrap/>
            <w:vAlign w:val="center"/>
            <w:hideMark/>
          </w:tcPr>
          <w:p w14:paraId="67FE358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245" w:type="dxa"/>
            <w:noWrap/>
            <w:vAlign w:val="center"/>
            <w:hideMark/>
          </w:tcPr>
          <w:p w14:paraId="1E581C0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r>
      <w:tr w:rsidR="00107665" w:rsidRPr="00D62C5E" w14:paraId="7DBBA1C9" w14:textId="77777777" w:rsidTr="008E43FF">
        <w:trPr>
          <w:trHeight w:val="300"/>
          <w:jc w:val="right"/>
        </w:trPr>
        <w:tc>
          <w:tcPr>
            <w:tcW w:w="284" w:type="dxa"/>
            <w:noWrap/>
            <w:vAlign w:val="center"/>
            <w:hideMark/>
          </w:tcPr>
          <w:p w14:paraId="51DE81BA"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lastRenderedPageBreak/>
              <w:t> </w:t>
            </w:r>
          </w:p>
        </w:tc>
        <w:tc>
          <w:tcPr>
            <w:tcW w:w="6946" w:type="dxa"/>
            <w:noWrap/>
            <w:vAlign w:val="center"/>
            <w:hideMark/>
          </w:tcPr>
          <w:p w14:paraId="60239C7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5.3. Оценка воздействия ртути на здоровье, окружающую среду и социально-экономическое положение</w:t>
            </w:r>
          </w:p>
        </w:tc>
        <w:tc>
          <w:tcPr>
            <w:tcW w:w="1275" w:type="dxa"/>
            <w:noWrap/>
            <w:vAlign w:val="center"/>
            <w:hideMark/>
          </w:tcPr>
          <w:p w14:paraId="5136E15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16FAB7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7411941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16A7E4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75 000</w:t>
            </w:r>
          </w:p>
        </w:tc>
        <w:tc>
          <w:tcPr>
            <w:tcW w:w="1134" w:type="dxa"/>
            <w:noWrap/>
            <w:vAlign w:val="center"/>
            <w:hideMark/>
          </w:tcPr>
          <w:p w14:paraId="4D7C7BA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75 000</w:t>
            </w:r>
          </w:p>
        </w:tc>
        <w:tc>
          <w:tcPr>
            <w:tcW w:w="1245" w:type="dxa"/>
            <w:noWrap/>
            <w:vAlign w:val="center"/>
            <w:hideMark/>
          </w:tcPr>
          <w:p w14:paraId="3B9FD50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150 000</w:t>
            </w:r>
          </w:p>
        </w:tc>
      </w:tr>
      <w:tr w:rsidR="00107665" w:rsidRPr="00D62C5E" w14:paraId="28F096C3" w14:textId="77777777" w:rsidTr="008E43FF">
        <w:trPr>
          <w:trHeight w:val="300"/>
          <w:jc w:val="right"/>
        </w:trPr>
        <w:tc>
          <w:tcPr>
            <w:tcW w:w="284" w:type="dxa"/>
            <w:noWrap/>
            <w:vAlign w:val="center"/>
            <w:hideMark/>
          </w:tcPr>
          <w:p w14:paraId="223AAA16"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3F9BD07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5.4. Обмен информацией о технологиях снижения содержания ртути</w:t>
            </w:r>
          </w:p>
        </w:tc>
        <w:tc>
          <w:tcPr>
            <w:tcW w:w="1275" w:type="dxa"/>
            <w:noWrap/>
            <w:vAlign w:val="center"/>
            <w:hideMark/>
          </w:tcPr>
          <w:p w14:paraId="5798D06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C7FC63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6CE46B7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1FCCB7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noWrap/>
            <w:vAlign w:val="center"/>
            <w:hideMark/>
          </w:tcPr>
          <w:p w14:paraId="2A16767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245" w:type="dxa"/>
            <w:noWrap/>
            <w:vAlign w:val="center"/>
            <w:hideMark/>
          </w:tcPr>
          <w:p w14:paraId="3ACB6BB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r>
      <w:tr w:rsidR="00107665" w:rsidRPr="00D62C5E" w14:paraId="1BBFCF40" w14:textId="77777777" w:rsidTr="008E43FF">
        <w:trPr>
          <w:trHeight w:val="86"/>
          <w:jc w:val="right"/>
        </w:trPr>
        <w:tc>
          <w:tcPr>
            <w:tcW w:w="284" w:type="dxa"/>
            <w:noWrap/>
            <w:vAlign w:val="center"/>
            <w:hideMark/>
          </w:tcPr>
          <w:p w14:paraId="30D488AA"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648BA2B8"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5.5. </w:t>
            </w:r>
            <w:proofErr w:type="spellStart"/>
            <w:r w:rsidRPr="00D62C5E">
              <w:rPr>
                <w:color w:val="000000"/>
                <w:sz w:val="18"/>
                <w:szCs w:val="18"/>
                <w:lang w:val="ru-RU"/>
              </w:rPr>
              <w:t>Межсекторальные</w:t>
            </w:r>
            <w:proofErr w:type="spellEnd"/>
            <w:r w:rsidRPr="00D62C5E">
              <w:rPr>
                <w:color w:val="000000"/>
                <w:sz w:val="18"/>
                <w:szCs w:val="18"/>
                <w:lang w:val="ru-RU"/>
              </w:rPr>
              <w:t xml:space="preserve"> научные и технические мероприятия</w:t>
            </w:r>
          </w:p>
        </w:tc>
        <w:tc>
          <w:tcPr>
            <w:tcW w:w="1275" w:type="dxa"/>
            <w:noWrap/>
            <w:vAlign w:val="center"/>
            <w:hideMark/>
          </w:tcPr>
          <w:p w14:paraId="5BEE593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1E0794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7B9A6A4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DEBB71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570 000</w:t>
            </w:r>
          </w:p>
        </w:tc>
        <w:tc>
          <w:tcPr>
            <w:tcW w:w="1134" w:type="dxa"/>
            <w:noWrap/>
            <w:vAlign w:val="center"/>
            <w:hideMark/>
          </w:tcPr>
          <w:p w14:paraId="06DC38C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400 000</w:t>
            </w:r>
          </w:p>
        </w:tc>
        <w:tc>
          <w:tcPr>
            <w:tcW w:w="1245" w:type="dxa"/>
            <w:noWrap/>
            <w:vAlign w:val="center"/>
            <w:hideMark/>
          </w:tcPr>
          <w:p w14:paraId="497B56D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970 000</w:t>
            </w:r>
          </w:p>
        </w:tc>
      </w:tr>
      <w:tr w:rsidR="00107665" w:rsidRPr="00D62C5E" w14:paraId="1D13F68A" w14:textId="77777777" w:rsidTr="008E43FF">
        <w:trPr>
          <w:trHeight w:val="114"/>
          <w:jc w:val="right"/>
        </w:trPr>
        <w:tc>
          <w:tcPr>
            <w:tcW w:w="7230" w:type="dxa"/>
            <w:gridSpan w:val="2"/>
            <w:shd w:val="clear" w:color="000000" w:fill="B4C6E7"/>
            <w:noWrap/>
            <w:vAlign w:val="center"/>
            <w:hideMark/>
          </w:tcPr>
          <w:p w14:paraId="287E8CD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5.</w:t>
            </w:r>
            <w:r w:rsidRPr="00D62C5E">
              <w:rPr>
                <w:color w:val="000000"/>
                <w:sz w:val="18"/>
                <w:szCs w:val="18"/>
                <w:lang w:val="ru-RU"/>
              </w:rPr>
              <w:t xml:space="preserve"> </w:t>
            </w:r>
            <w:r w:rsidRPr="00D62C5E">
              <w:rPr>
                <w:b/>
                <w:bCs/>
                <w:color w:val="000000"/>
                <w:sz w:val="18"/>
                <w:szCs w:val="18"/>
                <w:lang w:val="ru-RU"/>
              </w:rPr>
              <w:t>Оказание научной поддержки Сторонам Минаматской конвенции</w:t>
            </w:r>
          </w:p>
        </w:tc>
        <w:tc>
          <w:tcPr>
            <w:tcW w:w="1275" w:type="dxa"/>
            <w:shd w:val="clear" w:color="000000" w:fill="B4C6E7"/>
            <w:noWrap/>
            <w:vAlign w:val="center"/>
            <w:hideMark/>
          </w:tcPr>
          <w:p w14:paraId="19EEC01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shd w:val="clear" w:color="000000" w:fill="B4C6E7"/>
            <w:noWrap/>
            <w:vAlign w:val="center"/>
            <w:hideMark/>
          </w:tcPr>
          <w:p w14:paraId="774D23D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shd w:val="clear" w:color="000000" w:fill="B4C6E7"/>
            <w:noWrap/>
            <w:vAlign w:val="center"/>
            <w:hideMark/>
          </w:tcPr>
          <w:p w14:paraId="6564493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shd w:val="clear" w:color="000000" w:fill="B4C6E7"/>
            <w:noWrap/>
            <w:vAlign w:val="center"/>
            <w:hideMark/>
          </w:tcPr>
          <w:p w14:paraId="5358BA3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795 000</w:t>
            </w:r>
          </w:p>
        </w:tc>
        <w:tc>
          <w:tcPr>
            <w:tcW w:w="1134" w:type="dxa"/>
            <w:shd w:val="clear" w:color="000000" w:fill="B4C6E7"/>
            <w:noWrap/>
            <w:vAlign w:val="center"/>
            <w:hideMark/>
          </w:tcPr>
          <w:p w14:paraId="0DED7D0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625 000</w:t>
            </w:r>
          </w:p>
        </w:tc>
        <w:tc>
          <w:tcPr>
            <w:tcW w:w="1245" w:type="dxa"/>
            <w:shd w:val="clear" w:color="000000" w:fill="B4C6E7"/>
            <w:noWrap/>
            <w:vAlign w:val="center"/>
            <w:hideMark/>
          </w:tcPr>
          <w:p w14:paraId="6AE2E26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1 420 000</w:t>
            </w:r>
          </w:p>
        </w:tc>
      </w:tr>
      <w:tr w:rsidR="00107665" w:rsidRPr="00D62C5E" w14:paraId="55046448" w14:textId="77777777" w:rsidTr="008E43FF">
        <w:trPr>
          <w:trHeight w:val="103"/>
          <w:jc w:val="right"/>
        </w:trPr>
        <w:tc>
          <w:tcPr>
            <w:tcW w:w="7230" w:type="dxa"/>
            <w:gridSpan w:val="2"/>
            <w:noWrap/>
            <w:vAlign w:val="center"/>
            <w:hideMark/>
          </w:tcPr>
          <w:p w14:paraId="21E5C84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6.</w:t>
            </w:r>
            <w:r w:rsidRPr="00D62C5E">
              <w:rPr>
                <w:color w:val="000000"/>
                <w:sz w:val="18"/>
                <w:szCs w:val="18"/>
                <w:lang w:val="ru-RU"/>
              </w:rPr>
              <w:t xml:space="preserve"> </w:t>
            </w:r>
            <w:r w:rsidRPr="00D62C5E">
              <w:rPr>
                <w:b/>
                <w:bCs/>
                <w:color w:val="000000"/>
                <w:sz w:val="18"/>
                <w:szCs w:val="18"/>
                <w:lang w:val="ru-RU"/>
              </w:rPr>
              <w:t>Оценка эффективности</w:t>
            </w:r>
            <w:r w:rsidRPr="00D62C5E">
              <w:rPr>
                <w:color w:val="000000"/>
                <w:sz w:val="18"/>
                <w:szCs w:val="18"/>
                <w:lang w:val="ru-RU"/>
              </w:rPr>
              <w:t xml:space="preserve"> </w:t>
            </w:r>
          </w:p>
        </w:tc>
        <w:tc>
          <w:tcPr>
            <w:tcW w:w="1275" w:type="dxa"/>
            <w:noWrap/>
            <w:vAlign w:val="center"/>
            <w:hideMark/>
          </w:tcPr>
          <w:p w14:paraId="0742065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0AFA25A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3984312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1F5F17D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1E23399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4864906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7A399091" w14:textId="77777777" w:rsidTr="008E43FF">
        <w:trPr>
          <w:trHeight w:val="52"/>
          <w:jc w:val="right"/>
        </w:trPr>
        <w:tc>
          <w:tcPr>
            <w:tcW w:w="284" w:type="dxa"/>
            <w:noWrap/>
            <w:vAlign w:val="center"/>
            <w:hideMark/>
          </w:tcPr>
          <w:p w14:paraId="2488061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rPr>
              <w:t> </w:t>
            </w:r>
          </w:p>
        </w:tc>
        <w:tc>
          <w:tcPr>
            <w:tcW w:w="6946" w:type="dxa"/>
            <w:noWrap/>
            <w:vAlign w:val="center"/>
            <w:hideMark/>
          </w:tcPr>
          <w:p w14:paraId="115E2B0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6.1. Группа по оценке эффективности</w:t>
            </w:r>
          </w:p>
        </w:tc>
        <w:tc>
          <w:tcPr>
            <w:tcW w:w="1275" w:type="dxa"/>
            <w:noWrap/>
            <w:vAlign w:val="center"/>
            <w:hideMark/>
          </w:tcPr>
          <w:p w14:paraId="64A44A8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110 000</w:t>
            </w:r>
          </w:p>
        </w:tc>
        <w:tc>
          <w:tcPr>
            <w:tcW w:w="1134" w:type="dxa"/>
            <w:noWrap/>
            <w:vAlign w:val="center"/>
            <w:hideMark/>
          </w:tcPr>
          <w:p w14:paraId="0DCC31B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6D9B884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110 000</w:t>
            </w:r>
          </w:p>
        </w:tc>
        <w:tc>
          <w:tcPr>
            <w:tcW w:w="1134" w:type="dxa"/>
            <w:noWrap/>
            <w:vAlign w:val="center"/>
            <w:hideMark/>
          </w:tcPr>
          <w:p w14:paraId="02C6F27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25518D5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44A7F39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A87A26" w14:paraId="519C921F" w14:textId="77777777" w:rsidTr="008E43FF">
        <w:trPr>
          <w:trHeight w:val="315"/>
          <w:jc w:val="right"/>
        </w:trPr>
        <w:tc>
          <w:tcPr>
            <w:tcW w:w="284" w:type="dxa"/>
            <w:tcBorders>
              <w:top w:val="nil"/>
            </w:tcBorders>
            <w:noWrap/>
            <w:vAlign w:val="center"/>
            <w:hideMark/>
          </w:tcPr>
          <w:p w14:paraId="0D6C164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rPr>
              <w:t> </w:t>
            </w:r>
          </w:p>
        </w:tc>
        <w:tc>
          <w:tcPr>
            <w:tcW w:w="6946" w:type="dxa"/>
            <w:tcBorders>
              <w:top w:val="nil"/>
            </w:tcBorders>
            <w:noWrap/>
            <w:vAlign w:val="center"/>
            <w:hideMark/>
          </w:tcPr>
          <w:p w14:paraId="069F17D5"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6.2. Другая подготовительная работа и доклады в поддержку оценки эффективности</w:t>
            </w:r>
          </w:p>
        </w:tc>
        <w:tc>
          <w:tcPr>
            <w:tcW w:w="1275" w:type="dxa"/>
            <w:tcBorders>
              <w:top w:val="nil"/>
            </w:tcBorders>
            <w:noWrap/>
            <w:vAlign w:val="center"/>
            <w:hideMark/>
          </w:tcPr>
          <w:p w14:paraId="2061F3C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68D242B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tcBorders>
              <w:top w:val="nil"/>
            </w:tcBorders>
            <w:noWrap/>
            <w:vAlign w:val="center"/>
            <w:hideMark/>
          </w:tcPr>
          <w:p w14:paraId="6555E7A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2BA5D47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13D4429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tcBorders>
              <w:top w:val="nil"/>
            </w:tcBorders>
            <w:noWrap/>
            <w:vAlign w:val="center"/>
            <w:hideMark/>
          </w:tcPr>
          <w:p w14:paraId="510BED5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4E467AE3" w14:textId="77777777" w:rsidTr="008E43FF">
        <w:trPr>
          <w:trHeight w:val="52"/>
          <w:jc w:val="right"/>
        </w:trPr>
        <w:tc>
          <w:tcPr>
            <w:tcW w:w="7230" w:type="dxa"/>
            <w:gridSpan w:val="2"/>
            <w:shd w:val="clear" w:color="000000" w:fill="B4C6E7"/>
            <w:noWrap/>
            <w:vAlign w:val="center"/>
            <w:hideMark/>
          </w:tcPr>
          <w:p w14:paraId="7E9E8A99"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6.</w:t>
            </w:r>
            <w:r w:rsidRPr="00D62C5E">
              <w:rPr>
                <w:color w:val="000000"/>
                <w:sz w:val="18"/>
                <w:szCs w:val="18"/>
                <w:lang w:val="ru-RU"/>
              </w:rPr>
              <w:t xml:space="preserve"> </w:t>
            </w:r>
            <w:r w:rsidRPr="00D62C5E">
              <w:rPr>
                <w:b/>
                <w:bCs/>
                <w:color w:val="000000"/>
                <w:sz w:val="18"/>
                <w:szCs w:val="18"/>
                <w:lang w:val="ru-RU"/>
              </w:rPr>
              <w:t>Оценка эффективности</w:t>
            </w:r>
          </w:p>
        </w:tc>
        <w:tc>
          <w:tcPr>
            <w:tcW w:w="1275" w:type="dxa"/>
            <w:shd w:val="clear" w:color="000000" w:fill="B4C6E7"/>
            <w:noWrap/>
            <w:vAlign w:val="center"/>
            <w:hideMark/>
          </w:tcPr>
          <w:p w14:paraId="2337F98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110 000</w:t>
            </w:r>
          </w:p>
        </w:tc>
        <w:tc>
          <w:tcPr>
            <w:tcW w:w="1134" w:type="dxa"/>
            <w:shd w:val="clear" w:color="000000" w:fill="B4C6E7"/>
            <w:noWrap/>
            <w:vAlign w:val="center"/>
            <w:hideMark/>
          </w:tcPr>
          <w:p w14:paraId="356CAA4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shd w:val="clear" w:color="000000" w:fill="B4C6E7"/>
            <w:noWrap/>
            <w:vAlign w:val="center"/>
            <w:hideMark/>
          </w:tcPr>
          <w:p w14:paraId="24CC3CE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110 000</w:t>
            </w:r>
          </w:p>
        </w:tc>
        <w:tc>
          <w:tcPr>
            <w:tcW w:w="1134" w:type="dxa"/>
            <w:shd w:val="clear" w:color="000000" w:fill="B4C6E7"/>
            <w:noWrap/>
            <w:vAlign w:val="center"/>
            <w:hideMark/>
          </w:tcPr>
          <w:p w14:paraId="4A495A1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7B11D49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76163D9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A87A26" w14:paraId="730DBFF1" w14:textId="77777777" w:rsidTr="008E43FF">
        <w:trPr>
          <w:trHeight w:val="52"/>
          <w:jc w:val="right"/>
        </w:trPr>
        <w:tc>
          <w:tcPr>
            <w:tcW w:w="7230" w:type="dxa"/>
            <w:gridSpan w:val="2"/>
            <w:noWrap/>
            <w:vAlign w:val="center"/>
            <w:hideMark/>
          </w:tcPr>
          <w:p w14:paraId="00E541FE"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7.</w:t>
            </w:r>
            <w:r w:rsidRPr="00D62C5E">
              <w:rPr>
                <w:color w:val="000000"/>
                <w:sz w:val="18"/>
                <w:szCs w:val="18"/>
                <w:lang w:val="ru-RU"/>
              </w:rPr>
              <w:t xml:space="preserve"> </w:t>
            </w:r>
            <w:r w:rsidRPr="00D62C5E">
              <w:rPr>
                <w:b/>
                <w:bCs/>
                <w:color w:val="000000"/>
                <w:sz w:val="18"/>
                <w:szCs w:val="18"/>
                <w:lang w:val="ru-RU"/>
              </w:rPr>
              <w:t>Представление национальных докладов в соответствии с Минаматской конвенцией</w:t>
            </w:r>
          </w:p>
        </w:tc>
        <w:tc>
          <w:tcPr>
            <w:tcW w:w="1275" w:type="dxa"/>
            <w:noWrap/>
            <w:vAlign w:val="center"/>
            <w:hideMark/>
          </w:tcPr>
          <w:p w14:paraId="7621537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78CAE5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6B08189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30A4377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26F1A02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1E991D8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2426842B" w14:textId="77777777" w:rsidTr="008E43FF">
        <w:trPr>
          <w:trHeight w:val="300"/>
          <w:jc w:val="right"/>
        </w:trPr>
        <w:tc>
          <w:tcPr>
            <w:tcW w:w="284" w:type="dxa"/>
            <w:tcBorders>
              <w:top w:val="nil"/>
            </w:tcBorders>
            <w:noWrap/>
            <w:vAlign w:val="center"/>
            <w:hideMark/>
          </w:tcPr>
          <w:p w14:paraId="718977D5"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41C72D2D"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7.1. Обработка и анализ национальных докладов </w:t>
            </w:r>
          </w:p>
        </w:tc>
        <w:tc>
          <w:tcPr>
            <w:tcW w:w="1275" w:type="dxa"/>
            <w:tcBorders>
              <w:top w:val="nil"/>
            </w:tcBorders>
            <w:noWrap/>
            <w:vAlign w:val="center"/>
            <w:hideMark/>
          </w:tcPr>
          <w:p w14:paraId="111CE88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25 000</w:t>
            </w:r>
          </w:p>
        </w:tc>
        <w:tc>
          <w:tcPr>
            <w:tcW w:w="1134" w:type="dxa"/>
            <w:tcBorders>
              <w:top w:val="nil"/>
            </w:tcBorders>
            <w:noWrap/>
            <w:vAlign w:val="center"/>
            <w:hideMark/>
          </w:tcPr>
          <w:p w14:paraId="1D101F1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top w:val="nil"/>
            </w:tcBorders>
            <w:noWrap/>
            <w:vAlign w:val="center"/>
            <w:hideMark/>
          </w:tcPr>
          <w:p w14:paraId="0E86603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25 000</w:t>
            </w:r>
          </w:p>
        </w:tc>
        <w:tc>
          <w:tcPr>
            <w:tcW w:w="1134" w:type="dxa"/>
            <w:tcBorders>
              <w:top w:val="nil"/>
            </w:tcBorders>
            <w:noWrap/>
            <w:vAlign w:val="center"/>
            <w:hideMark/>
          </w:tcPr>
          <w:p w14:paraId="54271A0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7B1DF01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46902D4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7410EEFB" w14:textId="77777777" w:rsidTr="008E43FF">
        <w:trPr>
          <w:trHeight w:val="300"/>
          <w:jc w:val="right"/>
        </w:trPr>
        <w:tc>
          <w:tcPr>
            <w:tcW w:w="284" w:type="dxa"/>
            <w:tcBorders>
              <w:top w:val="nil"/>
            </w:tcBorders>
            <w:noWrap/>
            <w:vAlign w:val="center"/>
            <w:hideMark/>
          </w:tcPr>
          <w:p w14:paraId="74A92B00"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tcBorders>
              <w:top w:val="nil"/>
            </w:tcBorders>
            <w:noWrap/>
            <w:vAlign w:val="center"/>
            <w:hideMark/>
          </w:tcPr>
          <w:p w14:paraId="18E3A6D9"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7.2. Текущее обращение с информацией, содержащейся в национальных докладах </w:t>
            </w:r>
          </w:p>
        </w:tc>
        <w:tc>
          <w:tcPr>
            <w:tcW w:w="1275" w:type="dxa"/>
            <w:tcBorders>
              <w:top w:val="nil"/>
            </w:tcBorders>
            <w:noWrap/>
            <w:vAlign w:val="center"/>
            <w:hideMark/>
          </w:tcPr>
          <w:p w14:paraId="7084927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30 000</w:t>
            </w:r>
          </w:p>
        </w:tc>
        <w:tc>
          <w:tcPr>
            <w:tcW w:w="1134" w:type="dxa"/>
            <w:tcBorders>
              <w:top w:val="nil"/>
            </w:tcBorders>
            <w:noWrap/>
            <w:vAlign w:val="center"/>
            <w:hideMark/>
          </w:tcPr>
          <w:p w14:paraId="28F3016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top w:val="nil"/>
            </w:tcBorders>
            <w:noWrap/>
            <w:vAlign w:val="center"/>
            <w:hideMark/>
          </w:tcPr>
          <w:p w14:paraId="0D8A563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30 000</w:t>
            </w:r>
          </w:p>
        </w:tc>
        <w:tc>
          <w:tcPr>
            <w:tcW w:w="1134" w:type="dxa"/>
            <w:tcBorders>
              <w:top w:val="nil"/>
            </w:tcBorders>
            <w:noWrap/>
            <w:vAlign w:val="center"/>
            <w:hideMark/>
          </w:tcPr>
          <w:p w14:paraId="0F1953F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59B807F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0416A6F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56412692" w14:textId="77777777" w:rsidTr="008E43FF">
        <w:trPr>
          <w:trHeight w:val="315"/>
          <w:jc w:val="right"/>
        </w:trPr>
        <w:tc>
          <w:tcPr>
            <w:tcW w:w="284" w:type="dxa"/>
            <w:tcBorders>
              <w:top w:val="nil"/>
            </w:tcBorders>
            <w:noWrap/>
            <w:vAlign w:val="center"/>
            <w:hideMark/>
          </w:tcPr>
          <w:p w14:paraId="48AD006E"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tcBorders>
              <w:top w:val="nil"/>
            </w:tcBorders>
            <w:noWrap/>
            <w:vAlign w:val="center"/>
            <w:hideMark/>
          </w:tcPr>
          <w:p w14:paraId="2FF64F82"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7.3. Укрепление потенциала Сторон для подготовки национальных докладов</w:t>
            </w:r>
          </w:p>
        </w:tc>
        <w:tc>
          <w:tcPr>
            <w:tcW w:w="1275" w:type="dxa"/>
            <w:tcBorders>
              <w:top w:val="nil"/>
            </w:tcBorders>
            <w:noWrap/>
            <w:vAlign w:val="center"/>
            <w:hideMark/>
          </w:tcPr>
          <w:p w14:paraId="1754F60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16 000</w:t>
            </w:r>
          </w:p>
        </w:tc>
        <w:tc>
          <w:tcPr>
            <w:tcW w:w="1134" w:type="dxa"/>
            <w:tcBorders>
              <w:top w:val="nil"/>
            </w:tcBorders>
            <w:noWrap/>
            <w:vAlign w:val="center"/>
            <w:hideMark/>
          </w:tcPr>
          <w:p w14:paraId="316E850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top w:val="nil"/>
            </w:tcBorders>
            <w:noWrap/>
            <w:vAlign w:val="center"/>
            <w:hideMark/>
          </w:tcPr>
          <w:p w14:paraId="77F1BF9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16 000</w:t>
            </w:r>
          </w:p>
        </w:tc>
        <w:tc>
          <w:tcPr>
            <w:tcW w:w="1134" w:type="dxa"/>
            <w:tcBorders>
              <w:top w:val="nil"/>
            </w:tcBorders>
            <w:noWrap/>
            <w:vAlign w:val="center"/>
            <w:hideMark/>
          </w:tcPr>
          <w:p w14:paraId="104F2B1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4833FBB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12 000</w:t>
            </w:r>
          </w:p>
        </w:tc>
        <w:tc>
          <w:tcPr>
            <w:tcW w:w="1245" w:type="dxa"/>
            <w:tcBorders>
              <w:top w:val="nil"/>
            </w:tcBorders>
            <w:noWrap/>
            <w:vAlign w:val="center"/>
            <w:hideMark/>
          </w:tcPr>
          <w:p w14:paraId="0D4CCC2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12 000</w:t>
            </w:r>
          </w:p>
        </w:tc>
      </w:tr>
      <w:tr w:rsidR="00107665" w:rsidRPr="00D62C5E" w14:paraId="343D08B7" w14:textId="77777777" w:rsidTr="008E43FF">
        <w:trPr>
          <w:trHeight w:val="52"/>
          <w:jc w:val="right"/>
        </w:trPr>
        <w:tc>
          <w:tcPr>
            <w:tcW w:w="7230" w:type="dxa"/>
            <w:gridSpan w:val="2"/>
            <w:tcBorders>
              <w:bottom w:val="single" w:sz="4" w:space="0" w:color="auto"/>
            </w:tcBorders>
            <w:shd w:val="clear" w:color="000000" w:fill="B4C6E7"/>
            <w:noWrap/>
            <w:vAlign w:val="center"/>
            <w:hideMark/>
          </w:tcPr>
          <w:p w14:paraId="1C719B8A" w14:textId="77777777" w:rsidR="00107665" w:rsidRPr="00D62C5E" w:rsidRDefault="00107665" w:rsidP="00D62C5E">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7.</w:t>
            </w:r>
            <w:r w:rsidRPr="00D62C5E">
              <w:rPr>
                <w:color w:val="000000"/>
                <w:sz w:val="18"/>
                <w:szCs w:val="18"/>
                <w:lang w:val="ru-RU"/>
              </w:rPr>
              <w:t xml:space="preserve"> </w:t>
            </w:r>
            <w:r w:rsidRPr="00D62C5E">
              <w:rPr>
                <w:b/>
                <w:bCs/>
                <w:color w:val="000000"/>
                <w:sz w:val="18"/>
                <w:szCs w:val="18"/>
                <w:lang w:val="ru-RU"/>
              </w:rPr>
              <w:t>Представление национальных докладов в соответствии с Минаматской конвенцией</w:t>
            </w:r>
          </w:p>
        </w:tc>
        <w:tc>
          <w:tcPr>
            <w:tcW w:w="1275" w:type="dxa"/>
            <w:tcBorders>
              <w:bottom w:val="single" w:sz="4" w:space="0" w:color="auto"/>
            </w:tcBorders>
            <w:shd w:val="clear" w:color="000000" w:fill="B4C6E7"/>
            <w:noWrap/>
            <w:vAlign w:val="center"/>
            <w:hideMark/>
          </w:tcPr>
          <w:p w14:paraId="4D68B13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71 000</w:t>
            </w:r>
          </w:p>
        </w:tc>
        <w:tc>
          <w:tcPr>
            <w:tcW w:w="1134" w:type="dxa"/>
            <w:tcBorders>
              <w:bottom w:val="single" w:sz="4" w:space="0" w:color="auto"/>
            </w:tcBorders>
            <w:shd w:val="clear" w:color="000000" w:fill="B4C6E7"/>
            <w:noWrap/>
            <w:vAlign w:val="center"/>
            <w:hideMark/>
          </w:tcPr>
          <w:p w14:paraId="4463214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A01B27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71 000</w:t>
            </w:r>
          </w:p>
        </w:tc>
        <w:tc>
          <w:tcPr>
            <w:tcW w:w="1134" w:type="dxa"/>
            <w:tcBorders>
              <w:bottom w:val="single" w:sz="4" w:space="0" w:color="auto"/>
            </w:tcBorders>
            <w:shd w:val="clear" w:color="000000" w:fill="B4C6E7"/>
            <w:noWrap/>
            <w:vAlign w:val="center"/>
            <w:hideMark/>
          </w:tcPr>
          <w:p w14:paraId="1E29104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2861FD0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c>
          <w:tcPr>
            <w:tcW w:w="1245" w:type="dxa"/>
            <w:tcBorders>
              <w:bottom w:val="single" w:sz="4" w:space="0" w:color="auto"/>
            </w:tcBorders>
            <w:shd w:val="clear" w:color="000000" w:fill="B4C6E7"/>
            <w:noWrap/>
            <w:vAlign w:val="center"/>
            <w:hideMark/>
          </w:tcPr>
          <w:p w14:paraId="52341CA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r>
      <w:tr w:rsidR="00107665" w:rsidRPr="00D62C5E" w14:paraId="6C457C69"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24843597"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(C)</w:t>
            </w:r>
          </w:p>
        </w:tc>
        <w:tc>
          <w:tcPr>
            <w:tcW w:w="1275" w:type="dxa"/>
            <w:tcBorders>
              <w:top w:val="single" w:sz="4" w:space="0" w:color="auto"/>
              <w:bottom w:val="single" w:sz="4" w:space="0" w:color="auto"/>
            </w:tcBorders>
            <w:shd w:val="clear" w:color="000000" w:fill="DBB731"/>
            <w:noWrap/>
            <w:vAlign w:val="center"/>
            <w:hideMark/>
          </w:tcPr>
          <w:p w14:paraId="7F08A4E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181 000</w:t>
            </w:r>
          </w:p>
        </w:tc>
        <w:tc>
          <w:tcPr>
            <w:tcW w:w="1134" w:type="dxa"/>
            <w:tcBorders>
              <w:top w:val="single" w:sz="4" w:space="0" w:color="auto"/>
              <w:bottom w:val="single" w:sz="4" w:space="0" w:color="auto"/>
            </w:tcBorders>
            <w:shd w:val="clear" w:color="000000" w:fill="DBB731"/>
            <w:noWrap/>
            <w:vAlign w:val="center"/>
            <w:hideMark/>
          </w:tcPr>
          <w:p w14:paraId="09AB94A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1672970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181 000</w:t>
            </w:r>
          </w:p>
        </w:tc>
        <w:tc>
          <w:tcPr>
            <w:tcW w:w="1134" w:type="dxa"/>
            <w:tcBorders>
              <w:top w:val="single" w:sz="4" w:space="0" w:color="auto"/>
              <w:bottom w:val="single" w:sz="4" w:space="0" w:color="auto"/>
            </w:tcBorders>
            <w:shd w:val="clear" w:color="000000" w:fill="DBB731"/>
            <w:noWrap/>
            <w:vAlign w:val="center"/>
            <w:hideMark/>
          </w:tcPr>
          <w:p w14:paraId="4518782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795 000</w:t>
            </w:r>
          </w:p>
        </w:tc>
        <w:tc>
          <w:tcPr>
            <w:tcW w:w="1134" w:type="dxa"/>
            <w:tcBorders>
              <w:top w:val="single" w:sz="4" w:space="0" w:color="auto"/>
              <w:bottom w:val="single" w:sz="4" w:space="0" w:color="auto"/>
            </w:tcBorders>
            <w:shd w:val="clear" w:color="000000" w:fill="DBB731"/>
            <w:noWrap/>
            <w:vAlign w:val="center"/>
            <w:hideMark/>
          </w:tcPr>
          <w:p w14:paraId="56C73C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637 000</w:t>
            </w:r>
          </w:p>
        </w:tc>
        <w:tc>
          <w:tcPr>
            <w:tcW w:w="1245" w:type="dxa"/>
            <w:tcBorders>
              <w:top w:val="single" w:sz="4" w:space="0" w:color="auto"/>
              <w:bottom w:val="single" w:sz="4" w:space="0" w:color="auto"/>
            </w:tcBorders>
            <w:shd w:val="clear" w:color="000000" w:fill="DBB731"/>
            <w:noWrap/>
            <w:vAlign w:val="center"/>
            <w:hideMark/>
          </w:tcPr>
          <w:p w14:paraId="346D9DA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1 432 000</w:t>
            </w:r>
          </w:p>
        </w:tc>
      </w:tr>
      <w:tr w:rsidR="00107665" w:rsidRPr="00A87A26" w14:paraId="550BB5CC" w14:textId="77777777" w:rsidTr="008E43FF">
        <w:trPr>
          <w:trHeight w:val="315"/>
          <w:jc w:val="right"/>
        </w:trPr>
        <w:tc>
          <w:tcPr>
            <w:tcW w:w="7230" w:type="dxa"/>
            <w:gridSpan w:val="2"/>
            <w:tcBorders>
              <w:top w:val="single" w:sz="4" w:space="0" w:color="auto"/>
            </w:tcBorders>
            <w:noWrap/>
            <w:vAlign w:val="center"/>
            <w:hideMark/>
          </w:tcPr>
          <w:p w14:paraId="40C2AE32" w14:textId="77777777" w:rsidR="00107665" w:rsidRPr="00D62C5E" w:rsidRDefault="00107665" w:rsidP="00384603">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D.</w:t>
            </w:r>
            <w:r w:rsidRPr="00D62C5E">
              <w:rPr>
                <w:color w:val="000000"/>
                <w:sz w:val="18"/>
                <w:szCs w:val="18"/>
                <w:lang w:val="ru-RU"/>
              </w:rPr>
              <w:t xml:space="preserve"> </w:t>
            </w:r>
            <w:r w:rsidRPr="00D62C5E">
              <w:rPr>
                <w:b/>
                <w:bCs/>
                <w:color w:val="000000"/>
                <w:sz w:val="18"/>
                <w:szCs w:val="18"/>
                <w:lang w:val="ru-RU"/>
              </w:rPr>
              <w:t>Работа со знаниями и информацией и информационно-пропагандистская деятельность</w:t>
            </w:r>
            <w:r w:rsidRPr="00D62C5E">
              <w:rPr>
                <w:color w:val="000000"/>
                <w:sz w:val="18"/>
                <w:szCs w:val="18"/>
                <w:lang w:val="ru-RU"/>
              </w:rPr>
              <w:t xml:space="preserve"> </w:t>
            </w:r>
          </w:p>
        </w:tc>
        <w:tc>
          <w:tcPr>
            <w:tcW w:w="1275" w:type="dxa"/>
            <w:tcBorders>
              <w:top w:val="single" w:sz="4" w:space="0" w:color="auto"/>
            </w:tcBorders>
            <w:noWrap/>
            <w:vAlign w:val="center"/>
            <w:hideMark/>
          </w:tcPr>
          <w:p w14:paraId="07A19D4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5E1BF3A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715F2A5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6AE8B2F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7C2743C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096078E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786F6133" w14:textId="77777777" w:rsidTr="008E43FF">
        <w:trPr>
          <w:trHeight w:val="52"/>
          <w:jc w:val="right"/>
        </w:trPr>
        <w:tc>
          <w:tcPr>
            <w:tcW w:w="7230" w:type="dxa"/>
            <w:gridSpan w:val="2"/>
            <w:noWrap/>
            <w:vAlign w:val="center"/>
            <w:hideMark/>
          </w:tcPr>
          <w:p w14:paraId="3D4A3890"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8.</w:t>
            </w:r>
            <w:r w:rsidRPr="00D62C5E">
              <w:rPr>
                <w:color w:val="000000"/>
                <w:sz w:val="18"/>
                <w:szCs w:val="18"/>
                <w:lang w:val="ru-RU"/>
              </w:rPr>
              <w:t xml:space="preserve"> </w:t>
            </w:r>
            <w:r w:rsidRPr="00D62C5E">
              <w:rPr>
                <w:b/>
                <w:bCs/>
                <w:color w:val="000000"/>
                <w:sz w:val="18"/>
                <w:szCs w:val="18"/>
                <w:lang w:val="ru-RU"/>
              </w:rPr>
              <w:t>Публикации</w:t>
            </w:r>
          </w:p>
        </w:tc>
        <w:tc>
          <w:tcPr>
            <w:tcW w:w="1275" w:type="dxa"/>
            <w:noWrap/>
            <w:vAlign w:val="center"/>
            <w:hideMark/>
          </w:tcPr>
          <w:p w14:paraId="6368C3E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45305BB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6B3B83C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653B2C4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2A1E889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706BF3A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07120859" w14:textId="77777777" w:rsidTr="008E43FF">
        <w:trPr>
          <w:trHeight w:val="52"/>
          <w:jc w:val="right"/>
        </w:trPr>
        <w:tc>
          <w:tcPr>
            <w:tcW w:w="284" w:type="dxa"/>
            <w:noWrap/>
            <w:vAlign w:val="center"/>
            <w:hideMark/>
          </w:tcPr>
          <w:p w14:paraId="63F0D464"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2910EBB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8.1. Публикации</w:t>
            </w:r>
          </w:p>
        </w:tc>
        <w:tc>
          <w:tcPr>
            <w:tcW w:w="1275" w:type="dxa"/>
            <w:noWrap/>
            <w:vAlign w:val="center"/>
            <w:hideMark/>
          </w:tcPr>
          <w:p w14:paraId="092F170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25 000</w:t>
            </w:r>
          </w:p>
        </w:tc>
        <w:tc>
          <w:tcPr>
            <w:tcW w:w="1134" w:type="dxa"/>
            <w:noWrap/>
            <w:vAlign w:val="center"/>
            <w:hideMark/>
          </w:tcPr>
          <w:p w14:paraId="6E93620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20 000</w:t>
            </w:r>
          </w:p>
        </w:tc>
        <w:tc>
          <w:tcPr>
            <w:tcW w:w="1276" w:type="dxa"/>
            <w:noWrap/>
            <w:vAlign w:val="center"/>
            <w:hideMark/>
          </w:tcPr>
          <w:p w14:paraId="272565E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45 000</w:t>
            </w:r>
          </w:p>
        </w:tc>
        <w:tc>
          <w:tcPr>
            <w:tcW w:w="1134" w:type="dxa"/>
            <w:noWrap/>
            <w:vAlign w:val="center"/>
            <w:hideMark/>
          </w:tcPr>
          <w:p w14:paraId="60C2954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12 500</w:t>
            </w:r>
          </w:p>
        </w:tc>
        <w:tc>
          <w:tcPr>
            <w:tcW w:w="1134" w:type="dxa"/>
            <w:noWrap/>
            <w:vAlign w:val="center"/>
            <w:hideMark/>
          </w:tcPr>
          <w:p w14:paraId="23E66AA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12 500</w:t>
            </w:r>
          </w:p>
        </w:tc>
        <w:tc>
          <w:tcPr>
            <w:tcW w:w="1245" w:type="dxa"/>
            <w:noWrap/>
            <w:vAlign w:val="center"/>
            <w:hideMark/>
          </w:tcPr>
          <w:p w14:paraId="5996BE5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25 000</w:t>
            </w:r>
          </w:p>
        </w:tc>
      </w:tr>
      <w:tr w:rsidR="00107665" w:rsidRPr="00D62C5E" w14:paraId="6F0746E5" w14:textId="77777777" w:rsidTr="008E43FF">
        <w:trPr>
          <w:trHeight w:val="52"/>
          <w:jc w:val="right"/>
        </w:trPr>
        <w:tc>
          <w:tcPr>
            <w:tcW w:w="7230" w:type="dxa"/>
            <w:gridSpan w:val="2"/>
            <w:shd w:val="clear" w:color="000000" w:fill="B4C6E7"/>
            <w:noWrap/>
            <w:vAlign w:val="center"/>
            <w:hideMark/>
          </w:tcPr>
          <w:p w14:paraId="59D6FCE5"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8.</w:t>
            </w:r>
            <w:r w:rsidRPr="00D62C5E">
              <w:rPr>
                <w:color w:val="000000"/>
                <w:sz w:val="18"/>
                <w:szCs w:val="18"/>
                <w:lang w:val="ru-RU"/>
              </w:rPr>
              <w:t xml:space="preserve"> </w:t>
            </w:r>
            <w:r w:rsidRPr="00D62C5E">
              <w:rPr>
                <w:b/>
                <w:bCs/>
                <w:color w:val="000000"/>
                <w:sz w:val="18"/>
                <w:szCs w:val="18"/>
                <w:lang w:val="ru-RU"/>
              </w:rPr>
              <w:t>Публикации</w:t>
            </w:r>
          </w:p>
        </w:tc>
        <w:tc>
          <w:tcPr>
            <w:tcW w:w="1275" w:type="dxa"/>
            <w:shd w:val="clear" w:color="000000" w:fill="B4C6E7"/>
            <w:noWrap/>
            <w:vAlign w:val="center"/>
            <w:hideMark/>
          </w:tcPr>
          <w:p w14:paraId="27B0D0B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25 000</w:t>
            </w:r>
          </w:p>
        </w:tc>
        <w:tc>
          <w:tcPr>
            <w:tcW w:w="1134" w:type="dxa"/>
            <w:shd w:val="clear" w:color="000000" w:fill="B4C6E7"/>
            <w:noWrap/>
            <w:vAlign w:val="center"/>
            <w:hideMark/>
          </w:tcPr>
          <w:p w14:paraId="4544733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20 000</w:t>
            </w:r>
          </w:p>
        </w:tc>
        <w:tc>
          <w:tcPr>
            <w:tcW w:w="1276" w:type="dxa"/>
            <w:shd w:val="clear" w:color="000000" w:fill="B4C6E7"/>
            <w:noWrap/>
            <w:vAlign w:val="center"/>
            <w:hideMark/>
          </w:tcPr>
          <w:p w14:paraId="6E050AA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45 000</w:t>
            </w:r>
          </w:p>
        </w:tc>
        <w:tc>
          <w:tcPr>
            <w:tcW w:w="1134" w:type="dxa"/>
            <w:shd w:val="clear" w:color="000000" w:fill="B4C6E7"/>
            <w:noWrap/>
            <w:vAlign w:val="center"/>
            <w:hideMark/>
          </w:tcPr>
          <w:p w14:paraId="5276844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12 500</w:t>
            </w:r>
          </w:p>
        </w:tc>
        <w:tc>
          <w:tcPr>
            <w:tcW w:w="1134" w:type="dxa"/>
            <w:shd w:val="clear" w:color="000000" w:fill="B4C6E7"/>
            <w:noWrap/>
            <w:vAlign w:val="center"/>
            <w:hideMark/>
          </w:tcPr>
          <w:p w14:paraId="27BE83D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12 500</w:t>
            </w:r>
          </w:p>
        </w:tc>
        <w:tc>
          <w:tcPr>
            <w:tcW w:w="1245" w:type="dxa"/>
            <w:shd w:val="clear" w:color="000000" w:fill="B4C6E7"/>
            <w:noWrap/>
            <w:vAlign w:val="center"/>
            <w:hideMark/>
          </w:tcPr>
          <w:p w14:paraId="52D5CC3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25 000</w:t>
            </w:r>
          </w:p>
        </w:tc>
      </w:tr>
      <w:tr w:rsidR="00107665" w:rsidRPr="00A87A26" w14:paraId="34830EA2" w14:textId="77777777" w:rsidTr="008E43FF">
        <w:trPr>
          <w:trHeight w:val="52"/>
          <w:jc w:val="right"/>
        </w:trPr>
        <w:tc>
          <w:tcPr>
            <w:tcW w:w="7230" w:type="dxa"/>
            <w:gridSpan w:val="2"/>
            <w:tcBorders>
              <w:top w:val="nil"/>
            </w:tcBorders>
            <w:noWrap/>
            <w:vAlign w:val="center"/>
            <w:hideMark/>
          </w:tcPr>
          <w:p w14:paraId="0537A9E5" w14:textId="77777777" w:rsidR="00107665" w:rsidRPr="00D62C5E" w:rsidRDefault="00107665" w:rsidP="00384603">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9.</w:t>
            </w:r>
            <w:r w:rsidRPr="00D62C5E">
              <w:rPr>
                <w:color w:val="000000"/>
                <w:sz w:val="18"/>
                <w:szCs w:val="18"/>
                <w:lang w:val="ru-RU"/>
              </w:rPr>
              <w:t xml:space="preserve"> </w:t>
            </w:r>
            <w:r w:rsidRPr="00D62C5E">
              <w:rPr>
                <w:b/>
                <w:bCs/>
                <w:color w:val="000000"/>
                <w:sz w:val="18"/>
                <w:szCs w:val="18"/>
                <w:lang w:val="ru-RU"/>
              </w:rPr>
              <w:t>Массовая информация, информационно-пропагандистская деятельность и информирование общественности</w:t>
            </w:r>
          </w:p>
        </w:tc>
        <w:tc>
          <w:tcPr>
            <w:tcW w:w="1275" w:type="dxa"/>
            <w:tcBorders>
              <w:top w:val="nil"/>
            </w:tcBorders>
            <w:noWrap/>
            <w:vAlign w:val="center"/>
            <w:hideMark/>
          </w:tcPr>
          <w:p w14:paraId="437D5C7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3B51AD8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nil"/>
            </w:tcBorders>
            <w:noWrap/>
            <w:vAlign w:val="center"/>
            <w:hideMark/>
          </w:tcPr>
          <w:p w14:paraId="477BF66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79A7C04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33874F5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nil"/>
            </w:tcBorders>
            <w:noWrap/>
            <w:vAlign w:val="center"/>
            <w:hideMark/>
          </w:tcPr>
          <w:p w14:paraId="68FC5CD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0875BDBB" w14:textId="77777777" w:rsidTr="008E43FF">
        <w:trPr>
          <w:trHeight w:val="52"/>
          <w:jc w:val="right"/>
        </w:trPr>
        <w:tc>
          <w:tcPr>
            <w:tcW w:w="284" w:type="dxa"/>
            <w:tcBorders>
              <w:top w:val="nil"/>
            </w:tcBorders>
            <w:noWrap/>
            <w:vAlign w:val="center"/>
            <w:hideMark/>
          </w:tcPr>
          <w:p w14:paraId="22D524DC"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65F3D4C0" w14:textId="77777777" w:rsidR="00107665" w:rsidRPr="00D62C5E" w:rsidRDefault="00107665" w:rsidP="00384603">
            <w:pPr>
              <w:tabs>
                <w:tab w:val="clear" w:pos="1247"/>
                <w:tab w:val="clear" w:pos="1814"/>
                <w:tab w:val="clear" w:pos="2381"/>
                <w:tab w:val="clear" w:pos="2948"/>
                <w:tab w:val="clear" w:pos="3515"/>
              </w:tabs>
              <w:spacing w:before="40" w:after="40"/>
              <w:ind w:left="170" w:hanging="170"/>
              <w:rPr>
                <w:sz w:val="18"/>
                <w:szCs w:val="18"/>
                <w:lang w:val="ru-RU"/>
              </w:rPr>
            </w:pPr>
            <w:r w:rsidRPr="00D62C5E">
              <w:rPr>
                <w:color w:val="000000"/>
                <w:sz w:val="18"/>
                <w:szCs w:val="18"/>
                <w:lang w:val="ru-RU"/>
              </w:rPr>
              <w:t>9.1. Массовая информация, информационно-пропагандистская деятельность и информирование общественности</w:t>
            </w:r>
          </w:p>
        </w:tc>
        <w:tc>
          <w:tcPr>
            <w:tcW w:w="1275" w:type="dxa"/>
            <w:tcBorders>
              <w:top w:val="nil"/>
            </w:tcBorders>
            <w:noWrap/>
            <w:vAlign w:val="center"/>
            <w:hideMark/>
          </w:tcPr>
          <w:p w14:paraId="5635B8D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34 000</w:t>
            </w:r>
          </w:p>
        </w:tc>
        <w:tc>
          <w:tcPr>
            <w:tcW w:w="1134" w:type="dxa"/>
            <w:tcBorders>
              <w:top w:val="nil"/>
            </w:tcBorders>
            <w:noWrap/>
            <w:vAlign w:val="center"/>
            <w:hideMark/>
          </w:tcPr>
          <w:p w14:paraId="660204C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42 000</w:t>
            </w:r>
          </w:p>
        </w:tc>
        <w:tc>
          <w:tcPr>
            <w:tcW w:w="1276" w:type="dxa"/>
            <w:tcBorders>
              <w:top w:val="nil"/>
            </w:tcBorders>
            <w:noWrap/>
            <w:vAlign w:val="center"/>
            <w:hideMark/>
          </w:tcPr>
          <w:p w14:paraId="767EF26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76 000</w:t>
            </w:r>
          </w:p>
        </w:tc>
        <w:tc>
          <w:tcPr>
            <w:tcW w:w="1134" w:type="dxa"/>
            <w:tcBorders>
              <w:top w:val="nil"/>
            </w:tcBorders>
            <w:noWrap/>
            <w:vAlign w:val="center"/>
            <w:hideMark/>
          </w:tcPr>
          <w:p w14:paraId="7F255F2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57BF8AC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6A3B854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5E6644B9" w14:textId="77777777" w:rsidTr="008E43FF">
        <w:trPr>
          <w:trHeight w:val="52"/>
          <w:jc w:val="right"/>
        </w:trPr>
        <w:tc>
          <w:tcPr>
            <w:tcW w:w="7230" w:type="dxa"/>
            <w:gridSpan w:val="2"/>
            <w:shd w:val="clear" w:color="000000" w:fill="B4C6E7"/>
            <w:noWrap/>
            <w:vAlign w:val="center"/>
            <w:hideMark/>
          </w:tcPr>
          <w:p w14:paraId="27FC71D9" w14:textId="77777777" w:rsidR="00107665" w:rsidRPr="00D62C5E" w:rsidRDefault="00107665" w:rsidP="00D62C5E">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9.</w:t>
            </w:r>
            <w:r w:rsidRPr="00D62C5E">
              <w:rPr>
                <w:color w:val="000000"/>
                <w:sz w:val="18"/>
                <w:szCs w:val="18"/>
                <w:lang w:val="ru-RU"/>
              </w:rPr>
              <w:t xml:space="preserve"> </w:t>
            </w:r>
            <w:r w:rsidRPr="00D62C5E">
              <w:rPr>
                <w:b/>
                <w:bCs/>
                <w:color w:val="000000"/>
                <w:sz w:val="18"/>
                <w:szCs w:val="18"/>
                <w:lang w:val="ru-RU"/>
              </w:rPr>
              <w:t>Массовая информация, информационно-пропагандистская деятельность и информирование общественности</w:t>
            </w:r>
          </w:p>
        </w:tc>
        <w:tc>
          <w:tcPr>
            <w:tcW w:w="1275" w:type="dxa"/>
            <w:shd w:val="clear" w:color="000000" w:fill="B4C6E7"/>
            <w:noWrap/>
            <w:vAlign w:val="center"/>
            <w:hideMark/>
          </w:tcPr>
          <w:p w14:paraId="1AA84D2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34 000</w:t>
            </w:r>
          </w:p>
        </w:tc>
        <w:tc>
          <w:tcPr>
            <w:tcW w:w="1134" w:type="dxa"/>
            <w:shd w:val="clear" w:color="000000" w:fill="B4C6E7"/>
            <w:noWrap/>
            <w:vAlign w:val="center"/>
            <w:hideMark/>
          </w:tcPr>
          <w:p w14:paraId="45A58BC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42 000</w:t>
            </w:r>
          </w:p>
        </w:tc>
        <w:tc>
          <w:tcPr>
            <w:tcW w:w="1276" w:type="dxa"/>
            <w:shd w:val="clear" w:color="000000" w:fill="B4C6E7"/>
            <w:noWrap/>
            <w:vAlign w:val="center"/>
            <w:hideMark/>
          </w:tcPr>
          <w:p w14:paraId="7AF0B96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76 000</w:t>
            </w:r>
          </w:p>
        </w:tc>
        <w:tc>
          <w:tcPr>
            <w:tcW w:w="1134" w:type="dxa"/>
            <w:shd w:val="clear" w:color="000000" w:fill="B4C6E7"/>
            <w:noWrap/>
            <w:vAlign w:val="center"/>
            <w:hideMark/>
          </w:tcPr>
          <w:p w14:paraId="0006337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08F0030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7AB0743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2E1CCA66" w14:textId="77777777" w:rsidTr="008E43FF">
        <w:trPr>
          <w:trHeight w:val="52"/>
          <w:jc w:val="right"/>
        </w:trPr>
        <w:tc>
          <w:tcPr>
            <w:tcW w:w="7230" w:type="dxa"/>
            <w:gridSpan w:val="2"/>
            <w:noWrap/>
            <w:vAlign w:val="center"/>
            <w:hideMark/>
          </w:tcPr>
          <w:p w14:paraId="14675B94"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lastRenderedPageBreak/>
              <w:t>10.</w:t>
            </w:r>
            <w:r w:rsidRPr="00D62C5E">
              <w:rPr>
                <w:color w:val="000000"/>
                <w:sz w:val="18"/>
                <w:szCs w:val="18"/>
                <w:lang w:val="ru-RU"/>
              </w:rPr>
              <w:t xml:space="preserve"> </w:t>
            </w:r>
            <w:r w:rsidRPr="00D62C5E">
              <w:rPr>
                <w:b/>
                <w:bCs/>
                <w:color w:val="000000"/>
                <w:sz w:val="18"/>
                <w:szCs w:val="18"/>
                <w:lang w:val="ru-RU"/>
              </w:rPr>
              <w:t>Цифровое присутствие</w:t>
            </w:r>
          </w:p>
        </w:tc>
        <w:tc>
          <w:tcPr>
            <w:tcW w:w="1275" w:type="dxa"/>
            <w:noWrap/>
            <w:vAlign w:val="center"/>
            <w:hideMark/>
          </w:tcPr>
          <w:p w14:paraId="5C31059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5FB08756"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1244D66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75E1A699"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6CC1277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491462BD"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r>
      <w:tr w:rsidR="00107665" w:rsidRPr="00D62C5E" w14:paraId="7ECDA143" w14:textId="77777777" w:rsidTr="008E43FF">
        <w:trPr>
          <w:trHeight w:val="52"/>
          <w:jc w:val="right"/>
        </w:trPr>
        <w:tc>
          <w:tcPr>
            <w:tcW w:w="284" w:type="dxa"/>
            <w:tcBorders>
              <w:top w:val="nil"/>
            </w:tcBorders>
            <w:noWrap/>
            <w:vAlign w:val="center"/>
            <w:hideMark/>
          </w:tcPr>
          <w:p w14:paraId="218D6773"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tcBorders>
              <w:top w:val="nil"/>
            </w:tcBorders>
            <w:noWrap/>
            <w:vAlign w:val="center"/>
            <w:hideMark/>
          </w:tcPr>
          <w:p w14:paraId="48C669B0"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10.1. Цифровая стратегия</w:t>
            </w:r>
          </w:p>
        </w:tc>
        <w:tc>
          <w:tcPr>
            <w:tcW w:w="1275" w:type="dxa"/>
            <w:tcBorders>
              <w:top w:val="nil"/>
            </w:tcBorders>
            <w:noWrap/>
            <w:vAlign w:val="center"/>
            <w:hideMark/>
          </w:tcPr>
          <w:p w14:paraId="7ED166A4"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22 500</w:t>
            </w:r>
          </w:p>
        </w:tc>
        <w:tc>
          <w:tcPr>
            <w:tcW w:w="1134" w:type="dxa"/>
            <w:tcBorders>
              <w:top w:val="nil"/>
            </w:tcBorders>
            <w:noWrap/>
            <w:vAlign w:val="center"/>
            <w:hideMark/>
          </w:tcPr>
          <w:p w14:paraId="425B9C63"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27 500</w:t>
            </w:r>
          </w:p>
        </w:tc>
        <w:tc>
          <w:tcPr>
            <w:tcW w:w="1276" w:type="dxa"/>
            <w:tcBorders>
              <w:top w:val="nil"/>
            </w:tcBorders>
            <w:noWrap/>
            <w:vAlign w:val="center"/>
            <w:hideMark/>
          </w:tcPr>
          <w:p w14:paraId="4F8B50B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tcBorders>
              <w:top w:val="nil"/>
            </w:tcBorders>
            <w:noWrap/>
            <w:vAlign w:val="center"/>
            <w:hideMark/>
          </w:tcPr>
          <w:p w14:paraId="2EA452A6"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120 000</w:t>
            </w:r>
          </w:p>
        </w:tc>
        <w:tc>
          <w:tcPr>
            <w:tcW w:w="1134" w:type="dxa"/>
            <w:tcBorders>
              <w:top w:val="nil"/>
            </w:tcBorders>
            <w:noWrap/>
            <w:vAlign w:val="center"/>
            <w:hideMark/>
          </w:tcPr>
          <w:p w14:paraId="71037FCC"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85 000</w:t>
            </w:r>
          </w:p>
        </w:tc>
        <w:tc>
          <w:tcPr>
            <w:tcW w:w="1245" w:type="dxa"/>
            <w:tcBorders>
              <w:top w:val="nil"/>
            </w:tcBorders>
            <w:noWrap/>
            <w:vAlign w:val="center"/>
            <w:hideMark/>
          </w:tcPr>
          <w:p w14:paraId="2E4A989E"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205 000</w:t>
            </w:r>
          </w:p>
        </w:tc>
      </w:tr>
      <w:tr w:rsidR="00107665" w:rsidRPr="00D62C5E" w14:paraId="0B02F31E" w14:textId="77777777" w:rsidTr="008E43FF">
        <w:trPr>
          <w:trHeight w:val="315"/>
          <w:jc w:val="right"/>
        </w:trPr>
        <w:tc>
          <w:tcPr>
            <w:tcW w:w="7230" w:type="dxa"/>
            <w:gridSpan w:val="2"/>
            <w:tcBorders>
              <w:bottom w:val="single" w:sz="4" w:space="0" w:color="auto"/>
            </w:tcBorders>
            <w:shd w:val="clear" w:color="000000" w:fill="B4C6E7"/>
            <w:noWrap/>
            <w:vAlign w:val="center"/>
            <w:hideMark/>
          </w:tcPr>
          <w:p w14:paraId="31B08C90"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10.</w:t>
            </w:r>
            <w:r w:rsidRPr="00D62C5E">
              <w:rPr>
                <w:color w:val="000000"/>
                <w:sz w:val="18"/>
                <w:szCs w:val="18"/>
                <w:lang w:val="ru-RU"/>
              </w:rPr>
              <w:t xml:space="preserve"> </w:t>
            </w:r>
            <w:r w:rsidRPr="00D62C5E">
              <w:rPr>
                <w:b/>
                <w:bCs/>
                <w:color w:val="000000"/>
                <w:sz w:val="18"/>
                <w:szCs w:val="18"/>
                <w:lang w:val="ru-RU"/>
              </w:rPr>
              <w:t>Цифровое присутствие</w:t>
            </w:r>
          </w:p>
        </w:tc>
        <w:tc>
          <w:tcPr>
            <w:tcW w:w="1275" w:type="dxa"/>
            <w:tcBorders>
              <w:bottom w:val="single" w:sz="4" w:space="0" w:color="auto"/>
            </w:tcBorders>
            <w:shd w:val="clear" w:color="000000" w:fill="B4C6E7"/>
            <w:noWrap/>
            <w:vAlign w:val="center"/>
            <w:hideMark/>
          </w:tcPr>
          <w:p w14:paraId="5D0D48A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22 500</w:t>
            </w:r>
          </w:p>
        </w:tc>
        <w:tc>
          <w:tcPr>
            <w:tcW w:w="1134" w:type="dxa"/>
            <w:tcBorders>
              <w:bottom w:val="single" w:sz="4" w:space="0" w:color="auto"/>
            </w:tcBorders>
            <w:shd w:val="clear" w:color="000000" w:fill="B4C6E7"/>
            <w:noWrap/>
            <w:vAlign w:val="center"/>
            <w:hideMark/>
          </w:tcPr>
          <w:p w14:paraId="61A90E6D"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27 500</w:t>
            </w:r>
          </w:p>
        </w:tc>
        <w:tc>
          <w:tcPr>
            <w:tcW w:w="1276" w:type="dxa"/>
            <w:tcBorders>
              <w:bottom w:val="single" w:sz="4" w:space="0" w:color="auto"/>
            </w:tcBorders>
            <w:shd w:val="clear" w:color="000000" w:fill="B4C6E7"/>
            <w:noWrap/>
            <w:vAlign w:val="center"/>
            <w:hideMark/>
          </w:tcPr>
          <w:p w14:paraId="2D9B4AAF"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50 000</w:t>
            </w:r>
          </w:p>
        </w:tc>
        <w:tc>
          <w:tcPr>
            <w:tcW w:w="1134" w:type="dxa"/>
            <w:tcBorders>
              <w:bottom w:val="single" w:sz="4" w:space="0" w:color="auto"/>
            </w:tcBorders>
            <w:shd w:val="clear" w:color="000000" w:fill="B4C6E7"/>
            <w:noWrap/>
            <w:vAlign w:val="center"/>
            <w:hideMark/>
          </w:tcPr>
          <w:p w14:paraId="398CE24F"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120 000</w:t>
            </w:r>
          </w:p>
        </w:tc>
        <w:tc>
          <w:tcPr>
            <w:tcW w:w="1134" w:type="dxa"/>
            <w:tcBorders>
              <w:bottom w:val="single" w:sz="4" w:space="0" w:color="auto"/>
            </w:tcBorders>
            <w:shd w:val="clear" w:color="000000" w:fill="B4C6E7"/>
            <w:noWrap/>
            <w:vAlign w:val="center"/>
            <w:hideMark/>
          </w:tcPr>
          <w:p w14:paraId="6CD2B62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85 000</w:t>
            </w:r>
          </w:p>
        </w:tc>
        <w:tc>
          <w:tcPr>
            <w:tcW w:w="1245" w:type="dxa"/>
            <w:tcBorders>
              <w:bottom w:val="single" w:sz="4" w:space="0" w:color="auto"/>
            </w:tcBorders>
            <w:shd w:val="clear" w:color="000000" w:fill="B4C6E7"/>
            <w:noWrap/>
            <w:vAlign w:val="center"/>
            <w:hideMark/>
          </w:tcPr>
          <w:p w14:paraId="6AA304FB"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205 000</w:t>
            </w:r>
          </w:p>
        </w:tc>
      </w:tr>
      <w:tr w:rsidR="00107665" w:rsidRPr="00D62C5E" w14:paraId="0774AC72" w14:textId="77777777" w:rsidTr="008E43FF">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0B3588E3" w14:textId="77777777" w:rsidR="00107665" w:rsidRPr="00D62C5E" w:rsidRDefault="00107665" w:rsidP="008110A8">
            <w:pPr>
              <w:keepNext/>
              <w:keepLines/>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(D)</w:t>
            </w:r>
          </w:p>
        </w:tc>
        <w:tc>
          <w:tcPr>
            <w:tcW w:w="1275" w:type="dxa"/>
            <w:tcBorders>
              <w:top w:val="single" w:sz="4" w:space="0" w:color="auto"/>
              <w:bottom w:val="single" w:sz="4" w:space="0" w:color="auto"/>
            </w:tcBorders>
            <w:shd w:val="clear" w:color="000000" w:fill="DBB731"/>
            <w:noWrap/>
            <w:vAlign w:val="center"/>
            <w:hideMark/>
          </w:tcPr>
          <w:p w14:paraId="1FD12EC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81 500</w:t>
            </w:r>
          </w:p>
        </w:tc>
        <w:tc>
          <w:tcPr>
            <w:tcW w:w="1134" w:type="dxa"/>
            <w:tcBorders>
              <w:top w:val="single" w:sz="4" w:space="0" w:color="auto"/>
              <w:bottom w:val="single" w:sz="4" w:space="0" w:color="auto"/>
            </w:tcBorders>
            <w:shd w:val="clear" w:color="000000" w:fill="DBB731"/>
            <w:noWrap/>
            <w:vAlign w:val="center"/>
            <w:hideMark/>
          </w:tcPr>
          <w:p w14:paraId="36FC589E"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89 500</w:t>
            </w:r>
          </w:p>
        </w:tc>
        <w:tc>
          <w:tcPr>
            <w:tcW w:w="1276" w:type="dxa"/>
            <w:tcBorders>
              <w:top w:val="single" w:sz="4" w:space="0" w:color="auto"/>
              <w:bottom w:val="single" w:sz="4" w:space="0" w:color="auto"/>
            </w:tcBorders>
            <w:shd w:val="clear" w:color="000000" w:fill="DBB731"/>
            <w:noWrap/>
            <w:vAlign w:val="center"/>
            <w:hideMark/>
          </w:tcPr>
          <w:p w14:paraId="09E07474"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171 000</w:t>
            </w:r>
          </w:p>
        </w:tc>
        <w:tc>
          <w:tcPr>
            <w:tcW w:w="1134" w:type="dxa"/>
            <w:tcBorders>
              <w:top w:val="single" w:sz="4" w:space="0" w:color="auto"/>
              <w:bottom w:val="single" w:sz="4" w:space="0" w:color="auto"/>
            </w:tcBorders>
            <w:shd w:val="clear" w:color="000000" w:fill="DBB731"/>
            <w:noWrap/>
            <w:vAlign w:val="center"/>
            <w:hideMark/>
          </w:tcPr>
          <w:p w14:paraId="02E02B7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132 500</w:t>
            </w:r>
          </w:p>
        </w:tc>
        <w:tc>
          <w:tcPr>
            <w:tcW w:w="1134" w:type="dxa"/>
            <w:tcBorders>
              <w:top w:val="single" w:sz="4" w:space="0" w:color="auto"/>
              <w:bottom w:val="single" w:sz="4" w:space="0" w:color="auto"/>
            </w:tcBorders>
            <w:shd w:val="clear" w:color="000000" w:fill="DBB731"/>
            <w:noWrap/>
            <w:vAlign w:val="center"/>
            <w:hideMark/>
          </w:tcPr>
          <w:p w14:paraId="6CEFEC83"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97 500</w:t>
            </w:r>
          </w:p>
        </w:tc>
        <w:tc>
          <w:tcPr>
            <w:tcW w:w="1245" w:type="dxa"/>
            <w:tcBorders>
              <w:top w:val="single" w:sz="4" w:space="0" w:color="auto"/>
              <w:bottom w:val="single" w:sz="4" w:space="0" w:color="auto"/>
            </w:tcBorders>
            <w:shd w:val="clear" w:color="000000" w:fill="DBB731"/>
            <w:noWrap/>
            <w:vAlign w:val="center"/>
            <w:hideMark/>
          </w:tcPr>
          <w:p w14:paraId="4B51429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230 000</w:t>
            </w:r>
          </w:p>
        </w:tc>
      </w:tr>
      <w:tr w:rsidR="00107665" w:rsidRPr="00D62C5E" w14:paraId="2B2905BD" w14:textId="77777777" w:rsidTr="008E43FF">
        <w:trPr>
          <w:trHeight w:val="300"/>
          <w:jc w:val="right"/>
        </w:trPr>
        <w:tc>
          <w:tcPr>
            <w:tcW w:w="7230" w:type="dxa"/>
            <w:gridSpan w:val="2"/>
            <w:tcBorders>
              <w:top w:val="single" w:sz="4" w:space="0" w:color="auto"/>
            </w:tcBorders>
            <w:noWrap/>
            <w:vAlign w:val="center"/>
            <w:hideMark/>
          </w:tcPr>
          <w:p w14:paraId="2208421F"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E.</w:t>
            </w:r>
            <w:r w:rsidRPr="00D62C5E">
              <w:rPr>
                <w:color w:val="000000"/>
                <w:sz w:val="18"/>
                <w:szCs w:val="18"/>
                <w:lang w:val="ru-RU"/>
              </w:rPr>
              <w:t xml:space="preserve"> </w:t>
            </w:r>
            <w:r w:rsidRPr="00D62C5E">
              <w:rPr>
                <w:b/>
                <w:bCs/>
                <w:color w:val="000000"/>
                <w:sz w:val="18"/>
                <w:szCs w:val="18"/>
                <w:lang w:val="ru-RU"/>
              </w:rPr>
              <w:t>Общее управление</w:t>
            </w:r>
          </w:p>
        </w:tc>
        <w:tc>
          <w:tcPr>
            <w:tcW w:w="1275" w:type="dxa"/>
            <w:tcBorders>
              <w:top w:val="single" w:sz="4" w:space="0" w:color="auto"/>
            </w:tcBorders>
            <w:noWrap/>
            <w:vAlign w:val="center"/>
            <w:hideMark/>
          </w:tcPr>
          <w:p w14:paraId="31DD554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131DA9F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tcBorders>
            <w:noWrap/>
            <w:vAlign w:val="center"/>
            <w:hideMark/>
          </w:tcPr>
          <w:p w14:paraId="740D1C8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360D283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31CB80B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top w:val="single" w:sz="4" w:space="0" w:color="auto"/>
            </w:tcBorders>
            <w:noWrap/>
            <w:vAlign w:val="center"/>
            <w:hideMark/>
          </w:tcPr>
          <w:p w14:paraId="6714FC8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4FE6DD60" w14:textId="77777777" w:rsidTr="008E43FF">
        <w:trPr>
          <w:trHeight w:val="117"/>
          <w:jc w:val="right"/>
        </w:trPr>
        <w:tc>
          <w:tcPr>
            <w:tcW w:w="7230" w:type="dxa"/>
            <w:gridSpan w:val="2"/>
            <w:noWrap/>
            <w:vAlign w:val="center"/>
            <w:hideMark/>
          </w:tcPr>
          <w:p w14:paraId="5FCDE1B3"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11.</w:t>
            </w:r>
            <w:r w:rsidRPr="00D62C5E">
              <w:rPr>
                <w:color w:val="000000"/>
                <w:sz w:val="18"/>
                <w:szCs w:val="18"/>
                <w:lang w:val="ru-RU"/>
              </w:rPr>
              <w:t xml:space="preserve"> </w:t>
            </w:r>
            <w:r w:rsidRPr="00D62C5E">
              <w:rPr>
                <w:b/>
                <w:bCs/>
                <w:color w:val="000000"/>
                <w:sz w:val="18"/>
                <w:szCs w:val="18"/>
                <w:lang w:val="ru-RU"/>
              </w:rPr>
              <w:t>Исполнительное руководство и управление</w:t>
            </w:r>
          </w:p>
        </w:tc>
        <w:tc>
          <w:tcPr>
            <w:tcW w:w="1275" w:type="dxa"/>
            <w:noWrap/>
            <w:vAlign w:val="center"/>
            <w:hideMark/>
          </w:tcPr>
          <w:p w14:paraId="7858792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752CA0E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4C26F40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0D6C661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129661D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2E355AB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1EE60DFE" w14:textId="77777777" w:rsidTr="008E43FF">
        <w:trPr>
          <w:trHeight w:val="80"/>
          <w:jc w:val="right"/>
        </w:trPr>
        <w:tc>
          <w:tcPr>
            <w:tcW w:w="284" w:type="dxa"/>
            <w:noWrap/>
            <w:vAlign w:val="center"/>
            <w:hideMark/>
          </w:tcPr>
          <w:p w14:paraId="66C7881C"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0FBD8B0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11.1. Общее управление*</w:t>
            </w:r>
          </w:p>
        </w:tc>
        <w:tc>
          <w:tcPr>
            <w:tcW w:w="1275" w:type="dxa"/>
            <w:noWrap/>
            <w:vAlign w:val="center"/>
            <w:hideMark/>
          </w:tcPr>
          <w:p w14:paraId="758AE10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2 724 996</w:t>
            </w:r>
          </w:p>
        </w:tc>
        <w:tc>
          <w:tcPr>
            <w:tcW w:w="1134" w:type="dxa"/>
            <w:noWrap/>
            <w:vAlign w:val="center"/>
            <w:hideMark/>
          </w:tcPr>
          <w:p w14:paraId="6BE8D6A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2 692 495</w:t>
            </w:r>
          </w:p>
        </w:tc>
        <w:tc>
          <w:tcPr>
            <w:tcW w:w="1276" w:type="dxa"/>
            <w:noWrap/>
            <w:vAlign w:val="center"/>
            <w:hideMark/>
          </w:tcPr>
          <w:p w14:paraId="5E8005E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5 417 491</w:t>
            </w:r>
          </w:p>
        </w:tc>
        <w:tc>
          <w:tcPr>
            <w:tcW w:w="1134" w:type="dxa"/>
            <w:noWrap/>
            <w:vAlign w:val="center"/>
            <w:hideMark/>
          </w:tcPr>
          <w:p w14:paraId="706F808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00A1ABE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554DA5F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7694CBA4" w14:textId="77777777" w:rsidTr="008E43FF">
        <w:trPr>
          <w:trHeight w:val="111"/>
          <w:jc w:val="right"/>
        </w:trPr>
        <w:tc>
          <w:tcPr>
            <w:tcW w:w="284" w:type="dxa"/>
            <w:tcBorders>
              <w:top w:val="nil"/>
            </w:tcBorders>
            <w:noWrap/>
            <w:hideMark/>
          </w:tcPr>
          <w:p w14:paraId="7AB38CDB"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top w:val="nil"/>
            </w:tcBorders>
            <w:noWrap/>
            <w:vAlign w:val="center"/>
            <w:hideMark/>
          </w:tcPr>
          <w:p w14:paraId="552FA79E"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11.2. Командировки сотрудников</w:t>
            </w:r>
          </w:p>
        </w:tc>
        <w:tc>
          <w:tcPr>
            <w:tcW w:w="1275" w:type="dxa"/>
            <w:tcBorders>
              <w:top w:val="nil"/>
            </w:tcBorders>
            <w:noWrap/>
            <w:vAlign w:val="center"/>
            <w:hideMark/>
          </w:tcPr>
          <w:p w14:paraId="203E2E3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82 061</w:t>
            </w:r>
          </w:p>
        </w:tc>
        <w:tc>
          <w:tcPr>
            <w:tcW w:w="1134" w:type="dxa"/>
            <w:tcBorders>
              <w:top w:val="nil"/>
            </w:tcBorders>
            <w:noWrap/>
            <w:vAlign w:val="center"/>
            <w:hideMark/>
          </w:tcPr>
          <w:p w14:paraId="0C7EE6D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c>
          <w:tcPr>
            <w:tcW w:w="1276" w:type="dxa"/>
            <w:tcBorders>
              <w:top w:val="nil"/>
            </w:tcBorders>
            <w:noWrap/>
            <w:vAlign w:val="center"/>
            <w:hideMark/>
          </w:tcPr>
          <w:p w14:paraId="7B69B1A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182 061</w:t>
            </w:r>
          </w:p>
        </w:tc>
        <w:tc>
          <w:tcPr>
            <w:tcW w:w="1134" w:type="dxa"/>
            <w:tcBorders>
              <w:top w:val="nil"/>
            </w:tcBorders>
            <w:noWrap/>
            <w:vAlign w:val="center"/>
            <w:hideMark/>
          </w:tcPr>
          <w:p w14:paraId="20D1F3D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31846FB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40BEE64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3444DCB3" w14:textId="77777777" w:rsidTr="008E43FF">
        <w:trPr>
          <w:trHeight w:val="315"/>
          <w:jc w:val="right"/>
        </w:trPr>
        <w:tc>
          <w:tcPr>
            <w:tcW w:w="7230" w:type="dxa"/>
            <w:gridSpan w:val="2"/>
            <w:shd w:val="clear" w:color="000000" w:fill="B4C6E7"/>
            <w:noWrap/>
            <w:vAlign w:val="center"/>
            <w:hideMark/>
          </w:tcPr>
          <w:p w14:paraId="455545F8"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11.</w:t>
            </w:r>
            <w:r w:rsidRPr="00D62C5E">
              <w:rPr>
                <w:color w:val="000000"/>
                <w:sz w:val="18"/>
                <w:szCs w:val="18"/>
                <w:lang w:val="ru-RU"/>
              </w:rPr>
              <w:t xml:space="preserve"> </w:t>
            </w:r>
            <w:r w:rsidRPr="00D62C5E">
              <w:rPr>
                <w:b/>
                <w:bCs/>
                <w:color w:val="000000"/>
                <w:sz w:val="18"/>
                <w:szCs w:val="18"/>
                <w:lang w:val="ru-RU"/>
              </w:rPr>
              <w:t>Исполнительное руководство и управление</w:t>
            </w:r>
          </w:p>
        </w:tc>
        <w:tc>
          <w:tcPr>
            <w:tcW w:w="1275" w:type="dxa"/>
            <w:shd w:val="clear" w:color="000000" w:fill="B4C6E7"/>
            <w:noWrap/>
            <w:vAlign w:val="center"/>
            <w:hideMark/>
          </w:tcPr>
          <w:p w14:paraId="736A0A7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2 807 057</w:t>
            </w:r>
          </w:p>
        </w:tc>
        <w:tc>
          <w:tcPr>
            <w:tcW w:w="1134" w:type="dxa"/>
            <w:shd w:val="clear" w:color="000000" w:fill="B4C6E7"/>
            <w:noWrap/>
            <w:vAlign w:val="center"/>
            <w:hideMark/>
          </w:tcPr>
          <w:p w14:paraId="461F789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2 792 495</w:t>
            </w:r>
          </w:p>
        </w:tc>
        <w:tc>
          <w:tcPr>
            <w:tcW w:w="1276" w:type="dxa"/>
            <w:shd w:val="clear" w:color="000000" w:fill="B4C6E7"/>
            <w:noWrap/>
            <w:vAlign w:val="center"/>
            <w:hideMark/>
          </w:tcPr>
          <w:p w14:paraId="406286F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5 599 552</w:t>
            </w:r>
          </w:p>
        </w:tc>
        <w:tc>
          <w:tcPr>
            <w:tcW w:w="1134" w:type="dxa"/>
            <w:shd w:val="clear" w:color="000000" w:fill="B4C6E7"/>
            <w:noWrap/>
            <w:vAlign w:val="center"/>
            <w:hideMark/>
          </w:tcPr>
          <w:p w14:paraId="1EE13F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42529AF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760EE3C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3C36D9AA" w14:textId="77777777" w:rsidTr="008E43FF">
        <w:trPr>
          <w:trHeight w:val="52"/>
          <w:jc w:val="right"/>
        </w:trPr>
        <w:tc>
          <w:tcPr>
            <w:tcW w:w="7230" w:type="dxa"/>
            <w:gridSpan w:val="2"/>
            <w:noWrap/>
            <w:vAlign w:val="center"/>
            <w:hideMark/>
          </w:tcPr>
          <w:p w14:paraId="50D39AAA"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12.</w:t>
            </w:r>
            <w:r w:rsidRPr="00D62C5E">
              <w:rPr>
                <w:color w:val="000000"/>
                <w:sz w:val="18"/>
                <w:szCs w:val="18"/>
                <w:lang w:val="ru-RU"/>
              </w:rPr>
              <w:t xml:space="preserve"> </w:t>
            </w:r>
            <w:r w:rsidRPr="00D62C5E">
              <w:rPr>
                <w:b/>
                <w:bCs/>
                <w:color w:val="000000"/>
                <w:sz w:val="18"/>
                <w:szCs w:val="18"/>
                <w:lang w:val="ru-RU"/>
              </w:rPr>
              <w:t>Международное сотрудничество и координация</w:t>
            </w:r>
          </w:p>
        </w:tc>
        <w:tc>
          <w:tcPr>
            <w:tcW w:w="1275" w:type="dxa"/>
            <w:noWrap/>
            <w:vAlign w:val="center"/>
            <w:hideMark/>
          </w:tcPr>
          <w:p w14:paraId="60E14B3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3E0F668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6FDE2CC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39699EC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23FDC85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59FC398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7916A59F" w14:textId="77777777" w:rsidTr="008E43FF">
        <w:trPr>
          <w:trHeight w:val="300"/>
          <w:jc w:val="right"/>
        </w:trPr>
        <w:tc>
          <w:tcPr>
            <w:tcW w:w="284" w:type="dxa"/>
            <w:tcBorders>
              <w:top w:val="nil"/>
            </w:tcBorders>
            <w:noWrap/>
            <w:hideMark/>
          </w:tcPr>
          <w:p w14:paraId="1F491365"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top w:val="nil"/>
            </w:tcBorders>
            <w:noWrap/>
            <w:vAlign w:val="center"/>
            <w:hideMark/>
          </w:tcPr>
          <w:p w14:paraId="5179CBD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12.1. Сотрудничество в рамках более широкой повестки дня в области устойчивого развития и окружающей среды</w:t>
            </w:r>
          </w:p>
        </w:tc>
        <w:tc>
          <w:tcPr>
            <w:tcW w:w="1275" w:type="dxa"/>
            <w:tcBorders>
              <w:top w:val="nil"/>
            </w:tcBorders>
            <w:noWrap/>
            <w:vAlign w:val="center"/>
            <w:hideMark/>
          </w:tcPr>
          <w:p w14:paraId="488E52F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1710E53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tcBorders>
              <w:top w:val="nil"/>
            </w:tcBorders>
            <w:noWrap/>
            <w:vAlign w:val="center"/>
            <w:hideMark/>
          </w:tcPr>
          <w:p w14:paraId="7E35ED2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75D8F02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tcBorders>
              <w:top w:val="nil"/>
            </w:tcBorders>
            <w:noWrap/>
            <w:vAlign w:val="center"/>
            <w:hideMark/>
          </w:tcPr>
          <w:p w14:paraId="1E80E38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245" w:type="dxa"/>
            <w:tcBorders>
              <w:top w:val="nil"/>
            </w:tcBorders>
            <w:noWrap/>
            <w:vAlign w:val="center"/>
            <w:hideMark/>
          </w:tcPr>
          <w:p w14:paraId="51A66FA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r>
      <w:tr w:rsidR="00107665" w:rsidRPr="00D62C5E" w14:paraId="3DF36410" w14:textId="77777777" w:rsidTr="008E43FF">
        <w:trPr>
          <w:trHeight w:val="86"/>
          <w:jc w:val="right"/>
        </w:trPr>
        <w:tc>
          <w:tcPr>
            <w:tcW w:w="284" w:type="dxa"/>
            <w:tcBorders>
              <w:top w:val="nil"/>
            </w:tcBorders>
            <w:noWrap/>
            <w:hideMark/>
          </w:tcPr>
          <w:p w14:paraId="74DCAEEF"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top w:val="nil"/>
            </w:tcBorders>
            <w:noWrap/>
            <w:vAlign w:val="center"/>
            <w:hideMark/>
          </w:tcPr>
          <w:p w14:paraId="512FEF8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12.2. Сотрудничество в рамках блока химических веществ и отходов</w:t>
            </w:r>
          </w:p>
        </w:tc>
        <w:tc>
          <w:tcPr>
            <w:tcW w:w="1275" w:type="dxa"/>
            <w:tcBorders>
              <w:top w:val="nil"/>
            </w:tcBorders>
            <w:noWrap/>
            <w:vAlign w:val="center"/>
            <w:hideMark/>
          </w:tcPr>
          <w:p w14:paraId="3703D1E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28983A9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10 000</w:t>
            </w:r>
          </w:p>
        </w:tc>
        <w:tc>
          <w:tcPr>
            <w:tcW w:w="1276" w:type="dxa"/>
            <w:tcBorders>
              <w:top w:val="nil"/>
            </w:tcBorders>
            <w:noWrap/>
            <w:vAlign w:val="center"/>
            <w:hideMark/>
          </w:tcPr>
          <w:p w14:paraId="730BE0F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10 000</w:t>
            </w:r>
          </w:p>
        </w:tc>
        <w:tc>
          <w:tcPr>
            <w:tcW w:w="1134" w:type="dxa"/>
            <w:tcBorders>
              <w:top w:val="nil"/>
            </w:tcBorders>
            <w:noWrap/>
            <w:vAlign w:val="center"/>
            <w:hideMark/>
          </w:tcPr>
          <w:p w14:paraId="29C202C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12F0616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2AD4BA1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52179F" w14:paraId="3C4B53EA" w14:textId="77777777" w:rsidTr="008E43FF">
        <w:trPr>
          <w:trHeight w:val="52"/>
          <w:jc w:val="right"/>
        </w:trPr>
        <w:tc>
          <w:tcPr>
            <w:tcW w:w="284" w:type="dxa"/>
            <w:tcBorders>
              <w:top w:val="nil"/>
            </w:tcBorders>
            <w:noWrap/>
            <w:hideMark/>
          </w:tcPr>
          <w:p w14:paraId="3D5288A3"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top w:val="nil"/>
            </w:tcBorders>
            <w:noWrap/>
            <w:vAlign w:val="center"/>
            <w:hideMark/>
          </w:tcPr>
          <w:p w14:paraId="2250B25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12.3. Другие виды сотрудничества и координации</w:t>
            </w:r>
          </w:p>
        </w:tc>
        <w:tc>
          <w:tcPr>
            <w:tcW w:w="1275" w:type="dxa"/>
            <w:tcBorders>
              <w:top w:val="nil"/>
            </w:tcBorders>
            <w:noWrap/>
            <w:vAlign w:val="center"/>
            <w:hideMark/>
          </w:tcPr>
          <w:p w14:paraId="0CD6F81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2DF7880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tcBorders>
              <w:top w:val="nil"/>
            </w:tcBorders>
            <w:noWrap/>
            <w:vAlign w:val="center"/>
            <w:hideMark/>
          </w:tcPr>
          <w:p w14:paraId="0C2B5FC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7706DF5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5DB3CCD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tcBorders>
              <w:top w:val="nil"/>
            </w:tcBorders>
            <w:noWrap/>
            <w:vAlign w:val="center"/>
            <w:hideMark/>
          </w:tcPr>
          <w:p w14:paraId="55C6878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199093CD" w14:textId="77777777" w:rsidTr="008E43FF">
        <w:trPr>
          <w:trHeight w:val="93"/>
          <w:jc w:val="right"/>
        </w:trPr>
        <w:tc>
          <w:tcPr>
            <w:tcW w:w="7230" w:type="dxa"/>
            <w:gridSpan w:val="2"/>
            <w:shd w:val="clear" w:color="000000" w:fill="B4C6E7"/>
            <w:noWrap/>
            <w:vAlign w:val="center"/>
            <w:hideMark/>
          </w:tcPr>
          <w:p w14:paraId="30DEFF1E"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12.</w:t>
            </w:r>
            <w:r w:rsidRPr="00D62C5E">
              <w:rPr>
                <w:color w:val="000000"/>
                <w:sz w:val="18"/>
                <w:szCs w:val="18"/>
                <w:lang w:val="ru-RU"/>
              </w:rPr>
              <w:t xml:space="preserve"> </w:t>
            </w:r>
            <w:r w:rsidRPr="00D62C5E">
              <w:rPr>
                <w:b/>
                <w:bCs/>
                <w:color w:val="000000"/>
                <w:sz w:val="18"/>
                <w:szCs w:val="18"/>
                <w:lang w:val="ru-RU"/>
              </w:rPr>
              <w:t>Международное сотрудничество и координация</w:t>
            </w:r>
          </w:p>
        </w:tc>
        <w:tc>
          <w:tcPr>
            <w:tcW w:w="1275" w:type="dxa"/>
            <w:shd w:val="clear" w:color="000000" w:fill="B4C6E7"/>
            <w:noWrap/>
            <w:vAlign w:val="center"/>
            <w:hideMark/>
          </w:tcPr>
          <w:p w14:paraId="75EDE3D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424A5C9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10 000</w:t>
            </w:r>
          </w:p>
        </w:tc>
        <w:tc>
          <w:tcPr>
            <w:tcW w:w="1276" w:type="dxa"/>
            <w:shd w:val="clear" w:color="000000" w:fill="B4C6E7"/>
            <w:noWrap/>
            <w:vAlign w:val="center"/>
            <w:hideMark/>
          </w:tcPr>
          <w:p w14:paraId="39CECA3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10 000</w:t>
            </w:r>
          </w:p>
        </w:tc>
        <w:tc>
          <w:tcPr>
            <w:tcW w:w="1134" w:type="dxa"/>
            <w:shd w:val="clear" w:color="000000" w:fill="B4C6E7"/>
            <w:noWrap/>
            <w:vAlign w:val="center"/>
            <w:hideMark/>
          </w:tcPr>
          <w:p w14:paraId="4D30BD7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50 000</w:t>
            </w:r>
          </w:p>
        </w:tc>
        <w:tc>
          <w:tcPr>
            <w:tcW w:w="1134" w:type="dxa"/>
            <w:shd w:val="clear" w:color="000000" w:fill="B4C6E7"/>
            <w:noWrap/>
            <w:vAlign w:val="center"/>
            <w:hideMark/>
          </w:tcPr>
          <w:p w14:paraId="61E1EA2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50 000</w:t>
            </w:r>
          </w:p>
        </w:tc>
        <w:tc>
          <w:tcPr>
            <w:tcW w:w="1245" w:type="dxa"/>
            <w:shd w:val="clear" w:color="000000" w:fill="B4C6E7"/>
            <w:noWrap/>
            <w:vAlign w:val="center"/>
            <w:hideMark/>
          </w:tcPr>
          <w:p w14:paraId="32E1C00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100 000</w:t>
            </w:r>
          </w:p>
        </w:tc>
      </w:tr>
      <w:tr w:rsidR="00107665" w:rsidRPr="00A87A26" w14:paraId="07064E21" w14:textId="77777777" w:rsidTr="008E43FF">
        <w:trPr>
          <w:trHeight w:val="52"/>
          <w:jc w:val="right"/>
        </w:trPr>
        <w:tc>
          <w:tcPr>
            <w:tcW w:w="7230" w:type="dxa"/>
            <w:gridSpan w:val="2"/>
            <w:noWrap/>
            <w:vAlign w:val="center"/>
            <w:hideMark/>
          </w:tcPr>
          <w:p w14:paraId="5A82EF58"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13.</w:t>
            </w:r>
            <w:r w:rsidRPr="00D62C5E">
              <w:rPr>
                <w:color w:val="000000"/>
                <w:sz w:val="18"/>
                <w:szCs w:val="18"/>
                <w:lang w:val="ru-RU"/>
              </w:rPr>
              <w:t xml:space="preserve"> </w:t>
            </w:r>
            <w:r w:rsidRPr="00D62C5E">
              <w:rPr>
                <w:b/>
                <w:bCs/>
                <w:color w:val="000000"/>
                <w:sz w:val="18"/>
                <w:szCs w:val="18"/>
                <w:lang w:val="ru-RU"/>
              </w:rPr>
              <w:t>Финансовые ресурсы и механизм финансирования</w:t>
            </w:r>
            <w:r w:rsidRPr="00D62C5E">
              <w:rPr>
                <w:color w:val="000000"/>
                <w:sz w:val="18"/>
                <w:szCs w:val="18"/>
                <w:lang w:val="ru-RU"/>
              </w:rPr>
              <w:t xml:space="preserve"> </w:t>
            </w:r>
          </w:p>
        </w:tc>
        <w:tc>
          <w:tcPr>
            <w:tcW w:w="1275" w:type="dxa"/>
            <w:noWrap/>
            <w:vAlign w:val="center"/>
            <w:hideMark/>
          </w:tcPr>
          <w:p w14:paraId="6C24F4E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60D5593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73CCEF3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180124F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EF2C1A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41FC4C4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4956AD90" w14:textId="77777777" w:rsidTr="008E43FF">
        <w:trPr>
          <w:trHeight w:val="52"/>
          <w:jc w:val="right"/>
        </w:trPr>
        <w:tc>
          <w:tcPr>
            <w:tcW w:w="284" w:type="dxa"/>
            <w:noWrap/>
            <w:hideMark/>
          </w:tcPr>
          <w:p w14:paraId="17F00CC6"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rPr>
              <w:t> </w:t>
            </w:r>
          </w:p>
        </w:tc>
        <w:tc>
          <w:tcPr>
            <w:tcW w:w="6946" w:type="dxa"/>
            <w:noWrap/>
            <w:vAlign w:val="center"/>
            <w:hideMark/>
          </w:tcPr>
          <w:p w14:paraId="6F26D807"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13.1. Финансовые ресурсы</w:t>
            </w:r>
          </w:p>
        </w:tc>
        <w:tc>
          <w:tcPr>
            <w:tcW w:w="1275" w:type="dxa"/>
            <w:noWrap/>
            <w:vAlign w:val="center"/>
            <w:hideMark/>
          </w:tcPr>
          <w:p w14:paraId="403A650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30 000</w:t>
            </w:r>
          </w:p>
        </w:tc>
        <w:tc>
          <w:tcPr>
            <w:tcW w:w="1134" w:type="dxa"/>
            <w:noWrap/>
            <w:vAlign w:val="center"/>
            <w:hideMark/>
          </w:tcPr>
          <w:p w14:paraId="1B437BC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06EFD21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30 000</w:t>
            </w:r>
          </w:p>
        </w:tc>
        <w:tc>
          <w:tcPr>
            <w:tcW w:w="1134" w:type="dxa"/>
            <w:noWrap/>
            <w:vAlign w:val="center"/>
            <w:hideMark/>
          </w:tcPr>
          <w:p w14:paraId="395B859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24 000</w:t>
            </w:r>
          </w:p>
        </w:tc>
        <w:tc>
          <w:tcPr>
            <w:tcW w:w="1134" w:type="dxa"/>
            <w:noWrap/>
            <w:vAlign w:val="center"/>
            <w:hideMark/>
          </w:tcPr>
          <w:p w14:paraId="071FAA8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64DE906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24 000</w:t>
            </w:r>
          </w:p>
        </w:tc>
      </w:tr>
      <w:tr w:rsidR="00107665" w:rsidRPr="00D62C5E" w14:paraId="1769CEBE" w14:textId="77777777" w:rsidTr="008E43FF">
        <w:trPr>
          <w:trHeight w:val="300"/>
          <w:jc w:val="right"/>
        </w:trPr>
        <w:tc>
          <w:tcPr>
            <w:tcW w:w="284" w:type="dxa"/>
            <w:noWrap/>
            <w:hideMark/>
          </w:tcPr>
          <w:p w14:paraId="1D4D479B"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38C0B411"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13.2. Механизм финансирования – Глобальный экологический фонд</w:t>
            </w:r>
          </w:p>
        </w:tc>
        <w:tc>
          <w:tcPr>
            <w:tcW w:w="1275" w:type="dxa"/>
            <w:noWrap/>
            <w:vAlign w:val="center"/>
            <w:hideMark/>
          </w:tcPr>
          <w:p w14:paraId="53C8B0D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5534F89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6C3122C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340F098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20 000</w:t>
            </w:r>
          </w:p>
        </w:tc>
        <w:tc>
          <w:tcPr>
            <w:tcW w:w="1134" w:type="dxa"/>
            <w:noWrap/>
            <w:vAlign w:val="center"/>
            <w:hideMark/>
          </w:tcPr>
          <w:p w14:paraId="3FEE2BF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2F1A1A2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20 000</w:t>
            </w:r>
          </w:p>
        </w:tc>
      </w:tr>
      <w:tr w:rsidR="00107665" w:rsidRPr="0052179F" w14:paraId="3AD624A3" w14:textId="77777777" w:rsidTr="008E43FF">
        <w:trPr>
          <w:trHeight w:val="315"/>
          <w:jc w:val="right"/>
        </w:trPr>
        <w:tc>
          <w:tcPr>
            <w:tcW w:w="284" w:type="dxa"/>
            <w:noWrap/>
            <w:hideMark/>
          </w:tcPr>
          <w:p w14:paraId="512D0592"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473B94DF"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13.3. Механизм финансирования – Целевая международная программа</w:t>
            </w:r>
          </w:p>
        </w:tc>
        <w:tc>
          <w:tcPr>
            <w:tcW w:w="1275" w:type="dxa"/>
            <w:noWrap/>
            <w:vAlign w:val="center"/>
            <w:hideMark/>
          </w:tcPr>
          <w:p w14:paraId="53CAF8E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2CBB206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21D7575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5D3DFCA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2E130D1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noWrap/>
            <w:vAlign w:val="center"/>
            <w:hideMark/>
          </w:tcPr>
          <w:p w14:paraId="2BE993C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2F7DB036" w14:textId="77777777" w:rsidTr="008E43FF">
        <w:trPr>
          <w:trHeight w:val="52"/>
          <w:jc w:val="right"/>
        </w:trPr>
        <w:tc>
          <w:tcPr>
            <w:tcW w:w="7230" w:type="dxa"/>
            <w:gridSpan w:val="2"/>
            <w:tcBorders>
              <w:bottom w:val="single" w:sz="4" w:space="0" w:color="auto"/>
            </w:tcBorders>
            <w:shd w:val="clear" w:color="000000" w:fill="B4C6E7"/>
            <w:noWrap/>
            <w:vAlign w:val="center"/>
            <w:hideMark/>
          </w:tcPr>
          <w:p w14:paraId="44484CAB"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13.</w:t>
            </w:r>
            <w:r w:rsidRPr="00D62C5E">
              <w:rPr>
                <w:color w:val="000000"/>
                <w:sz w:val="18"/>
                <w:szCs w:val="18"/>
                <w:lang w:val="ru-RU"/>
              </w:rPr>
              <w:t xml:space="preserve"> </w:t>
            </w:r>
            <w:r w:rsidRPr="00D62C5E">
              <w:rPr>
                <w:b/>
                <w:bCs/>
                <w:color w:val="000000"/>
                <w:sz w:val="18"/>
                <w:szCs w:val="18"/>
                <w:lang w:val="ru-RU"/>
              </w:rPr>
              <w:t>Финансовые ресурсы и механизм финансирования</w:t>
            </w:r>
            <w:r w:rsidRPr="00D62C5E">
              <w:rPr>
                <w:color w:val="000000"/>
                <w:sz w:val="18"/>
                <w:szCs w:val="18"/>
                <w:lang w:val="ru-RU"/>
              </w:rPr>
              <w:t xml:space="preserve"> </w:t>
            </w:r>
          </w:p>
        </w:tc>
        <w:tc>
          <w:tcPr>
            <w:tcW w:w="1275" w:type="dxa"/>
            <w:tcBorders>
              <w:bottom w:val="single" w:sz="4" w:space="0" w:color="auto"/>
            </w:tcBorders>
            <w:shd w:val="clear" w:color="000000" w:fill="B4C6E7"/>
            <w:noWrap/>
            <w:vAlign w:val="center"/>
            <w:hideMark/>
          </w:tcPr>
          <w:p w14:paraId="24B2129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30 000</w:t>
            </w:r>
          </w:p>
        </w:tc>
        <w:tc>
          <w:tcPr>
            <w:tcW w:w="1134" w:type="dxa"/>
            <w:tcBorders>
              <w:bottom w:val="single" w:sz="4" w:space="0" w:color="auto"/>
            </w:tcBorders>
            <w:shd w:val="clear" w:color="000000" w:fill="B4C6E7"/>
            <w:noWrap/>
            <w:vAlign w:val="center"/>
            <w:hideMark/>
          </w:tcPr>
          <w:p w14:paraId="5E7FF5D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6E07CBF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30 000</w:t>
            </w:r>
          </w:p>
        </w:tc>
        <w:tc>
          <w:tcPr>
            <w:tcW w:w="1134" w:type="dxa"/>
            <w:tcBorders>
              <w:bottom w:val="single" w:sz="4" w:space="0" w:color="auto"/>
            </w:tcBorders>
            <w:shd w:val="clear" w:color="000000" w:fill="B4C6E7"/>
            <w:noWrap/>
            <w:vAlign w:val="center"/>
            <w:hideMark/>
          </w:tcPr>
          <w:p w14:paraId="3C27C04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44 000</w:t>
            </w:r>
          </w:p>
        </w:tc>
        <w:tc>
          <w:tcPr>
            <w:tcW w:w="1134" w:type="dxa"/>
            <w:tcBorders>
              <w:bottom w:val="single" w:sz="4" w:space="0" w:color="auto"/>
            </w:tcBorders>
            <w:shd w:val="clear" w:color="000000" w:fill="B4C6E7"/>
            <w:noWrap/>
            <w:vAlign w:val="center"/>
            <w:hideMark/>
          </w:tcPr>
          <w:p w14:paraId="5C085B0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47980ED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44 000</w:t>
            </w:r>
          </w:p>
        </w:tc>
      </w:tr>
      <w:tr w:rsidR="00107665" w:rsidRPr="00D62C5E" w14:paraId="3EF304BD"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3DDCF41"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(E)</w:t>
            </w:r>
          </w:p>
        </w:tc>
        <w:tc>
          <w:tcPr>
            <w:tcW w:w="1275" w:type="dxa"/>
            <w:tcBorders>
              <w:top w:val="single" w:sz="4" w:space="0" w:color="auto"/>
              <w:bottom w:val="single" w:sz="4" w:space="0" w:color="auto"/>
            </w:tcBorders>
            <w:shd w:val="clear" w:color="000000" w:fill="DBB731"/>
            <w:noWrap/>
            <w:vAlign w:val="center"/>
            <w:hideMark/>
          </w:tcPr>
          <w:p w14:paraId="6F64969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2 837 057</w:t>
            </w:r>
          </w:p>
        </w:tc>
        <w:tc>
          <w:tcPr>
            <w:tcW w:w="1134" w:type="dxa"/>
            <w:tcBorders>
              <w:top w:val="single" w:sz="4" w:space="0" w:color="auto"/>
              <w:bottom w:val="single" w:sz="4" w:space="0" w:color="auto"/>
            </w:tcBorders>
            <w:shd w:val="clear" w:color="000000" w:fill="DBB731"/>
            <w:noWrap/>
            <w:vAlign w:val="center"/>
            <w:hideMark/>
          </w:tcPr>
          <w:p w14:paraId="00F26F4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2 802 495</w:t>
            </w:r>
          </w:p>
        </w:tc>
        <w:tc>
          <w:tcPr>
            <w:tcW w:w="1276" w:type="dxa"/>
            <w:tcBorders>
              <w:top w:val="single" w:sz="4" w:space="0" w:color="auto"/>
              <w:bottom w:val="single" w:sz="4" w:space="0" w:color="auto"/>
            </w:tcBorders>
            <w:shd w:val="clear" w:color="000000" w:fill="DBB731"/>
            <w:noWrap/>
            <w:vAlign w:val="center"/>
            <w:hideMark/>
          </w:tcPr>
          <w:p w14:paraId="6FA4E9C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5 639 552</w:t>
            </w:r>
          </w:p>
        </w:tc>
        <w:tc>
          <w:tcPr>
            <w:tcW w:w="1134" w:type="dxa"/>
            <w:tcBorders>
              <w:top w:val="single" w:sz="4" w:space="0" w:color="auto"/>
              <w:bottom w:val="single" w:sz="4" w:space="0" w:color="auto"/>
            </w:tcBorders>
            <w:shd w:val="clear" w:color="000000" w:fill="DBB731"/>
            <w:noWrap/>
            <w:vAlign w:val="center"/>
            <w:hideMark/>
          </w:tcPr>
          <w:p w14:paraId="24A8C34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94 000</w:t>
            </w:r>
          </w:p>
        </w:tc>
        <w:tc>
          <w:tcPr>
            <w:tcW w:w="1134" w:type="dxa"/>
            <w:tcBorders>
              <w:top w:val="single" w:sz="4" w:space="0" w:color="auto"/>
              <w:bottom w:val="single" w:sz="4" w:space="0" w:color="auto"/>
            </w:tcBorders>
            <w:shd w:val="clear" w:color="000000" w:fill="DBB731"/>
            <w:noWrap/>
            <w:vAlign w:val="center"/>
            <w:hideMark/>
          </w:tcPr>
          <w:p w14:paraId="7958F76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50 000</w:t>
            </w:r>
          </w:p>
        </w:tc>
        <w:tc>
          <w:tcPr>
            <w:tcW w:w="1245" w:type="dxa"/>
            <w:tcBorders>
              <w:top w:val="single" w:sz="4" w:space="0" w:color="auto"/>
              <w:bottom w:val="single" w:sz="4" w:space="0" w:color="auto"/>
            </w:tcBorders>
            <w:shd w:val="clear" w:color="000000" w:fill="DBB731"/>
            <w:noWrap/>
            <w:vAlign w:val="center"/>
            <w:hideMark/>
          </w:tcPr>
          <w:p w14:paraId="651703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144 000</w:t>
            </w:r>
          </w:p>
        </w:tc>
      </w:tr>
      <w:tr w:rsidR="00107665" w:rsidRPr="00A87A26" w14:paraId="50C4BC37" w14:textId="77777777" w:rsidTr="008E43FF">
        <w:trPr>
          <w:trHeight w:val="42"/>
          <w:jc w:val="right"/>
        </w:trPr>
        <w:tc>
          <w:tcPr>
            <w:tcW w:w="7230" w:type="dxa"/>
            <w:gridSpan w:val="2"/>
            <w:tcBorders>
              <w:top w:val="single" w:sz="4" w:space="0" w:color="auto"/>
            </w:tcBorders>
            <w:noWrap/>
            <w:vAlign w:val="center"/>
            <w:hideMark/>
          </w:tcPr>
          <w:p w14:paraId="0C09AAEB"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F.</w:t>
            </w:r>
            <w:r w:rsidRPr="00D62C5E">
              <w:rPr>
                <w:color w:val="000000"/>
                <w:sz w:val="18"/>
                <w:szCs w:val="18"/>
                <w:lang w:val="ru-RU"/>
              </w:rPr>
              <w:t xml:space="preserve"> </w:t>
            </w:r>
            <w:r w:rsidRPr="00D62C5E">
              <w:rPr>
                <w:b/>
                <w:bCs/>
                <w:color w:val="000000"/>
                <w:sz w:val="18"/>
                <w:szCs w:val="18"/>
                <w:lang w:val="ru-RU"/>
              </w:rPr>
              <w:t>Мероприятия в области права и политики</w:t>
            </w:r>
          </w:p>
        </w:tc>
        <w:tc>
          <w:tcPr>
            <w:tcW w:w="1275" w:type="dxa"/>
            <w:tcBorders>
              <w:top w:val="single" w:sz="4" w:space="0" w:color="auto"/>
            </w:tcBorders>
            <w:noWrap/>
            <w:vAlign w:val="center"/>
            <w:hideMark/>
          </w:tcPr>
          <w:p w14:paraId="69EEAE3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049D902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2BB0EA4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3D18C77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7AA9DF7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61F00A3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A87A26" w14:paraId="4A2B8B06" w14:textId="77777777" w:rsidTr="008E43FF">
        <w:trPr>
          <w:trHeight w:val="52"/>
          <w:jc w:val="right"/>
        </w:trPr>
        <w:tc>
          <w:tcPr>
            <w:tcW w:w="7230" w:type="dxa"/>
            <w:gridSpan w:val="2"/>
            <w:noWrap/>
            <w:vAlign w:val="center"/>
            <w:hideMark/>
          </w:tcPr>
          <w:p w14:paraId="26757AD3"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14.</w:t>
            </w:r>
            <w:r w:rsidRPr="00D62C5E">
              <w:rPr>
                <w:color w:val="000000"/>
                <w:sz w:val="18"/>
                <w:szCs w:val="18"/>
                <w:lang w:val="ru-RU"/>
              </w:rPr>
              <w:t xml:space="preserve"> </w:t>
            </w:r>
            <w:r w:rsidRPr="00D62C5E">
              <w:rPr>
                <w:b/>
                <w:bCs/>
                <w:color w:val="000000"/>
                <w:sz w:val="18"/>
                <w:szCs w:val="18"/>
                <w:lang w:val="ru-RU"/>
              </w:rPr>
              <w:t>Мероприятия в области права и политики</w:t>
            </w:r>
            <w:r w:rsidRPr="00D62C5E">
              <w:rPr>
                <w:color w:val="000000"/>
                <w:sz w:val="18"/>
                <w:szCs w:val="18"/>
                <w:lang w:val="ru-RU"/>
              </w:rPr>
              <w:t xml:space="preserve"> </w:t>
            </w:r>
          </w:p>
        </w:tc>
        <w:tc>
          <w:tcPr>
            <w:tcW w:w="1275" w:type="dxa"/>
            <w:noWrap/>
            <w:vAlign w:val="center"/>
            <w:hideMark/>
          </w:tcPr>
          <w:p w14:paraId="03F5B94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04D0F33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5F0E6CF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776916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2AB5D2B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1C60D72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52179F" w14:paraId="11560BAA" w14:textId="77777777" w:rsidTr="008E43FF">
        <w:trPr>
          <w:trHeight w:val="300"/>
          <w:jc w:val="right"/>
        </w:trPr>
        <w:tc>
          <w:tcPr>
            <w:tcW w:w="284" w:type="dxa"/>
            <w:tcBorders>
              <w:top w:val="nil"/>
            </w:tcBorders>
            <w:noWrap/>
            <w:vAlign w:val="center"/>
            <w:hideMark/>
          </w:tcPr>
          <w:p w14:paraId="03814F6F"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12D0F82B"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14.1. Программа работы Комитета по осуществлению и соблюдению</w:t>
            </w:r>
          </w:p>
        </w:tc>
        <w:tc>
          <w:tcPr>
            <w:tcW w:w="1275" w:type="dxa"/>
            <w:tcBorders>
              <w:top w:val="nil"/>
            </w:tcBorders>
            <w:noWrap/>
            <w:vAlign w:val="center"/>
            <w:hideMark/>
          </w:tcPr>
          <w:p w14:paraId="75CD4ED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6056FB1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tcBorders>
              <w:top w:val="nil"/>
            </w:tcBorders>
            <w:noWrap/>
            <w:vAlign w:val="center"/>
            <w:hideMark/>
          </w:tcPr>
          <w:p w14:paraId="03EC02A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102F150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79460B7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tcBorders>
              <w:top w:val="nil"/>
            </w:tcBorders>
            <w:noWrap/>
            <w:vAlign w:val="center"/>
            <w:hideMark/>
          </w:tcPr>
          <w:p w14:paraId="0F32222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772411A4" w14:textId="77777777" w:rsidTr="008E43FF">
        <w:trPr>
          <w:trHeight w:val="122"/>
          <w:jc w:val="right"/>
        </w:trPr>
        <w:tc>
          <w:tcPr>
            <w:tcW w:w="284" w:type="dxa"/>
            <w:noWrap/>
            <w:vAlign w:val="center"/>
            <w:hideMark/>
          </w:tcPr>
          <w:p w14:paraId="2D0A4124"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noWrap/>
            <w:vAlign w:val="center"/>
            <w:hideMark/>
          </w:tcPr>
          <w:p w14:paraId="7D71C762"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14.2. Мероприятия в области права</w:t>
            </w:r>
          </w:p>
        </w:tc>
        <w:tc>
          <w:tcPr>
            <w:tcW w:w="1275" w:type="dxa"/>
            <w:noWrap/>
            <w:vAlign w:val="center"/>
            <w:hideMark/>
          </w:tcPr>
          <w:p w14:paraId="10FAFB7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078E615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7C3947A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3C7DE37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448B854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3784A7B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52179F" w14:paraId="3BBC22D5" w14:textId="77777777" w:rsidTr="008E43FF">
        <w:trPr>
          <w:trHeight w:val="122"/>
          <w:jc w:val="right"/>
        </w:trPr>
        <w:tc>
          <w:tcPr>
            <w:tcW w:w="284" w:type="dxa"/>
            <w:noWrap/>
            <w:vAlign w:val="center"/>
          </w:tcPr>
          <w:p w14:paraId="3DC5B6D1"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p>
        </w:tc>
        <w:tc>
          <w:tcPr>
            <w:tcW w:w="6946" w:type="dxa"/>
            <w:noWrap/>
            <w:vAlign w:val="center"/>
          </w:tcPr>
          <w:p w14:paraId="65033BAD"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14.3. Национальное законодательство, торговля и правоприменение</w:t>
            </w:r>
          </w:p>
        </w:tc>
        <w:tc>
          <w:tcPr>
            <w:tcW w:w="1275" w:type="dxa"/>
            <w:noWrap/>
            <w:vAlign w:val="center"/>
          </w:tcPr>
          <w:p w14:paraId="48154E3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tcPr>
          <w:p w14:paraId="7465685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tcPr>
          <w:p w14:paraId="715FE64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tcPr>
          <w:p w14:paraId="07133A5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tcPr>
          <w:p w14:paraId="07B20D2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noWrap/>
            <w:vAlign w:val="center"/>
          </w:tcPr>
          <w:p w14:paraId="54AE3F3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68D70315" w14:textId="77777777" w:rsidTr="008E43FF">
        <w:trPr>
          <w:trHeight w:val="300"/>
          <w:jc w:val="right"/>
        </w:trPr>
        <w:tc>
          <w:tcPr>
            <w:tcW w:w="284" w:type="dxa"/>
            <w:noWrap/>
            <w:vAlign w:val="center"/>
            <w:hideMark/>
          </w:tcPr>
          <w:p w14:paraId="3B9116E7"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noWrap/>
            <w:vAlign w:val="center"/>
            <w:hideMark/>
          </w:tcPr>
          <w:p w14:paraId="4828675F"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14.4. Удовлетворение потребностей групп, находящихся в уязвимом положении</w:t>
            </w:r>
          </w:p>
        </w:tc>
        <w:tc>
          <w:tcPr>
            <w:tcW w:w="1275" w:type="dxa"/>
            <w:noWrap/>
            <w:vAlign w:val="center"/>
            <w:hideMark/>
          </w:tcPr>
          <w:p w14:paraId="51127DF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D77D13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08A0F17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215BF93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36 000</w:t>
            </w:r>
          </w:p>
        </w:tc>
        <w:tc>
          <w:tcPr>
            <w:tcW w:w="1134" w:type="dxa"/>
            <w:noWrap/>
            <w:vAlign w:val="center"/>
            <w:hideMark/>
          </w:tcPr>
          <w:p w14:paraId="6075439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20 000</w:t>
            </w:r>
          </w:p>
        </w:tc>
        <w:tc>
          <w:tcPr>
            <w:tcW w:w="1245" w:type="dxa"/>
            <w:noWrap/>
            <w:vAlign w:val="center"/>
            <w:hideMark/>
          </w:tcPr>
          <w:p w14:paraId="0DAE0A8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56 000</w:t>
            </w:r>
          </w:p>
        </w:tc>
      </w:tr>
      <w:tr w:rsidR="00107665" w:rsidRPr="00D62C5E" w14:paraId="2A433077" w14:textId="77777777" w:rsidTr="008E43FF">
        <w:trPr>
          <w:trHeight w:val="315"/>
          <w:jc w:val="right"/>
        </w:trPr>
        <w:tc>
          <w:tcPr>
            <w:tcW w:w="284" w:type="dxa"/>
            <w:noWrap/>
            <w:vAlign w:val="center"/>
            <w:hideMark/>
          </w:tcPr>
          <w:p w14:paraId="1B9E2A40"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1DC7A92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14.5. Мероприятие высокого уровня, посвященное десятой годовщине Конвенции</w:t>
            </w:r>
          </w:p>
        </w:tc>
        <w:tc>
          <w:tcPr>
            <w:tcW w:w="1275" w:type="dxa"/>
            <w:noWrap/>
            <w:vAlign w:val="center"/>
            <w:hideMark/>
          </w:tcPr>
          <w:p w14:paraId="0FAFFC3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D6C217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684D081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E3BE17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0A45C29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40 000</w:t>
            </w:r>
          </w:p>
        </w:tc>
        <w:tc>
          <w:tcPr>
            <w:tcW w:w="1245" w:type="dxa"/>
            <w:noWrap/>
            <w:vAlign w:val="center"/>
            <w:hideMark/>
          </w:tcPr>
          <w:p w14:paraId="3147CAF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40 000</w:t>
            </w:r>
          </w:p>
        </w:tc>
      </w:tr>
      <w:tr w:rsidR="00107665" w:rsidRPr="00D62C5E" w14:paraId="140A4928" w14:textId="77777777" w:rsidTr="008E43FF">
        <w:trPr>
          <w:trHeight w:val="330"/>
          <w:jc w:val="right"/>
        </w:trPr>
        <w:tc>
          <w:tcPr>
            <w:tcW w:w="7230" w:type="dxa"/>
            <w:gridSpan w:val="2"/>
            <w:tcBorders>
              <w:bottom w:val="single" w:sz="4" w:space="0" w:color="auto"/>
            </w:tcBorders>
            <w:shd w:val="clear" w:color="000000" w:fill="B4C6E7"/>
            <w:noWrap/>
            <w:vAlign w:val="center"/>
            <w:hideMark/>
          </w:tcPr>
          <w:p w14:paraId="6EA715E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14.</w:t>
            </w:r>
            <w:r w:rsidRPr="00D62C5E">
              <w:rPr>
                <w:color w:val="000000"/>
                <w:sz w:val="18"/>
                <w:szCs w:val="18"/>
                <w:lang w:val="ru-RU"/>
              </w:rPr>
              <w:t xml:space="preserve"> </w:t>
            </w:r>
            <w:r w:rsidRPr="00D62C5E">
              <w:rPr>
                <w:b/>
                <w:bCs/>
                <w:color w:val="000000"/>
                <w:sz w:val="18"/>
                <w:szCs w:val="18"/>
                <w:lang w:val="ru-RU"/>
              </w:rPr>
              <w:t>Мероприятия в области права и политики</w:t>
            </w:r>
            <w:r w:rsidRPr="00D62C5E">
              <w:rPr>
                <w:color w:val="000000"/>
                <w:sz w:val="18"/>
                <w:szCs w:val="18"/>
                <w:lang w:val="ru-RU"/>
              </w:rPr>
              <w:t xml:space="preserve"> </w:t>
            </w:r>
          </w:p>
        </w:tc>
        <w:tc>
          <w:tcPr>
            <w:tcW w:w="1275" w:type="dxa"/>
            <w:tcBorders>
              <w:bottom w:val="single" w:sz="4" w:space="0" w:color="auto"/>
            </w:tcBorders>
            <w:shd w:val="clear" w:color="000000" w:fill="B4C6E7"/>
            <w:noWrap/>
            <w:vAlign w:val="center"/>
            <w:hideMark/>
          </w:tcPr>
          <w:p w14:paraId="1B0116F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bottom w:val="single" w:sz="4" w:space="0" w:color="auto"/>
            </w:tcBorders>
            <w:shd w:val="clear" w:color="000000" w:fill="B4C6E7"/>
            <w:noWrap/>
            <w:vAlign w:val="center"/>
            <w:hideMark/>
          </w:tcPr>
          <w:p w14:paraId="13DBC55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bottom w:val="single" w:sz="4" w:space="0" w:color="auto"/>
            </w:tcBorders>
            <w:shd w:val="clear" w:color="000000" w:fill="B4C6E7"/>
            <w:noWrap/>
            <w:vAlign w:val="center"/>
            <w:hideMark/>
          </w:tcPr>
          <w:p w14:paraId="712EAE3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bottom w:val="single" w:sz="4" w:space="0" w:color="auto"/>
            </w:tcBorders>
            <w:shd w:val="clear" w:color="000000" w:fill="B4C6E7"/>
            <w:noWrap/>
            <w:vAlign w:val="center"/>
            <w:hideMark/>
          </w:tcPr>
          <w:p w14:paraId="26DE476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36 000</w:t>
            </w:r>
          </w:p>
        </w:tc>
        <w:tc>
          <w:tcPr>
            <w:tcW w:w="1134" w:type="dxa"/>
            <w:tcBorders>
              <w:bottom w:val="single" w:sz="4" w:space="0" w:color="auto"/>
            </w:tcBorders>
            <w:shd w:val="clear" w:color="000000" w:fill="B4C6E7"/>
            <w:noWrap/>
            <w:vAlign w:val="center"/>
            <w:hideMark/>
          </w:tcPr>
          <w:p w14:paraId="38650E2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60 000</w:t>
            </w:r>
          </w:p>
        </w:tc>
        <w:tc>
          <w:tcPr>
            <w:tcW w:w="1245" w:type="dxa"/>
            <w:tcBorders>
              <w:bottom w:val="single" w:sz="4" w:space="0" w:color="auto"/>
            </w:tcBorders>
            <w:shd w:val="clear" w:color="000000" w:fill="B4C6E7"/>
            <w:noWrap/>
            <w:vAlign w:val="center"/>
            <w:hideMark/>
          </w:tcPr>
          <w:p w14:paraId="17DCFE0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96 000</w:t>
            </w:r>
          </w:p>
        </w:tc>
      </w:tr>
      <w:tr w:rsidR="00107665" w:rsidRPr="00D62C5E" w14:paraId="51DAE434" w14:textId="77777777" w:rsidTr="008E43FF">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69A54B9C"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(F)</w:t>
            </w:r>
          </w:p>
        </w:tc>
        <w:tc>
          <w:tcPr>
            <w:tcW w:w="1275" w:type="dxa"/>
            <w:tcBorders>
              <w:top w:val="single" w:sz="4" w:space="0" w:color="auto"/>
              <w:bottom w:val="single" w:sz="4" w:space="0" w:color="auto"/>
            </w:tcBorders>
            <w:shd w:val="clear" w:color="000000" w:fill="DBB731"/>
            <w:noWrap/>
            <w:vAlign w:val="center"/>
            <w:hideMark/>
          </w:tcPr>
          <w:p w14:paraId="055295D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4C4AF76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7301066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095F5FC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36 000</w:t>
            </w:r>
          </w:p>
        </w:tc>
        <w:tc>
          <w:tcPr>
            <w:tcW w:w="1134" w:type="dxa"/>
            <w:tcBorders>
              <w:top w:val="single" w:sz="4" w:space="0" w:color="auto"/>
              <w:bottom w:val="single" w:sz="4" w:space="0" w:color="auto"/>
            </w:tcBorders>
            <w:shd w:val="clear" w:color="000000" w:fill="DBB731"/>
            <w:noWrap/>
            <w:vAlign w:val="center"/>
            <w:hideMark/>
          </w:tcPr>
          <w:p w14:paraId="2AEB394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60 000</w:t>
            </w:r>
          </w:p>
        </w:tc>
        <w:tc>
          <w:tcPr>
            <w:tcW w:w="1245" w:type="dxa"/>
            <w:tcBorders>
              <w:top w:val="single" w:sz="4" w:space="0" w:color="auto"/>
              <w:bottom w:val="single" w:sz="4" w:space="0" w:color="auto"/>
            </w:tcBorders>
            <w:shd w:val="clear" w:color="000000" w:fill="DBB731"/>
            <w:noWrap/>
            <w:vAlign w:val="center"/>
            <w:hideMark/>
          </w:tcPr>
          <w:p w14:paraId="1D0131A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96 000</w:t>
            </w:r>
          </w:p>
        </w:tc>
      </w:tr>
      <w:tr w:rsidR="00107665" w:rsidRPr="00A87A26" w14:paraId="5DDF5E1D" w14:textId="77777777" w:rsidTr="008E43FF">
        <w:trPr>
          <w:trHeight w:val="42"/>
          <w:jc w:val="right"/>
        </w:trPr>
        <w:tc>
          <w:tcPr>
            <w:tcW w:w="7230" w:type="dxa"/>
            <w:gridSpan w:val="2"/>
            <w:tcBorders>
              <w:top w:val="single" w:sz="4" w:space="0" w:color="auto"/>
            </w:tcBorders>
            <w:noWrap/>
            <w:vAlign w:val="center"/>
            <w:hideMark/>
          </w:tcPr>
          <w:p w14:paraId="5571877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lastRenderedPageBreak/>
              <w:t>G.</w:t>
            </w:r>
            <w:r w:rsidRPr="00D62C5E">
              <w:rPr>
                <w:color w:val="000000"/>
                <w:sz w:val="18"/>
                <w:szCs w:val="18"/>
                <w:lang w:val="ru-RU"/>
              </w:rPr>
              <w:t xml:space="preserve"> </w:t>
            </w:r>
            <w:r w:rsidRPr="00D62C5E">
              <w:rPr>
                <w:b/>
                <w:bCs/>
                <w:color w:val="000000"/>
                <w:sz w:val="18"/>
                <w:szCs w:val="18"/>
                <w:lang w:val="ru-RU"/>
              </w:rPr>
              <w:t>Эксплуатация и обслуживание служебных помещений</w:t>
            </w:r>
          </w:p>
        </w:tc>
        <w:tc>
          <w:tcPr>
            <w:tcW w:w="1275" w:type="dxa"/>
            <w:tcBorders>
              <w:top w:val="single" w:sz="4" w:space="0" w:color="auto"/>
            </w:tcBorders>
            <w:noWrap/>
            <w:vAlign w:val="center"/>
            <w:hideMark/>
          </w:tcPr>
          <w:p w14:paraId="7F67B62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48C2E32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7791675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203697C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696A5E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30BD011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A87A26" w14:paraId="333CEB72" w14:textId="77777777" w:rsidTr="008E43FF">
        <w:trPr>
          <w:trHeight w:val="52"/>
          <w:jc w:val="right"/>
        </w:trPr>
        <w:tc>
          <w:tcPr>
            <w:tcW w:w="7230" w:type="dxa"/>
            <w:gridSpan w:val="2"/>
            <w:noWrap/>
            <w:vAlign w:val="center"/>
            <w:hideMark/>
          </w:tcPr>
          <w:p w14:paraId="5D2A766B"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15.</w:t>
            </w:r>
            <w:r w:rsidRPr="00D62C5E">
              <w:rPr>
                <w:color w:val="000000"/>
                <w:sz w:val="18"/>
                <w:szCs w:val="18"/>
                <w:lang w:val="ru-RU"/>
              </w:rPr>
              <w:t xml:space="preserve"> </w:t>
            </w:r>
            <w:r w:rsidRPr="00D62C5E">
              <w:rPr>
                <w:b/>
                <w:bCs/>
                <w:color w:val="000000"/>
                <w:sz w:val="18"/>
                <w:szCs w:val="18"/>
                <w:lang w:val="ru-RU"/>
              </w:rPr>
              <w:t>Эксплуатация и обслуживание служебных помещений</w:t>
            </w:r>
          </w:p>
        </w:tc>
        <w:tc>
          <w:tcPr>
            <w:tcW w:w="1275" w:type="dxa"/>
            <w:noWrap/>
            <w:vAlign w:val="center"/>
            <w:hideMark/>
          </w:tcPr>
          <w:p w14:paraId="410DD8B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4B3EAE6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3EB596C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5766700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0FE5135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6224A78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39DF1088" w14:textId="77777777" w:rsidTr="008E43FF">
        <w:trPr>
          <w:trHeight w:val="71"/>
          <w:jc w:val="right"/>
        </w:trPr>
        <w:tc>
          <w:tcPr>
            <w:tcW w:w="284" w:type="dxa"/>
            <w:tcBorders>
              <w:top w:val="nil"/>
            </w:tcBorders>
            <w:noWrap/>
            <w:vAlign w:val="center"/>
            <w:hideMark/>
          </w:tcPr>
          <w:p w14:paraId="43214DBB"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6FAFC63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15.1. Эксплуатация и обслуживание служебных помещений</w:t>
            </w:r>
          </w:p>
        </w:tc>
        <w:tc>
          <w:tcPr>
            <w:tcW w:w="1275" w:type="dxa"/>
            <w:tcBorders>
              <w:top w:val="nil"/>
            </w:tcBorders>
            <w:noWrap/>
            <w:vAlign w:val="center"/>
            <w:hideMark/>
          </w:tcPr>
          <w:p w14:paraId="455315A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165 000</w:t>
            </w:r>
          </w:p>
        </w:tc>
        <w:tc>
          <w:tcPr>
            <w:tcW w:w="1134" w:type="dxa"/>
            <w:tcBorders>
              <w:top w:val="nil"/>
            </w:tcBorders>
            <w:noWrap/>
            <w:vAlign w:val="center"/>
            <w:hideMark/>
          </w:tcPr>
          <w:p w14:paraId="1F73599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165 000</w:t>
            </w:r>
          </w:p>
        </w:tc>
        <w:tc>
          <w:tcPr>
            <w:tcW w:w="1276" w:type="dxa"/>
            <w:tcBorders>
              <w:top w:val="nil"/>
            </w:tcBorders>
            <w:noWrap/>
            <w:vAlign w:val="center"/>
            <w:hideMark/>
          </w:tcPr>
          <w:p w14:paraId="274134E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330 000</w:t>
            </w:r>
          </w:p>
        </w:tc>
        <w:tc>
          <w:tcPr>
            <w:tcW w:w="1134" w:type="dxa"/>
            <w:tcBorders>
              <w:top w:val="nil"/>
            </w:tcBorders>
            <w:noWrap/>
            <w:vAlign w:val="center"/>
            <w:hideMark/>
          </w:tcPr>
          <w:p w14:paraId="0B98229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6674DBE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2C259C0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52FBBBCA" w14:textId="77777777" w:rsidTr="008E43FF">
        <w:trPr>
          <w:trHeight w:val="315"/>
          <w:jc w:val="right"/>
        </w:trPr>
        <w:tc>
          <w:tcPr>
            <w:tcW w:w="7230" w:type="dxa"/>
            <w:gridSpan w:val="2"/>
            <w:shd w:val="clear" w:color="000000" w:fill="B4C6E7"/>
            <w:noWrap/>
            <w:vAlign w:val="center"/>
            <w:hideMark/>
          </w:tcPr>
          <w:p w14:paraId="3D8A0B65"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15.</w:t>
            </w:r>
            <w:r w:rsidRPr="00D62C5E">
              <w:rPr>
                <w:color w:val="000000"/>
                <w:sz w:val="18"/>
                <w:szCs w:val="18"/>
                <w:lang w:val="ru-RU"/>
              </w:rPr>
              <w:t xml:space="preserve"> </w:t>
            </w:r>
            <w:r w:rsidRPr="00D62C5E">
              <w:rPr>
                <w:b/>
                <w:bCs/>
                <w:color w:val="000000"/>
                <w:sz w:val="18"/>
                <w:szCs w:val="18"/>
                <w:lang w:val="ru-RU"/>
              </w:rPr>
              <w:t>Эксплуатация и обслуживание служебных помещений</w:t>
            </w:r>
          </w:p>
        </w:tc>
        <w:tc>
          <w:tcPr>
            <w:tcW w:w="1275" w:type="dxa"/>
            <w:shd w:val="clear" w:color="000000" w:fill="B4C6E7"/>
            <w:noWrap/>
            <w:vAlign w:val="center"/>
            <w:hideMark/>
          </w:tcPr>
          <w:p w14:paraId="73E4014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165 000</w:t>
            </w:r>
          </w:p>
        </w:tc>
        <w:tc>
          <w:tcPr>
            <w:tcW w:w="1134" w:type="dxa"/>
            <w:shd w:val="clear" w:color="000000" w:fill="B4C6E7"/>
            <w:noWrap/>
            <w:vAlign w:val="center"/>
            <w:hideMark/>
          </w:tcPr>
          <w:p w14:paraId="0D12B82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165 000</w:t>
            </w:r>
          </w:p>
        </w:tc>
        <w:tc>
          <w:tcPr>
            <w:tcW w:w="1276" w:type="dxa"/>
            <w:shd w:val="clear" w:color="000000" w:fill="B4C6E7"/>
            <w:noWrap/>
            <w:vAlign w:val="center"/>
            <w:hideMark/>
          </w:tcPr>
          <w:p w14:paraId="222E4C5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330 000</w:t>
            </w:r>
          </w:p>
        </w:tc>
        <w:tc>
          <w:tcPr>
            <w:tcW w:w="1134" w:type="dxa"/>
            <w:shd w:val="clear" w:color="000000" w:fill="B4C6E7"/>
            <w:noWrap/>
            <w:vAlign w:val="center"/>
            <w:hideMark/>
          </w:tcPr>
          <w:p w14:paraId="653264B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594F920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5CA221E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A87A26" w14:paraId="19742AFB" w14:textId="77777777" w:rsidTr="008E43FF">
        <w:trPr>
          <w:trHeight w:val="93"/>
          <w:jc w:val="right"/>
        </w:trPr>
        <w:tc>
          <w:tcPr>
            <w:tcW w:w="7230" w:type="dxa"/>
            <w:gridSpan w:val="2"/>
            <w:noWrap/>
            <w:vAlign w:val="center"/>
            <w:hideMark/>
          </w:tcPr>
          <w:p w14:paraId="1E600D8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16.</w:t>
            </w:r>
            <w:r w:rsidRPr="00D62C5E">
              <w:rPr>
                <w:color w:val="000000"/>
                <w:sz w:val="18"/>
                <w:szCs w:val="18"/>
                <w:lang w:val="ru-RU"/>
              </w:rPr>
              <w:t xml:space="preserve"> </w:t>
            </w:r>
            <w:r w:rsidRPr="00D62C5E">
              <w:rPr>
                <w:b/>
                <w:bCs/>
                <w:color w:val="000000"/>
                <w:sz w:val="18"/>
                <w:szCs w:val="18"/>
                <w:lang w:val="ru-RU"/>
              </w:rPr>
              <w:t>Услуги в области информационных технологий</w:t>
            </w:r>
          </w:p>
        </w:tc>
        <w:tc>
          <w:tcPr>
            <w:tcW w:w="1275" w:type="dxa"/>
            <w:noWrap/>
            <w:vAlign w:val="center"/>
            <w:hideMark/>
          </w:tcPr>
          <w:p w14:paraId="65F4938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2CD139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407638E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127147F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1EE3817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18EB645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2D593BF2" w14:textId="77777777" w:rsidTr="008E43FF">
        <w:trPr>
          <w:trHeight w:val="97"/>
          <w:jc w:val="right"/>
        </w:trPr>
        <w:tc>
          <w:tcPr>
            <w:tcW w:w="284" w:type="dxa"/>
            <w:tcBorders>
              <w:top w:val="nil"/>
            </w:tcBorders>
            <w:noWrap/>
            <w:vAlign w:val="center"/>
            <w:hideMark/>
          </w:tcPr>
          <w:p w14:paraId="18A19177"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0956312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16.1. Услуги в области информационных технологий</w:t>
            </w:r>
          </w:p>
        </w:tc>
        <w:tc>
          <w:tcPr>
            <w:tcW w:w="1275" w:type="dxa"/>
            <w:tcBorders>
              <w:top w:val="nil"/>
            </w:tcBorders>
            <w:noWrap/>
            <w:vAlign w:val="center"/>
            <w:hideMark/>
          </w:tcPr>
          <w:p w14:paraId="4AA7DA5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60 500</w:t>
            </w:r>
          </w:p>
        </w:tc>
        <w:tc>
          <w:tcPr>
            <w:tcW w:w="1134" w:type="dxa"/>
            <w:tcBorders>
              <w:top w:val="nil"/>
            </w:tcBorders>
            <w:noWrap/>
            <w:vAlign w:val="center"/>
            <w:hideMark/>
          </w:tcPr>
          <w:p w14:paraId="246F1DA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60 500</w:t>
            </w:r>
          </w:p>
        </w:tc>
        <w:tc>
          <w:tcPr>
            <w:tcW w:w="1276" w:type="dxa"/>
            <w:tcBorders>
              <w:top w:val="nil"/>
            </w:tcBorders>
            <w:noWrap/>
            <w:vAlign w:val="center"/>
            <w:hideMark/>
          </w:tcPr>
          <w:p w14:paraId="55D193C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121 000</w:t>
            </w:r>
          </w:p>
        </w:tc>
        <w:tc>
          <w:tcPr>
            <w:tcW w:w="1134" w:type="dxa"/>
            <w:tcBorders>
              <w:top w:val="nil"/>
            </w:tcBorders>
            <w:noWrap/>
            <w:vAlign w:val="center"/>
            <w:hideMark/>
          </w:tcPr>
          <w:p w14:paraId="641EA8F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0744A84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6FF88D7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737C4F9E" w14:textId="77777777" w:rsidTr="008E43FF">
        <w:trPr>
          <w:trHeight w:val="110"/>
          <w:jc w:val="right"/>
        </w:trPr>
        <w:tc>
          <w:tcPr>
            <w:tcW w:w="7230" w:type="dxa"/>
            <w:gridSpan w:val="2"/>
            <w:tcBorders>
              <w:bottom w:val="single" w:sz="4" w:space="0" w:color="auto"/>
            </w:tcBorders>
            <w:shd w:val="clear" w:color="000000" w:fill="B4C6E7"/>
            <w:noWrap/>
            <w:vAlign w:val="center"/>
            <w:hideMark/>
          </w:tcPr>
          <w:p w14:paraId="535D81AA"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16.</w:t>
            </w:r>
            <w:r w:rsidRPr="00D62C5E">
              <w:rPr>
                <w:color w:val="000000"/>
                <w:sz w:val="18"/>
                <w:szCs w:val="18"/>
                <w:lang w:val="ru-RU"/>
              </w:rPr>
              <w:t xml:space="preserve"> </w:t>
            </w:r>
            <w:r w:rsidRPr="00D62C5E">
              <w:rPr>
                <w:b/>
                <w:bCs/>
                <w:color w:val="000000"/>
                <w:sz w:val="18"/>
                <w:szCs w:val="18"/>
                <w:lang w:val="ru-RU"/>
              </w:rPr>
              <w:t>Услуги в области информационных технологий</w:t>
            </w:r>
          </w:p>
        </w:tc>
        <w:tc>
          <w:tcPr>
            <w:tcW w:w="1275" w:type="dxa"/>
            <w:tcBorders>
              <w:bottom w:val="single" w:sz="4" w:space="0" w:color="auto"/>
            </w:tcBorders>
            <w:shd w:val="clear" w:color="000000" w:fill="B4C6E7"/>
            <w:noWrap/>
            <w:vAlign w:val="center"/>
            <w:hideMark/>
          </w:tcPr>
          <w:p w14:paraId="45442CE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60 500</w:t>
            </w:r>
          </w:p>
        </w:tc>
        <w:tc>
          <w:tcPr>
            <w:tcW w:w="1134" w:type="dxa"/>
            <w:tcBorders>
              <w:bottom w:val="single" w:sz="4" w:space="0" w:color="auto"/>
            </w:tcBorders>
            <w:shd w:val="clear" w:color="000000" w:fill="B4C6E7"/>
            <w:noWrap/>
            <w:vAlign w:val="center"/>
            <w:hideMark/>
          </w:tcPr>
          <w:p w14:paraId="637C559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60 500</w:t>
            </w:r>
          </w:p>
        </w:tc>
        <w:tc>
          <w:tcPr>
            <w:tcW w:w="1276" w:type="dxa"/>
            <w:tcBorders>
              <w:bottom w:val="single" w:sz="4" w:space="0" w:color="auto"/>
            </w:tcBorders>
            <w:shd w:val="clear" w:color="000000" w:fill="B4C6E7"/>
            <w:noWrap/>
            <w:vAlign w:val="center"/>
            <w:hideMark/>
          </w:tcPr>
          <w:p w14:paraId="33EC655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121 000</w:t>
            </w:r>
          </w:p>
        </w:tc>
        <w:tc>
          <w:tcPr>
            <w:tcW w:w="1134" w:type="dxa"/>
            <w:tcBorders>
              <w:bottom w:val="single" w:sz="4" w:space="0" w:color="auto"/>
            </w:tcBorders>
            <w:shd w:val="clear" w:color="000000" w:fill="B4C6E7"/>
            <w:noWrap/>
            <w:vAlign w:val="center"/>
            <w:hideMark/>
          </w:tcPr>
          <w:p w14:paraId="0EF95CA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0F64518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1698803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6CFD6401"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30747BB"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Всего (G)</w:t>
            </w:r>
          </w:p>
        </w:tc>
        <w:tc>
          <w:tcPr>
            <w:tcW w:w="1275" w:type="dxa"/>
            <w:tcBorders>
              <w:top w:val="single" w:sz="4" w:space="0" w:color="auto"/>
              <w:bottom w:val="single" w:sz="4" w:space="0" w:color="auto"/>
            </w:tcBorders>
            <w:shd w:val="clear" w:color="000000" w:fill="DBB731"/>
            <w:noWrap/>
            <w:vAlign w:val="center"/>
            <w:hideMark/>
          </w:tcPr>
          <w:p w14:paraId="495770A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225 500</w:t>
            </w:r>
          </w:p>
        </w:tc>
        <w:tc>
          <w:tcPr>
            <w:tcW w:w="1134" w:type="dxa"/>
            <w:tcBorders>
              <w:top w:val="single" w:sz="4" w:space="0" w:color="auto"/>
              <w:bottom w:val="single" w:sz="4" w:space="0" w:color="auto"/>
            </w:tcBorders>
            <w:shd w:val="clear" w:color="000000" w:fill="DBB731"/>
            <w:noWrap/>
            <w:vAlign w:val="center"/>
            <w:hideMark/>
          </w:tcPr>
          <w:p w14:paraId="3A88A3F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225 500</w:t>
            </w:r>
          </w:p>
        </w:tc>
        <w:tc>
          <w:tcPr>
            <w:tcW w:w="1276" w:type="dxa"/>
            <w:tcBorders>
              <w:top w:val="single" w:sz="4" w:space="0" w:color="auto"/>
              <w:bottom w:val="single" w:sz="4" w:space="0" w:color="auto"/>
            </w:tcBorders>
            <w:shd w:val="clear" w:color="000000" w:fill="DBB731"/>
            <w:noWrap/>
            <w:vAlign w:val="center"/>
            <w:hideMark/>
          </w:tcPr>
          <w:p w14:paraId="2706EC2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451 000</w:t>
            </w:r>
          </w:p>
        </w:tc>
        <w:tc>
          <w:tcPr>
            <w:tcW w:w="1134" w:type="dxa"/>
            <w:tcBorders>
              <w:top w:val="single" w:sz="4" w:space="0" w:color="auto"/>
              <w:bottom w:val="single" w:sz="4" w:space="0" w:color="auto"/>
            </w:tcBorders>
            <w:shd w:val="clear" w:color="000000" w:fill="DBB731"/>
            <w:noWrap/>
            <w:vAlign w:val="center"/>
            <w:hideMark/>
          </w:tcPr>
          <w:p w14:paraId="4F9F9C6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39408A7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top w:val="nil"/>
            </w:tcBorders>
            <w:shd w:val="clear" w:color="000000" w:fill="DBB731"/>
            <w:noWrap/>
            <w:vAlign w:val="center"/>
            <w:hideMark/>
          </w:tcPr>
          <w:p w14:paraId="7C0BD52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A87A26" w14:paraId="364A844A" w14:textId="77777777" w:rsidTr="008E43FF">
        <w:trPr>
          <w:trHeight w:val="57"/>
          <w:jc w:val="right"/>
        </w:trPr>
        <w:tc>
          <w:tcPr>
            <w:tcW w:w="7230" w:type="dxa"/>
            <w:gridSpan w:val="2"/>
            <w:tcBorders>
              <w:top w:val="single" w:sz="4" w:space="0" w:color="auto"/>
            </w:tcBorders>
            <w:noWrap/>
            <w:vAlign w:val="center"/>
            <w:hideMark/>
          </w:tcPr>
          <w:p w14:paraId="4FF25999"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Ресурсы, требуемые для всех видов деятельности</w:t>
            </w:r>
          </w:p>
        </w:tc>
        <w:tc>
          <w:tcPr>
            <w:tcW w:w="1275" w:type="dxa"/>
            <w:tcBorders>
              <w:top w:val="single" w:sz="4" w:space="0" w:color="auto"/>
            </w:tcBorders>
            <w:noWrap/>
            <w:vAlign w:val="center"/>
            <w:hideMark/>
          </w:tcPr>
          <w:p w14:paraId="1F641754"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5DDFB5B3"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6A4A791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4614DBEC"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2945C1C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7427CF59"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751FBCF4" w14:textId="77777777" w:rsidTr="008E43FF">
        <w:trPr>
          <w:trHeight w:val="58"/>
          <w:jc w:val="right"/>
        </w:trPr>
        <w:tc>
          <w:tcPr>
            <w:tcW w:w="7230" w:type="dxa"/>
            <w:gridSpan w:val="2"/>
            <w:noWrap/>
            <w:vAlign w:val="center"/>
            <w:hideMark/>
          </w:tcPr>
          <w:p w14:paraId="63C1E791" w14:textId="77777777" w:rsidR="00107665" w:rsidRPr="00D62C5E" w:rsidRDefault="00107665" w:rsidP="00D62C5E">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Общий итог (A–G), исключая расходы на вспомогательное обслуживание программ</w:t>
            </w:r>
          </w:p>
        </w:tc>
        <w:tc>
          <w:tcPr>
            <w:tcW w:w="1275" w:type="dxa"/>
            <w:noWrap/>
            <w:vAlign w:val="center"/>
            <w:hideMark/>
          </w:tcPr>
          <w:p w14:paraId="20DD99F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3 384 057</w:t>
            </w:r>
          </w:p>
        </w:tc>
        <w:tc>
          <w:tcPr>
            <w:tcW w:w="1134" w:type="dxa"/>
            <w:noWrap/>
            <w:vAlign w:val="center"/>
            <w:hideMark/>
          </w:tcPr>
          <w:p w14:paraId="70686EF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4 162 495</w:t>
            </w:r>
          </w:p>
        </w:tc>
        <w:tc>
          <w:tcPr>
            <w:tcW w:w="1276" w:type="dxa"/>
            <w:noWrap/>
            <w:vAlign w:val="center"/>
            <w:hideMark/>
          </w:tcPr>
          <w:p w14:paraId="717622E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7 546 552</w:t>
            </w:r>
          </w:p>
        </w:tc>
        <w:tc>
          <w:tcPr>
            <w:tcW w:w="1134" w:type="dxa"/>
            <w:noWrap/>
            <w:vAlign w:val="center"/>
            <w:hideMark/>
          </w:tcPr>
          <w:p w14:paraId="5C2670E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1 839 500</w:t>
            </w:r>
          </w:p>
        </w:tc>
        <w:tc>
          <w:tcPr>
            <w:tcW w:w="1134" w:type="dxa"/>
            <w:noWrap/>
            <w:vAlign w:val="center"/>
            <w:hideMark/>
          </w:tcPr>
          <w:p w14:paraId="49C63E89"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2 489 500</w:t>
            </w:r>
          </w:p>
        </w:tc>
        <w:tc>
          <w:tcPr>
            <w:tcW w:w="1245" w:type="dxa"/>
            <w:noWrap/>
            <w:vAlign w:val="center"/>
            <w:hideMark/>
          </w:tcPr>
          <w:p w14:paraId="5559E7D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4 329 000</w:t>
            </w:r>
          </w:p>
        </w:tc>
      </w:tr>
      <w:tr w:rsidR="00107665" w:rsidRPr="00D62C5E" w14:paraId="1D5E7038" w14:textId="77777777" w:rsidTr="008E43FF">
        <w:trPr>
          <w:trHeight w:val="315"/>
          <w:jc w:val="right"/>
        </w:trPr>
        <w:tc>
          <w:tcPr>
            <w:tcW w:w="7230" w:type="dxa"/>
            <w:gridSpan w:val="2"/>
            <w:tcBorders>
              <w:bottom w:val="single" w:sz="4" w:space="0" w:color="auto"/>
            </w:tcBorders>
            <w:noWrap/>
            <w:vAlign w:val="center"/>
            <w:hideMark/>
          </w:tcPr>
          <w:p w14:paraId="5DA0D007"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Расходы на вспомогательное обслуживание программ</w:t>
            </w:r>
          </w:p>
        </w:tc>
        <w:tc>
          <w:tcPr>
            <w:tcW w:w="1275" w:type="dxa"/>
            <w:tcBorders>
              <w:bottom w:val="single" w:sz="4" w:space="0" w:color="auto"/>
            </w:tcBorders>
            <w:noWrap/>
            <w:vAlign w:val="center"/>
            <w:hideMark/>
          </w:tcPr>
          <w:p w14:paraId="7D599240"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439 927</w:t>
            </w:r>
          </w:p>
        </w:tc>
        <w:tc>
          <w:tcPr>
            <w:tcW w:w="1134" w:type="dxa"/>
            <w:tcBorders>
              <w:bottom w:val="single" w:sz="4" w:space="0" w:color="auto"/>
            </w:tcBorders>
            <w:noWrap/>
            <w:vAlign w:val="center"/>
            <w:hideMark/>
          </w:tcPr>
          <w:p w14:paraId="704CAF29"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541 124</w:t>
            </w:r>
          </w:p>
        </w:tc>
        <w:tc>
          <w:tcPr>
            <w:tcW w:w="1276" w:type="dxa"/>
            <w:tcBorders>
              <w:bottom w:val="single" w:sz="4" w:space="0" w:color="auto"/>
            </w:tcBorders>
            <w:noWrap/>
            <w:vAlign w:val="center"/>
            <w:hideMark/>
          </w:tcPr>
          <w:p w14:paraId="48E8B94C"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981 052</w:t>
            </w:r>
          </w:p>
        </w:tc>
        <w:tc>
          <w:tcPr>
            <w:tcW w:w="1134" w:type="dxa"/>
            <w:tcBorders>
              <w:bottom w:val="single" w:sz="4" w:space="0" w:color="auto"/>
            </w:tcBorders>
            <w:noWrap/>
            <w:vAlign w:val="center"/>
            <w:hideMark/>
          </w:tcPr>
          <w:p w14:paraId="231966C3"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239 135</w:t>
            </w:r>
          </w:p>
        </w:tc>
        <w:tc>
          <w:tcPr>
            <w:tcW w:w="1134" w:type="dxa"/>
            <w:tcBorders>
              <w:bottom w:val="single" w:sz="4" w:space="0" w:color="auto"/>
            </w:tcBorders>
            <w:noWrap/>
            <w:vAlign w:val="center"/>
            <w:hideMark/>
          </w:tcPr>
          <w:p w14:paraId="20880BA0"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323 635</w:t>
            </w:r>
          </w:p>
        </w:tc>
        <w:tc>
          <w:tcPr>
            <w:tcW w:w="1245" w:type="dxa"/>
            <w:noWrap/>
            <w:vAlign w:val="center"/>
            <w:hideMark/>
          </w:tcPr>
          <w:p w14:paraId="1E32C93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562 770</w:t>
            </w:r>
          </w:p>
        </w:tc>
      </w:tr>
      <w:tr w:rsidR="00107665" w:rsidRPr="00D62C5E" w14:paraId="341200D9" w14:textId="77777777" w:rsidTr="008E43FF">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4B03C605" w14:textId="77777777" w:rsidR="00107665" w:rsidRPr="00D62C5E" w:rsidRDefault="00107665" w:rsidP="008110A8">
            <w:pPr>
              <w:keepNext/>
              <w:keepLines/>
              <w:tabs>
                <w:tab w:val="clear" w:pos="1247"/>
                <w:tab w:val="clear" w:pos="1814"/>
                <w:tab w:val="clear" w:pos="2381"/>
                <w:tab w:val="clear" w:pos="2948"/>
                <w:tab w:val="clear" w:pos="3515"/>
              </w:tabs>
              <w:spacing w:before="40" w:after="40"/>
              <w:ind w:firstLineChars="100" w:firstLine="181"/>
              <w:rPr>
                <w:b/>
                <w:bCs/>
                <w:sz w:val="18"/>
                <w:szCs w:val="18"/>
                <w:lang w:val="ru-RU"/>
              </w:rPr>
            </w:pPr>
            <w:r w:rsidRPr="00D62C5E">
              <w:rPr>
                <w:b/>
                <w:bCs/>
                <w:color w:val="000000"/>
                <w:sz w:val="18"/>
                <w:szCs w:val="18"/>
                <w:lang w:val="ru-RU"/>
              </w:rPr>
              <w:t>Всего (А–G), включая расходы на вспомогательное обслуживание программ</w:t>
            </w:r>
          </w:p>
        </w:tc>
        <w:tc>
          <w:tcPr>
            <w:tcW w:w="1275" w:type="dxa"/>
            <w:tcBorders>
              <w:top w:val="single" w:sz="4" w:space="0" w:color="auto"/>
              <w:bottom w:val="single" w:sz="4" w:space="0" w:color="auto"/>
            </w:tcBorders>
            <w:shd w:val="clear" w:color="000000" w:fill="DBB731"/>
            <w:noWrap/>
            <w:vAlign w:val="center"/>
            <w:hideMark/>
          </w:tcPr>
          <w:p w14:paraId="6AD09810"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3 823 984</w:t>
            </w:r>
          </w:p>
        </w:tc>
        <w:tc>
          <w:tcPr>
            <w:tcW w:w="1134" w:type="dxa"/>
            <w:tcBorders>
              <w:top w:val="single" w:sz="4" w:space="0" w:color="auto"/>
              <w:bottom w:val="single" w:sz="4" w:space="0" w:color="auto"/>
            </w:tcBorders>
            <w:shd w:val="clear" w:color="000000" w:fill="DBB731"/>
            <w:noWrap/>
            <w:vAlign w:val="center"/>
            <w:hideMark/>
          </w:tcPr>
          <w:p w14:paraId="5F668D6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4 703 619</w:t>
            </w:r>
          </w:p>
        </w:tc>
        <w:tc>
          <w:tcPr>
            <w:tcW w:w="1276" w:type="dxa"/>
            <w:tcBorders>
              <w:top w:val="single" w:sz="4" w:space="0" w:color="auto"/>
              <w:bottom w:val="single" w:sz="4" w:space="0" w:color="auto"/>
            </w:tcBorders>
            <w:shd w:val="clear" w:color="000000" w:fill="DBB731"/>
            <w:noWrap/>
            <w:vAlign w:val="center"/>
            <w:hideMark/>
          </w:tcPr>
          <w:p w14:paraId="7C4AADE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8 527 603</w:t>
            </w:r>
          </w:p>
        </w:tc>
        <w:tc>
          <w:tcPr>
            <w:tcW w:w="1134" w:type="dxa"/>
            <w:tcBorders>
              <w:top w:val="single" w:sz="4" w:space="0" w:color="auto"/>
              <w:bottom w:val="single" w:sz="4" w:space="0" w:color="auto"/>
            </w:tcBorders>
            <w:shd w:val="clear" w:color="000000" w:fill="DBB731"/>
            <w:noWrap/>
            <w:vAlign w:val="center"/>
            <w:hideMark/>
          </w:tcPr>
          <w:p w14:paraId="57FE9E2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2 078 635</w:t>
            </w:r>
          </w:p>
        </w:tc>
        <w:tc>
          <w:tcPr>
            <w:tcW w:w="1134" w:type="dxa"/>
            <w:tcBorders>
              <w:top w:val="single" w:sz="4" w:space="0" w:color="auto"/>
              <w:bottom w:val="single" w:sz="4" w:space="0" w:color="auto"/>
            </w:tcBorders>
            <w:shd w:val="clear" w:color="000000" w:fill="DBB731"/>
            <w:noWrap/>
            <w:vAlign w:val="center"/>
            <w:hideMark/>
          </w:tcPr>
          <w:p w14:paraId="5E064E8E"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2 813 135</w:t>
            </w:r>
          </w:p>
        </w:tc>
        <w:tc>
          <w:tcPr>
            <w:tcW w:w="1245" w:type="dxa"/>
            <w:tcBorders>
              <w:bottom w:val="single" w:sz="4" w:space="0" w:color="auto"/>
            </w:tcBorders>
            <w:shd w:val="clear" w:color="000000" w:fill="DBB731"/>
            <w:noWrap/>
            <w:vAlign w:val="center"/>
            <w:hideMark/>
          </w:tcPr>
          <w:p w14:paraId="33007840"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4 891 770</w:t>
            </w:r>
          </w:p>
        </w:tc>
      </w:tr>
      <w:tr w:rsidR="00107665" w:rsidRPr="00D62C5E" w14:paraId="5F222620" w14:textId="77777777" w:rsidTr="008E43FF">
        <w:trPr>
          <w:trHeight w:val="465"/>
          <w:jc w:val="right"/>
        </w:trPr>
        <w:tc>
          <w:tcPr>
            <w:tcW w:w="7230" w:type="dxa"/>
            <w:gridSpan w:val="2"/>
            <w:tcBorders>
              <w:top w:val="single" w:sz="4" w:space="0" w:color="auto"/>
            </w:tcBorders>
            <w:hideMark/>
          </w:tcPr>
          <w:p w14:paraId="31B75741" w14:textId="7B20EFCD"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Совещание Группы по оценке эффективности, включая расходы на вспомогательное обслуживание программ, финансируемые из средств бюджета на 2024 год (в</w:t>
            </w:r>
            <w:r w:rsidR="007C7FBE">
              <w:rPr>
                <w:b/>
                <w:bCs/>
                <w:color w:val="000000"/>
                <w:sz w:val="18"/>
                <w:szCs w:val="18"/>
                <w:lang w:val="ru-RU"/>
              </w:rPr>
              <w:t> </w:t>
            </w:r>
            <w:r w:rsidRPr="00D62C5E">
              <w:rPr>
                <w:b/>
                <w:bCs/>
                <w:color w:val="000000"/>
                <w:sz w:val="18"/>
                <w:szCs w:val="18"/>
                <w:lang w:val="ru-RU"/>
              </w:rPr>
              <w:t>2024</w:t>
            </w:r>
            <w:r w:rsidR="007C7FBE">
              <w:rPr>
                <w:b/>
                <w:bCs/>
                <w:color w:val="000000"/>
                <w:sz w:val="18"/>
                <w:szCs w:val="18"/>
                <w:lang w:val="ru-RU"/>
              </w:rPr>
              <w:t> </w:t>
            </w:r>
            <w:r w:rsidRPr="00D62C5E">
              <w:rPr>
                <w:b/>
                <w:bCs/>
                <w:color w:val="000000"/>
                <w:sz w:val="18"/>
                <w:szCs w:val="18"/>
                <w:lang w:val="ru-RU"/>
              </w:rPr>
              <w:t>году совещание не проводилось)</w:t>
            </w:r>
          </w:p>
        </w:tc>
        <w:tc>
          <w:tcPr>
            <w:tcW w:w="1275" w:type="dxa"/>
            <w:tcBorders>
              <w:top w:val="single" w:sz="4" w:space="0" w:color="auto"/>
            </w:tcBorders>
            <w:noWrap/>
            <w:vAlign w:val="bottom"/>
            <w:hideMark/>
          </w:tcPr>
          <w:p w14:paraId="619B2AF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(96 050)</w:t>
            </w:r>
          </w:p>
        </w:tc>
        <w:tc>
          <w:tcPr>
            <w:tcW w:w="1134" w:type="dxa"/>
            <w:tcBorders>
              <w:top w:val="single" w:sz="4" w:space="0" w:color="auto"/>
            </w:tcBorders>
            <w:noWrap/>
            <w:vAlign w:val="bottom"/>
            <w:hideMark/>
          </w:tcPr>
          <w:p w14:paraId="18CBEABF"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tcBorders>
            <w:noWrap/>
            <w:vAlign w:val="bottom"/>
            <w:hideMark/>
          </w:tcPr>
          <w:p w14:paraId="61F970E2"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(96 050)</w:t>
            </w:r>
          </w:p>
        </w:tc>
        <w:tc>
          <w:tcPr>
            <w:tcW w:w="1134" w:type="dxa"/>
            <w:tcBorders>
              <w:top w:val="single" w:sz="4" w:space="0" w:color="auto"/>
            </w:tcBorders>
            <w:noWrap/>
            <w:vAlign w:val="bottom"/>
            <w:hideMark/>
          </w:tcPr>
          <w:p w14:paraId="396C839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bottom"/>
            <w:hideMark/>
          </w:tcPr>
          <w:p w14:paraId="13010A8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245" w:type="dxa"/>
            <w:tcBorders>
              <w:top w:val="single" w:sz="4" w:space="0" w:color="auto"/>
            </w:tcBorders>
            <w:noWrap/>
            <w:vAlign w:val="bottom"/>
            <w:hideMark/>
          </w:tcPr>
          <w:p w14:paraId="29FCB7C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r>
      <w:tr w:rsidR="00107665" w:rsidRPr="00D62C5E" w14:paraId="38510220" w14:textId="77777777" w:rsidTr="008E43FF">
        <w:trPr>
          <w:trHeight w:val="315"/>
          <w:jc w:val="right"/>
        </w:trPr>
        <w:tc>
          <w:tcPr>
            <w:tcW w:w="7230" w:type="dxa"/>
            <w:gridSpan w:val="2"/>
            <w:tcBorders>
              <w:bottom w:val="single" w:sz="12" w:space="0" w:color="auto"/>
            </w:tcBorders>
            <w:shd w:val="clear" w:color="000000" w:fill="DBB731"/>
            <w:noWrap/>
            <w:vAlign w:val="center"/>
            <w:hideMark/>
          </w:tcPr>
          <w:p w14:paraId="3C1D909D"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lang w:val="ru-RU"/>
              </w:rPr>
            </w:pPr>
            <w:r w:rsidRPr="00D62C5E">
              <w:rPr>
                <w:b/>
                <w:bCs/>
                <w:color w:val="000000"/>
                <w:sz w:val="18"/>
                <w:szCs w:val="18"/>
                <w:lang w:val="ru-RU"/>
              </w:rPr>
              <w:t>Общий итог (за вычетом совещания Группы по оценке эффективности)</w:t>
            </w:r>
          </w:p>
        </w:tc>
        <w:tc>
          <w:tcPr>
            <w:tcW w:w="1275" w:type="dxa"/>
            <w:tcBorders>
              <w:bottom w:val="single" w:sz="12" w:space="0" w:color="auto"/>
            </w:tcBorders>
            <w:shd w:val="clear" w:color="000000" w:fill="DBB731"/>
            <w:noWrap/>
            <w:vAlign w:val="center"/>
            <w:hideMark/>
          </w:tcPr>
          <w:p w14:paraId="55419B9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3 727 934</w:t>
            </w:r>
          </w:p>
        </w:tc>
        <w:tc>
          <w:tcPr>
            <w:tcW w:w="1134" w:type="dxa"/>
            <w:tcBorders>
              <w:bottom w:val="single" w:sz="12" w:space="0" w:color="auto"/>
            </w:tcBorders>
            <w:shd w:val="clear" w:color="000000" w:fill="DBB731"/>
            <w:noWrap/>
            <w:vAlign w:val="center"/>
            <w:hideMark/>
          </w:tcPr>
          <w:p w14:paraId="50FAF7C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4 703 619</w:t>
            </w:r>
          </w:p>
        </w:tc>
        <w:tc>
          <w:tcPr>
            <w:tcW w:w="1276" w:type="dxa"/>
            <w:tcBorders>
              <w:bottom w:val="single" w:sz="12" w:space="0" w:color="auto"/>
            </w:tcBorders>
            <w:shd w:val="clear" w:color="000000" w:fill="DBB731"/>
            <w:noWrap/>
            <w:vAlign w:val="center"/>
            <w:hideMark/>
          </w:tcPr>
          <w:p w14:paraId="470053C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8 431 553</w:t>
            </w:r>
          </w:p>
        </w:tc>
        <w:tc>
          <w:tcPr>
            <w:tcW w:w="1134" w:type="dxa"/>
            <w:tcBorders>
              <w:bottom w:val="single" w:sz="12" w:space="0" w:color="auto"/>
            </w:tcBorders>
            <w:shd w:val="clear" w:color="000000" w:fill="DBB731"/>
            <w:noWrap/>
            <w:vAlign w:val="center"/>
            <w:hideMark/>
          </w:tcPr>
          <w:p w14:paraId="729BB66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2 078 635</w:t>
            </w:r>
          </w:p>
        </w:tc>
        <w:tc>
          <w:tcPr>
            <w:tcW w:w="1134" w:type="dxa"/>
            <w:tcBorders>
              <w:bottom w:val="single" w:sz="12" w:space="0" w:color="auto"/>
            </w:tcBorders>
            <w:shd w:val="clear" w:color="000000" w:fill="DBB731"/>
            <w:noWrap/>
            <w:vAlign w:val="center"/>
            <w:hideMark/>
          </w:tcPr>
          <w:p w14:paraId="5AB0E8C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2 813 135</w:t>
            </w:r>
          </w:p>
        </w:tc>
        <w:tc>
          <w:tcPr>
            <w:tcW w:w="1245" w:type="dxa"/>
            <w:tcBorders>
              <w:bottom w:val="single" w:sz="12" w:space="0" w:color="auto"/>
            </w:tcBorders>
            <w:shd w:val="clear" w:color="000000" w:fill="DBB731"/>
            <w:noWrap/>
            <w:vAlign w:val="center"/>
            <w:hideMark/>
          </w:tcPr>
          <w:p w14:paraId="4FDEFB0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4 891 770</w:t>
            </w:r>
          </w:p>
        </w:tc>
      </w:tr>
    </w:tbl>
    <w:p w14:paraId="16CB6383" w14:textId="1097275F" w:rsidR="00107665" w:rsidRPr="00DB6FFC" w:rsidRDefault="00107665" w:rsidP="008110A8">
      <w:pPr>
        <w:tabs>
          <w:tab w:val="clear" w:pos="1247"/>
          <w:tab w:val="clear" w:pos="1814"/>
          <w:tab w:val="clear" w:pos="2381"/>
          <w:tab w:val="clear" w:pos="2948"/>
          <w:tab w:val="clear" w:pos="3515"/>
        </w:tabs>
        <w:spacing w:before="60"/>
        <w:ind w:left="1247"/>
        <w:rPr>
          <w:rFonts w:asciiTheme="majorBidi" w:hAnsiTheme="majorBidi" w:cstheme="majorBidi"/>
          <w:sz w:val="17"/>
          <w:szCs w:val="17"/>
          <w:lang w:val="ru-RU"/>
        </w:rPr>
        <w:sectPr w:rsidR="00107665" w:rsidRPr="00DB6FFC" w:rsidSect="00107665">
          <w:footnotePr>
            <w:numRestart w:val="eachSect"/>
          </w:footnotePr>
          <w:pgSz w:w="16838" w:h="11906" w:orient="landscape" w:code="9"/>
          <w:pgMar w:top="907" w:right="992" w:bottom="1418" w:left="1418" w:header="539" w:footer="975" w:gutter="0"/>
          <w:cols w:space="539"/>
          <w:docGrid w:linePitch="360"/>
        </w:sectPr>
      </w:pPr>
      <w:r w:rsidRPr="008110A8">
        <w:rPr>
          <w:sz w:val="18"/>
          <w:szCs w:val="18"/>
          <w:lang w:val="ru-RU"/>
        </w:rPr>
        <w:t>* В исключительном порядке Исполнительный секретарь уполномочен использовать дополнительные средства в размере не более 541 749 долл</w:t>
      </w:r>
      <w:r w:rsidR="00DF07DD">
        <w:rPr>
          <w:sz w:val="18"/>
          <w:szCs w:val="18"/>
          <w:lang w:val="ru-RU"/>
        </w:rPr>
        <w:t>.</w:t>
      </w:r>
      <w:r w:rsidRPr="008110A8">
        <w:rPr>
          <w:sz w:val="18"/>
          <w:szCs w:val="18"/>
          <w:lang w:val="ru-RU"/>
        </w:rPr>
        <w:t xml:space="preserve"> США из чистого остатка средств Общего целевого фонда для покрытия любого дефицита в утвержденном штатном расписании на двухгодичный период 2026–2027 годов</w:t>
      </w:r>
      <w:r>
        <w:rPr>
          <w:lang w:val="ru-RU"/>
        </w:rPr>
        <w:t>.</w:t>
      </w:r>
    </w:p>
    <w:p w14:paraId="13B562EC" w14:textId="6753C31C" w:rsidR="00107665" w:rsidRPr="00DB6FFC" w:rsidRDefault="00107665" w:rsidP="008110A8">
      <w:pPr>
        <w:pStyle w:val="Titletable"/>
        <w:tabs>
          <w:tab w:val="clear" w:pos="624"/>
          <w:tab w:val="clear" w:pos="1247"/>
          <w:tab w:val="clear" w:pos="1871"/>
          <w:tab w:val="clear" w:pos="2495"/>
          <w:tab w:val="clear" w:pos="3119"/>
          <w:tab w:val="clear" w:pos="3742"/>
          <w:tab w:val="clear" w:pos="4366"/>
          <w:tab w:val="clear" w:pos="4990"/>
        </w:tabs>
        <w:spacing w:after="0"/>
        <w:rPr>
          <w:rFonts w:asciiTheme="majorBidi" w:hAnsiTheme="majorBidi" w:cstheme="majorBidi"/>
          <w:lang w:val="ru-RU"/>
        </w:rPr>
      </w:pPr>
      <w:r w:rsidRPr="00DD470C">
        <w:rPr>
          <w:b w:val="0"/>
          <w:bCs w:val="0"/>
          <w:lang w:val="ru-RU"/>
        </w:rPr>
        <w:lastRenderedPageBreak/>
        <w:t>Таблица 2</w:t>
      </w:r>
      <w:r>
        <w:rPr>
          <w:lang w:val="ru-RU"/>
        </w:rPr>
        <w:t xml:space="preserve"> </w:t>
      </w:r>
      <w:r w:rsidR="00DD470C">
        <w:rPr>
          <w:lang w:val="ru-RU"/>
        </w:rPr>
        <w:br/>
      </w:r>
      <w:r>
        <w:rPr>
          <w:lang w:val="ru-RU"/>
        </w:rPr>
        <w:t>Обзор ориентировочной шкалы взносов и сумм взносов в Общий целевой фонд на двухгодичный период 2026–2027 годов</w:t>
      </w:r>
    </w:p>
    <w:p w14:paraId="30A0B268" w14:textId="77777777" w:rsidR="00107665" w:rsidRPr="00DD470C" w:rsidRDefault="00107665" w:rsidP="008110A8">
      <w:pPr>
        <w:pStyle w:val="Titletable"/>
        <w:tabs>
          <w:tab w:val="clear" w:pos="624"/>
          <w:tab w:val="clear" w:pos="1247"/>
          <w:tab w:val="clear" w:pos="1871"/>
          <w:tab w:val="clear" w:pos="2495"/>
          <w:tab w:val="clear" w:pos="3119"/>
          <w:tab w:val="clear" w:pos="3742"/>
          <w:tab w:val="clear" w:pos="4366"/>
          <w:tab w:val="clear" w:pos="4990"/>
        </w:tabs>
        <w:spacing w:after="120"/>
        <w:rPr>
          <w:rFonts w:asciiTheme="majorBidi" w:hAnsiTheme="majorBidi" w:cstheme="majorBidi"/>
          <w:b w:val="0"/>
          <w:bCs w:val="0"/>
          <w:sz w:val="18"/>
          <w:szCs w:val="18"/>
        </w:rPr>
      </w:pPr>
      <w:r w:rsidRPr="00DD470C">
        <w:rPr>
          <w:b w:val="0"/>
          <w:bCs w:val="0"/>
          <w:sz w:val="18"/>
          <w:szCs w:val="18"/>
          <w:lang w:val="ru-RU"/>
        </w:rPr>
        <w:t>(долл. США)</w:t>
      </w:r>
    </w:p>
    <w:tbl>
      <w:tblPr>
        <w:tblW w:w="5000" w:type="pct"/>
        <w:jc w:val="right"/>
        <w:tblLayout w:type="fixed"/>
        <w:tblLook w:val="04A0" w:firstRow="1" w:lastRow="0" w:firstColumn="1" w:lastColumn="0" w:noHBand="0" w:noVBand="1"/>
      </w:tblPr>
      <w:tblGrid>
        <w:gridCol w:w="541"/>
        <w:gridCol w:w="2431"/>
        <w:gridCol w:w="1418"/>
        <w:gridCol w:w="1417"/>
        <w:gridCol w:w="1073"/>
        <w:gridCol w:w="1053"/>
        <w:gridCol w:w="1553"/>
      </w:tblGrid>
      <w:tr w:rsidR="00107665" w:rsidRPr="00A87A26" w14:paraId="46282DFA" w14:textId="77777777" w:rsidTr="008110A8">
        <w:trPr>
          <w:trHeight w:val="680"/>
          <w:tblHeader/>
          <w:jc w:val="right"/>
        </w:trPr>
        <w:tc>
          <w:tcPr>
            <w:tcW w:w="541"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1FE8FBE0" w14:textId="77777777" w:rsidR="00107665" w:rsidRPr="00841D9B"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i/>
                <w:iCs/>
                <w:szCs w:val="18"/>
              </w:rPr>
            </w:pPr>
            <w:r w:rsidRPr="00841D9B">
              <w:rPr>
                <w:i/>
                <w:iCs/>
                <w:color w:val="000000"/>
                <w:szCs w:val="18"/>
              </w:rPr>
              <w:t> </w:t>
            </w:r>
          </w:p>
        </w:tc>
        <w:tc>
          <w:tcPr>
            <w:tcW w:w="2431" w:type="dxa"/>
            <w:tcBorders>
              <w:top w:val="single" w:sz="4" w:space="0" w:color="auto"/>
              <w:left w:val="nil"/>
              <w:bottom w:val="single" w:sz="12" w:space="0" w:color="auto"/>
              <w:right w:val="single" w:sz="4" w:space="0" w:color="auto"/>
            </w:tcBorders>
            <w:shd w:val="clear" w:color="000000" w:fill="DBB731"/>
            <w:noWrap/>
            <w:vAlign w:val="bottom"/>
            <w:hideMark/>
          </w:tcPr>
          <w:p w14:paraId="48138DC7" w14:textId="77777777" w:rsidR="00107665" w:rsidRPr="00841D9B"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i/>
                <w:iCs/>
                <w:szCs w:val="18"/>
              </w:rPr>
            </w:pPr>
            <w:r>
              <w:rPr>
                <w:i/>
                <w:iCs/>
                <w:color w:val="000000"/>
                <w:lang w:val="ru-RU"/>
              </w:rPr>
              <w:t>Сторона</w:t>
            </w:r>
          </w:p>
        </w:tc>
        <w:tc>
          <w:tcPr>
            <w:tcW w:w="1418" w:type="dxa"/>
            <w:tcBorders>
              <w:top w:val="single" w:sz="4" w:space="0" w:color="auto"/>
              <w:left w:val="nil"/>
              <w:bottom w:val="single" w:sz="12" w:space="0" w:color="auto"/>
              <w:right w:val="single" w:sz="4" w:space="0" w:color="auto"/>
            </w:tcBorders>
            <w:shd w:val="clear" w:color="000000" w:fill="DBB731"/>
            <w:vAlign w:val="bottom"/>
            <w:hideMark/>
          </w:tcPr>
          <w:p w14:paraId="3132D71F" w14:textId="77777777" w:rsidR="00107665" w:rsidRPr="00DB6FF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Pr>
                <w:i/>
                <w:iCs/>
                <w:color w:val="000000"/>
                <w:lang w:val="ru-RU"/>
              </w:rPr>
              <w:t>Шкала взносов Организации Объединенных Наций (%)</w:t>
            </w:r>
          </w:p>
        </w:tc>
        <w:tc>
          <w:tcPr>
            <w:tcW w:w="1417" w:type="dxa"/>
            <w:tcBorders>
              <w:top w:val="single" w:sz="4" w:space="0" w:color="auto"/>
              <w:left w:val="nil"/>
              <w:bottom w:val="single" w:sz="12" w:space="0" w:color="auto"/>
              <w:right w:val="single" w:sz="4" w:space="0" w:color="auto"/>
            </w:tcBorders>
            <w:shd w:val="clear" w:color="000000" w:fill="DBB731"/>
            <w:vAlign w:val="bottom"/>
            <w:hideMark/>
          </w:tcPr>
          <w:p w14:paraId="06739336" w14:textId="703A88C2" w:rsidR="00107665" w:rsidRPr="008110A8"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Pr>
                <w:i/>
                <w:iCs/>
                <w:color w:val="000000"/>
                <w:lang w:val="ru-RU"/>
              </w:rPr>
              <w:t>Шкала взносов Минаматской конвенции (%)</w:t>
            </w:r>
          </w:p>
        </w:tc>
        <w:tc>
          <w:tcPr>
            <w:tcW w:w="1073" w:type="dxa"/>
            <w:tcBorders>
              <w:top w:val="single" w:sz="4" w:space="0" w:color="auto"/>
              <w:left w:val="nil"/>
              <w:bottom w:val="single" w:sz="12" w:space="0" w:color="auto"/>
              <w:right w:val="single" w:sz="4" w:space="0" w:color="auto"/>
            </w:tcBorders>
            <w:shd w:val="clear" w:color="000000" w:fill="DBB731"/>
            <w:vAlign w:val="bottom"/>
            <w:hideMark/>
          </w:tcPr>
          <w:p w14:paraId="1AE33505" w14:textId="35F1B76C" w:rsidR="00107665" w:rsidRPr="00841D9B"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Взносы на 2026 г</w:t>
            </w:r>
            <w:r w:rsidR="008110A8">
              <w:rPr>
                <w:i/>
                <w:iCs/>
                <w:color w:val="000000"/>
                <w:lang w:val="ru-RU"/>
              </w:rPr>
              <w:t>од</w:t>
            </w:r>
          </w:p>
        </w:tc>
        <w:tc>
          <w:tcPr>
            <w:tcW w:w="1053" w:type="dxa"/>
            <w:tcBorders>
              <w:top w:val="single" w:sz="4" w:space="0" w:color="auto"/>
              <w:left w:val="nil"/>
              <w:bottom w:val="single" w:sz="12" w:space="0" w:color="auto"/>
              <w:right w:val="single" w:sz="4" w:space="0" w:color="auto"/>
            </w:tcBorders>
            <w:shd w:val="clear" w:color="000000" w:fill="DBB731"/>
            <w:vAlign w:val="bottom"/>
            <w:hideMark/>
          </w:tcPr>
          <w:p w14:paraId="1975AF59" w14:textId="673E6062" w:rsidR="00107665" w:rsidRPr="00841D9B"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Взносы на 2027 г</w:t>
            </w:r>
            <w:r w:rsidR="008110A8">
              <w:rPr>
                <w:i/>
                <w:iCs/>
                <w:color w:val="000000"/>
                <w:lang w:val="ru-RU"/>
              </w:rPr>
              <w:t>од</w:t>
            </w:r>
          </w:p>
        </w:tc>
        <w:tc>
          <w:tcPr>
            <w:tcW w:w="1553" w:type="dxa"/>
            <w:tcBorders>
              <w:top w:val="single" w:sz="4" w:space="0" w:color="auto"/>
              <w:left w:val="nil"/>
              <w:bottom w:val="single" w:sz="12" w:space="0" w:color="auto"/>
              <w:right w:val="single" w:sz="4" w:space="0" w:color="auto"/>
            </w:tcBorders>
            <w:shd w:val="clear" w:color="000000" w:fill="DBB731"/>
            <w:vAlign w:val="bottom"/>
            <w:hideMark/>
          </w:tcPr>
          <w:p w14:paraId="52D4BB74" w14:textId="765369B5" w:rsidR="00107665" w:rsidRPr="00DB6FF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Pr>
                <w:i/>
                <w:iCs/>
                <w:color w:val="000000"/>
                <w:lang w:val="ru-RU"/>
              </w:rPr>
              <w:t>Общая сумма взносов в Общий целевой фонд на 2026</w:t>
            </w:r>
            <w:r w:rsidR="008110A8">
              <w:rPr>
                <w:i/>
                <w:iCs/>
                <w:color w:val="000000"/>
                <w:lang w:val="ru-RU"/>
              </w:rPr>
              <w:noBreakHyphen/>
            </w:r>
            <w:r>
              <w:rPr>
                <w:i/>
                <w:iCs/>
                <w:color w:val="000000"/>
                <w:lang w:val="ru-RU"/>
              </w:rPr>
              <w:t>2027</w:t>
            </w:r>
            <w:r w:rsidR="008110A8">
              <w:rPr>
                <w:i/>
                <w:iCs/>
                <w:color w:val="000000"/>
                <w:lang w:val="ru-RU"/>
              </w:rPr>
              <w:t> </w:t>
            </w:r>
            <w:r>
              <w:rPr>
                <w:i/>
                <w:iCs/>
                <w:color w:val="000000"/>
                <w:lang w:val="ru-RU"/>
              </w:rPr>
              <w:t>г</w:t>
            </w:r>
            <w:r w:rsidR="008110A8">
              <w:rPr>
                <w:i/>
                <w:iCs/>
                <w:color w:val="000000"/>
                <w:lang w:val="ru-RU"/>
              </w:rPr>
              <w:t>оды</w:t>
            </w:r>
          </w:p>
        </w:tc>
      </w:tr>
      <w:tr w:rsidR="00107665" w:rsidRPr="00631C1C" w14:paraId="465F2693" w14:textId="77777777" w:rsidTr="008E43FF">
        <w:trPr>
          <w:trHeight w:val="300"/>
          <w:jc w:val="right"/>
        </w:trPr>
        <w:tc>
          <w:tcPr>
            <w:tcW w:w="9486"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0E78AB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Государства Африки (44)</w:t>
            </w:r>
          </w:p>
        </w:tc>
      </w:tr>
      <w:tr w:rsidR="00107665" w:rsidRPr="00631C1C" w14:paraId="633BA3B7" w14:textId="77777777" w:rsidTr="008110A8">
        <w:trPr>
          <w:trHeight w:val="55"/>
          <w:jc w:val="right"/>
        </w:trPr>
        <w:tc>
          <w:tcPr>
            <w:tcW w:w="541" w:type="dxa"/>
            <w:tcBorders>
              <w:top w:val="nil"/>
              <w:left w:val="single" w:sz="4" w:space="0" w:color="auto"/>
              <w:bottom w:val="single" w:sz="4" w:space="0" w:color="auto"/>
              <w:right w:val="single" w:sz="4" w:space="0" w:color="auto"/>
            </w:tcBorders>
            <w:noWrap/>
            <w:hideMark/>
          </w:tcPr>
          <w:p w14:paraId="4B57B2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w:t>
            </w:r>
          </w:p>
        </w:tc>
        <w:tc>
          <w:tcPr>
            <w:tcW w:w="2431" w:type="dxa"/>
            <w:tcBorders>
              <w:top w:val="nil"/>
              <w:left w:val="nil"/>
              <w:bottom w:val="single" w:sz="4" w:space="0" w:color="auto"/>
              <w:right w:val="single" w:sz="4" w:space="0" w:color="auto"/>
            </w:tcBorders>
            <w:noWrap/>
            <w:hideMark/>
          </w:tcPr>
          <w:p w14:paraId="7E6C09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Алжир</w:t>
            </w:r>
          </w:p>
        </w:tc>
        <w:tc>
          <w:tcPr>
            <w:tcW w:w="1418" w:type="dxa"/>
            <w:tcBorders>
              <w:top w:val="nil"/>
              <w:left w:val="nil"/>
              <w:bottom w:val="single" w:sz="4" w:space="0" w:color="auto"/>
              <w:right w:val="single" w:sz="4" w:space="0" w:color="auto"/>
            </w:tcBorders>
            <w:noWrap/>
            <w:hideMark/>
          </w:tcPr>
          <w:p w14:paraId="11B087A3" w14:textId="77777777" w:rsidR="00107665" w:rsidRPr="0083122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0,087</w:t>
            </w:r>
          </w:p>
        </w:tc>
        <w:tc>
          <w:tcPr>
            <w:tcW w:w="1417" w:type="dxa"/>
            <w:tcBorders>
              <w:top w:val="nil"/>
              <w:left w:val="nil"/>
              <w:bottom w:val="single" w:sz="4" w:space="0" w:color="auto"/>
              <w:right w:val="single" w:sz="4" w:space="0" w:color="auto"/>
            </w:tcBorders>
            <w:noWrap/>
            <w:hideMark/>
          </w:tcPr>
          <w:p w14:paraId="3C503116" w14:textId="77777777" w:rsidR="00107665" w:rsidRPr="0083122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0,0878</w:t>
            </w:r>
          </w:p>
        </w:tc>
        <w:tc>
          <w:tcPr>
            <w:tcW w:w="1073" w:type="dxa"/>
            <w:tcBorders>
              <w:top w:val="nil"/>
              <w:left w:val="nil"/>
              <w:bottom w:val="single" w:sz="4" w:space="0" w:color="auto"/>
              <w:right w:val="single" w:sz="4" w:space="0" w:color="auto"/>
            </w:tcBorders>
            <w:noWrap/>
            <w:hideMark/>
          </w:tcPr>
          <w:p w14:paraId="6B77EDA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2 707</w:t>
            </w:r>
          </w:p>
        </w:tc>
        <w:tc>
          <w:tcPr>
            <w:tcW w:w="1053" w:type="dxa"/>
            <w:tcBorders>
              <w:top w:val="nil"/>
              <w:left w:val="nil"/>
              <w:bottom w:val="single" w:sz="4" w:space="0" w:color="auto"/>
              <w:right w:val="single" w:sz="4" w:space="0" w:color="auto"/>
            </w:tcBorders>
            <w:noWrap/>
            <w:hideMark/>
          </w:tcPr>
          <w:p w14:paraId="72E54FF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3 573</w:t>
            </w:r>
          </w:p>
        </w:tc>
        <w:tc>
          <w:tcPr>
            <w:tcW w:w="1553" w:type="dxa"/>
            <w:tcBorders>
              <w:top w:val="nil"/>
              <w:left w:val="nil"/>
              <w:bottom w:val="single" w:sz="4" w:space="0" w:color="auto"/>
              <w:right w:val="single" w:sz="4" w:space="0" w:color="auto"/>
            </w:tcBorders>
            <w:noWrap/>
            <w:hideMark/>
          </w:tcPr>
          <w:p w14:paraId="6239ECB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6 281</w:t>
            </w:r>
          </w:p>
        </w:tc>
      </w:tr>
      <w:tr w:rsidR="00107665" w:rsidRPr="00631C1C" w14:paraId="6B81ED46"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02047E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w:t>
            </w:r>
          </w:p>
        </w:tc>
        <w:tc>
          <w:tcPr>
            <w:tcW w:w="2431" w:type="dxa"/>
            <w:tcBorders>
              <w:top w:val="nil"/>
              <w:left w:val="nil"/>
              <w:bottom w:val="single" w:sz="4" w:space="0" w:color="auto"/>
              <w:right w:val="single" w:sz="4" w:space="0" w:color="auto"/>
            </w:tcBorders>
            <w:noWrap/>
            <w:hideMark/>
          </w:tcPr>
          <w:p w14:paraId="0184E1C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Бенин</w:t>
            </w:r>
          </w:p>
        </w:tc>
        <w:tc>
          <w:tcPr>
            <w:tcW w:w="1418" w:type="dxa"/>
            <w:tcBorders>
              <w:top w:val="nil"/>
              <w:left w:val="nil"/>
              <w:bottom w:val="single" w:sz="4" w:space="0" w:color="auto"/>
              <w:right w:val="single" w:sz="4" w:space="0" w:color="auto"/>
            </w:tcBorders>
            <w:noWrap/>
            <w:hideMark/>
          </w:tcPr>
          <w:p w14:paraId="61D52BF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4A0469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64E863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D7FEE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FF094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DA38A5C"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7278970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w:t>
            </w:r>
          </w:p>
        </w:tc>
        <w:tc>
          <w:tcPr>
            <w:tcW w:w="2431" w:type="dxa"/>
            <w:tcBorders>
              <w:top w:val="nil"/>
              <w:left w:val="nil"/>
              <w:bottom w:val="single" w:sz="4" w:space="0" w:color="auto"/>
              <w:right w:val="single" w:sz="4" w:space="0" w:color="auto"/>
            </w:tcBorders>
            <w:noWrap/>
            <w:hideMark/>
          </w:tcPr>
          <w:p w14:paraId="1745F5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Ботсвана</w:t>
            </w:r>
          </w:p>
        </w:tc>
        <w:tc>
          <w:tcPr>
            <w:tcW w:w="1418" w:type="dxa"/>
            <w:tcBorders>
              <w:top w:val="nil"/>
              <w:left w:val="nil"/>
              <w:bottom w:val="single" w:sz="4" w:space="0" w:color="auto"/>
              <w:right w:val="single" w:sz="4" w:space="0" w:color="auto"/>
            </w:tcBorders>
            <w:noWrap/>
            <w:hideMark/>
          </w:tcPr>
          <w:p w14:paraId="71F67D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0,013</w:t>
            </w:r>
          </w:p>
        </w:tc>
        <w:tc>
          <w:tcPr>
            <w:tcW w:w="1417" w:type="dxa"/>
            <w:tcBorders>
              <w:top w:val="nil"/>
              <w:left w:val="nil"/>
              <w:bottom w:val="single" w:sz="4" w:space="0" w:color="auto"/>
              <w:right w:val="single" w:sz="4" w:space="0" w:color="auto"/>
            </w:tcBorders>
            <w:noWrap/>
            <w:hideMark/>
          </w:tcPr>
          <w:p w14:paraId="183D2DA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0,0131</w:t>
            </w:r>
          </w:p>
        </w:tc>
        <w:tc>
          <w:tcPr>
            <w:tcW w:w="1073" w:type="dxa"/>
            <w:tcBorders>
              <w:top w:val="nil"/>
              <w:left w:val="nil"/>
              <w:bottom w:val="single" w:sz="4" w:space="0" w:color="auto"/>
              <w:right w:val="single" w:sz="4" w:space="0" w:color="auto"/>
            </w:tcBorders>
            <w:noWrap/>
            <w:hideMark/>
          </w:tcPr>
          <w:p w14:paraId="7E0D15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405</w:t>
            </w:r>
          </w:p>
        </w:tc>
        <w:tc>
          <w:tcPr>
            <w:tcW w:w="1053" w:type="dxa"/>
            <w:tcBorders>
              <w:top w:val="nil"/>
              <w:left w:val="nil"/>
              <w:bottom w:val="single" w:sz="4" w:space="0" w:color="auto"/>
              <w:right w:val="single" w:sz="4" w:space="0" w:color="auto"/>
            </w:tcBorders>
            <w:noWrap/>
            <w:hideMark/>
          </w:tcPr>
          <w:p w14:paraId="570BBF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534</w:t>
            </w:r>
          </w:p>
        </w:tc>
        <w:tc>
          <w:tcPr>
            <w:tcW w:w="1553" w:type="dxa"/>
            <w:tcBorders>
              <w:top w:val="nil"/>
              <w:left w:val="nil"/>
              <w:bottom w:val="single" w:sz="4" w:space="0" w:color="auto"/>
              <w:right w:val="single" w:sz="4" w:space="0" w:color="auto"/>
            </w:tcBorders>
            <w:noWrap/>
            <w:hideMark/>
          </w:tcPr>
          <w:p w14:paraId="78BCCA2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938</w:t>
            </w:r>
          </w:p>
        </w:tc>
      </w:tr>
      <w:tr w:rsidR="00107665" w:rsidRPr="00631C1C" w14:paraId="54662912"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05FFF0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w:t>
            </w:r>
          </w:p>
        </w:tc>
        <w:tc>
          <w:tcPr>
            <w:tcW w:w="2431" w:type="dxa"/>
            <w:tcBorders>
              <w:top w:val="nil"/>
              <w:left w:val="nil"/>
              <w:bottom w:val="single" w:sz="4" w:space="0" w:color="auto"/>
              <w:right w:val="single" w:sz="4" w:space="0" w:color="auto"/>
            </w:tcBorders>
            <w:noWrap/>
            <w:hideMark/>
          </w:tcPr>
          <w:p w14:paraId="46ABA3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Буркина-Фасо</w:t>
            </w:r>
          </w:p>
        </w:tc>
        <w:tc>
          <w:tcPr>
            <w:tcW w:w="1418" w:type="dxa"/>
            <w:tcBorders>
              <w:top w:val="nil"/>
              <w:left w:val="nil"/>
              <w:bottom w:val="single" w:sz="4" w:space="0" w:color="auto"/>
              <w:right w:val="single" w:sz="4" w:space="0" w:color="auto"/>
            </w:tcBorders>
            <w:noWrap/>
            <w:hideMark/>
          </w:tcPr>
          <w:p w14:paraId="419D5E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4D4B0B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30FD6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1AB1D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CA657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4A50581"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6E427C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w:t>
            </w:r>
          </w:p>
        </w:tc>
        <w:tc>
          <w:tcPr>
            <w:tcW w:w="2431" w:type="dxa"/>
            <w:tcBorders>
              <w:top w:val="nil"/>
              <w:left w:val="nil"/>
              <w:bottom w:val="single" w:sz="4" w:space="0" w:color="auto"/>
              <w:right w:val="single" w:sz="4" w:space="0" w:color="auto"/>
            </w:tcBorders>
            <w:noWrap/>
            <w:hideMark/>
          </w:tcPr>
          <w:p w14:paraId="07BC342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Бурунди</w:t>
            </w:r>
          </w:p>
        </w:tc>
        <w:tc>
          <w:tcPr>
            <w:tcW w:w="1418" w:type="dxa"/>
            <w:tcBorders>
              <w:top w:val="nil"/>
              <w:left w:val="nil"/>
              <w:bottom w:val="single" w:sz="4" w:space="0" w:color="auto"/>
              <w:right w:val="single" w:sz="4" w:space="0" w:color="auto"/>
            </w:tcBorders>
            <w:noWrap/>
            <w:hideMark/>
          </w:tcPr>
          <w:p w14:paraId="5A28786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5D9F09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938073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57A74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5DB99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495432B"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09D101A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w:t>
            </w:r>
          </w:p>
        </w:tc>
        <w:tc>
          <w:tcPr>
            <w:tcW w:w="2431" w:type="dxa"/>
            <w:tcBorders>
              <w:top w:val="nil"/>
              <w:left w:val="nil"/>
              <w:bottom w:val="single" w:sz="4" w:space="0" w:color="auto"/>
              <w:right w:val="single" w:sz="4" w:space="0" w:color="auto"/>
            </w:tcBorders>
            <w:noWrap/>
            <w:hideMark/>
          </w:tcPr>
          <w:p w14:paraId="32392AB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Камерун</w:t>
            </w:r>
          </w:p>
        </w:tc>
        <w:tc>
          <w:tcPr>
            <w:tcW w:w="1418" w:type="dxa"/>
            <w:tcBorders>
              <w:top w:val="nil"/>
              <w:left w:val="nil"/>
              <w:bottom w:val="single" w:sz="4" w:space="0" w:color="auto"/>
              <w:right w:val="single" w:sz="4" w:space="0" w:color="auto"/>
            </w:tcBorders>
            <w:noWrap/>
            <w:hideMark/>
          </w:tcPr>
          <w:p w14:paraId="5627F65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0,014</w:t>
            </w:r>
          </w:p>
        </w:tc>
        <w:tc>
          <w:tcPr>
            <w:tcW w:w="1417" w:type="dxa"/>
            <w:tcBorders>
              <w:top w:val="nil"/>
              <w:left w:val="nil"/>
              <w:bottom w:val="single" w:sz="4" w:space="0" w:color="auto"/>
              <w:right w:val="single" w:sz="4" w:space="0" w:color="auto"/>
            </w:tcBorders>
            <w:noWrap/>
            <w:hideMark/>
          </w:tcPr>
          <w:p w14:paraId="5622FF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0,0141</w:t>
            </w:r>
          </w:p>
        </w:tc>
        <w:tc>
          <w:tcPr>
            <w:tcW w:w="1073" w:type="dxa"/>
            <w:tcBorders>
              <w:top w:val="nil"/>
              <w:left w:val="nil"/>
              <w:bottom w:val="single" w:sz="4" w:space="0" w:color="auto"/>
              <w:right w:val="single" w:sz="4" w:space="0" w:color="auto"/>
            </w:tcBorders>
            <w:noWrap/>
            <w:hideMark/>
          </w:tcPr>
          <w:p w14:paraId="17AC5C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436</w:t>
            </w:r>
          </w:p>
        </w:tc>
        <w:tc>
          <w:tcPr>
            <w:tcW w:w="1053" w:type="dxa"/>
            <w:tcBorders>
              <w:top w:val="nil"/>
              <w:left w:val="nil"/>
              <w:bottom w:val="single" w:sz="4" w:space="0" w:color="auto"/>
              <w:right w:val="single" w:sz="4" w:space="0" w:color="auto"/>
            </w:tcBorders>
            <w:noWrap/>
            <w:hideMark/>
          </w:tcPr>
          <w:p w14:paraId="4A5BAA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575</w:t>
            </w:r>
          </w:p>
        </w:tc>
        <w:tc>
          <w:tcPr>
            <w:tcW w:w="1553" w:type="dxa"/>
            <w:tcBorders>
              <w:top w:val="nil"/>
              <w:left w:val="nil"/>
              <w:bottom w:val="single" w:sz="4" w:space="0" w:color="auto"/>
              <w:right w:val="single" w:sz="4" w:space="0" w:color="auto"/>
            </w:tcBorders>
            <w:noWrap/>
            <w:hideMark/>
          </w:tcPr>
          <w:p w14:paraId="399DC4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1 011</w:t>
            </w:r>
          </w:p>
        </w:tc>
      </w:tr>
      <w:tr w:rsidR="00107665" w:rsidRPr="00631C1C" w14:paraId="47BC5B2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D3ECB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w:t>
            </w:r>
          </w:p>
        </w:tc>
        <w:tc>
          <w:tcPr>
            <w:tcW w:w="2431" w:type="dxa"/>
            <w:tcBorders>
              <w:top w:val="nil"/>
              <w:left w:val="nil"/>
              <w:bottom w:val="single" w:sz="4" w:space="0" w:color="auto"/>
              <w:right w:val="single" w:sz="4" w:space="0" w:color="auto"/>
            </w:tcBorders>
            <w:noWrap/>
            <w:hideMark/>
          </w:tcPr>
          <w:p w14:paraId="0D0CD40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Центральноафриканская Республика</w:t>
            </w:r>
          </w:p>
        </w:tc>
        <w:tc>
          <w:tcPr>
            <w:tcW w:w="1418" w:type="dxa"/>
            <w:tcBorders>
              <w:top w:val="nil"/>
              <w:left w:val="nil"/>
              <w:bottom w:val="single" w:sz="4" w:space="0" w:color="auto"/>
              <w:right w:val="single" w:sz="4" w:space="0" w:color="auto"/>
            </w:tcBorders>
            <w:noWrap/>
            <w:hideMark/>
          </w:tcPr>
          <w:p w14:paraId="402DF1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3D9E10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3EC12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2968E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4E6DD1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2F38571"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2000B51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w:t>
            </w:r>
          </w:p>
        </w:tc>
        <w:tc>
          <w:tcPr>
            <w:tcW w:w="2431" w:type="dxa"/>
            <w:tcBorders>
              <w:top w:val="nil"/>
              <w:left w:val="nil"/>
              <w:bottom w:val="single" w:sz="4" w:space="0" w:color="auto"/>
              <w:right w:val="single" w:sz="4" w:space="0" w:color="auto"/>
            </w:tcBorders>
            <w:noWrap/>
            <w:hideMark/>
          </w:tcPr>
          <w:p w14:paraId="562F09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Чад</w:t>
            </w:r>
          </w:p>
        </w:tc>
        <w:tc>
          <w:tcPr>
            <w:tcW w:w="1418" w:type="dxa"/>
            <w:tcBorders>
              <w:top w:val="nil"/>
              <w:left w:val="nil"/>
              <w:bottom w:val="single" w:sz="4" w:space="0" w:color="auto"/>
              <w:right w:val="single" w:sz="4" w:space="0" w:color="auto"/>
            </w:tcBorders>
            <w:noWrap/>
            <w:hideMark/>
          </w:tcPr>
          <w:p w14:paraId="659A68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6FA53B8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0EA3FC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59E828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D0138F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0C0B3879"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135329D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w:t>
            </w:r>
          </w:p>
        </w:tc>
        <w:tc>
          <w:tcPr>
            <w:tcW w:w="2431" w:type="dxa"/>
            <w:tcBorders>
              <w:top w:val="nil"/>
              <w:left w:val="nil"/>
              <w:bottom w:val="single" w:sz="4" w:space="0" w:color="auto"/>
              <w:right w:val="single" w:sz="4" w:space="0" w:color="auto"/>
            </w:tcBorders>
            <w:noWrap/>
            <w:hideMark/>
          </w:tcPr>
          <w:p w14:paraId="787955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Коморские Острова</w:t>
            </w:r>
          </w:p>
        </w:tc>
        <w:tc>
          <w:tcPr>
            <w:tcW w:w="1418" w:type="dxa"/>
            <w:tcBorders>
              <w:top w:val="nil"/>
              <w:left w:val="nil"/>
              <w:bottom w:val="single" w:sz="4" w:space="0" w:color="auto"/>
              <w:right w:val="single" w:sz="4" w:space="0" w:color="auto"/>
            </w:tcBorders>
            <w:noWrap/>
            <w:hideMark/>
          </w:tcPr>
          <w:p w14:paraId="61E34F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687198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8F01F2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EE8DB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64A50D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EB53B96"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258225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w:t>
            </w:r>
          </w:p>
        </w:tc>
        <w:tc>
          <w:tcPr>
            <w:tcW w:w="2431" w:type="dxa"/>
            <w:tcBorders>
              <w:top w:val="nil"/>
              <w:left w:val="nil"/>
              <w:bottom w:val="single" w:sz="4" w:space="0" w:color="auto"/>
              <w:right w:val="single" w:sz="4" w:space="0" w:color="auto"/>
            </w:tcBorders>
            <w:noWrap/>
            <w:hideMark/>
          </w:tcPr>
          <w:p w14:paraId="0CE7FA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Конго</w:t>
            </w:r>
          </w:p>
        </w:tc>
        <w:tc>
          <w:tcPr>
            <w:tcW w:w="1418" w:type="dxa"/>
            <w:tcBorders>
              <w:top w:val="nil"/>
              <w:left w:val="nil"/>
              <w:bottom w:val="single" w:sz="4" w:space="0" w:color="auto"/>
              <w:right w:val="single" w:sz="4" w:space="0" w:color="auto"/>
            </w:tcBorders>
            <w:noWrap/>
            <w:hideMark/>
          </w:tcPr>
          <w:p w14:paraId="3A84BD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1166F1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54AB9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EBE17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D9BD7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0238661"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19BBBE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w:t>
            </w:r>
          </w:p>
        </w:tc>
        <w:tc>
          <w:tcPr>
            <w:tcW w:w="2431" w:type="dxa"/>
            <w:tcBorders>
              <w:top w:val="nil"/>
              <w:left w:val="nil"/>
              <w:bottom w:val="single" w:sz="4" w:space="0" w:color="auto"/>
              <w:right w:val="single" w:sz="4" w:space="0" w:color="auto"/>
            </w:tcBorders>
            <w:noWrap/>
            <w:hideMark/>
          </w:tcPr>
          <w:p w14:paraId="52868DF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Кот-д’Ивуар</w:t>
            </w:r>
          </w:p>
        </w:tc>
        <w:tc>
          <w:tcPr>
            <w:tcW w:w="1418" w:type="dxa"/>
            <w:tcBorders>
              <w:top w:val="nil"/>
              <w:left w:val="nil"/>
              <w:bottom w:val="single" w:sz="4" w:space="0" w:color="auto"/>
              <w:right w:val="single" w:sz="4" w:space="0" w:color="auto"/>
            </w:tcBorders>
            <w:noWrap/>
            <w:hideMark/>
          </w:tcPr>
          <w:p w14:paraId="0F00C8B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0,024</w:t>
            </w:r>
          </w:p>
        </w:tc>
        <w:tc>
          <w:tcPr>
            <w:tcW w:w="1417" w:type="dxa"/>
            <w:tcBorders>
              <w:top w:val="nil"/>
              <w:left w:val="nil"/>
              <w:bottom w:val="single" w:sz="4" w:space="0" w:color="auto"/>
              <w:right w:val="single" w:sz="4" w:space="0" w:color="auto"/>
            </w:tcBorders>
            <w:noWrap/>
            <w:hideMark/>
          </w:tcPr>
          <w:p w14:paraId="2C2117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0,0242</w:t>
            </w:r>
          </w:p>
        </w:tc>
        <w:tc>
          <w:tcPr>
            <w:tcW w:w="1073" w:type="dxa"/>
            <w:tcBorders>
              <w:top w:val="nil"/>
              <w:left w:val="nil"/>
              <w:bottom w:val="single" w:sz="4" w:space="0" w:color="auto"/>
              <w:right w:val="single" w:sz="4" w:space="0" w:color="auto"/>
            </w:tcBorders>
            <w:noWrap/>
            <w:hideMark/>
          </w:tcPr>
          <w:p w14:paraId="0C7F4B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747</w:t>
            </w:r>
          </w:p>
        </w:tc>
        <w:tc>
          <w:tcPr>
            <w:tcW w:w="1053" w:type="dxa"/>
            <w:tcBorders>
              <w:top w:val="nil"/>
              <w:left w:val="nil"/>
              <w:bottom w:val="single" w:sz="4" w:space="0" w:color="auto"/>
              <w:right w:val="single" w:sz="4" w:space="0" w:color="auto"/>
            </w:tcBorders>
            <w:noWrap/>
            <w:hideMark/>
          </w:tcPr>
          <w:p w14:paraId="0A7139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986</w:t>
            </w:r>
          </w:p>
        </w:tc>
        <w:tc>
          <w:tcPr>
            <w:tcW w:w="1553" w:type="dxa"/>
            <w:tcBorders>
              <w:top w:val="nil"/>
              <w:left w:val="nil"/>
              <w:bottom w:val="single" w:sz="4" w:space="0" w:color="auto"/>
              <w:right w:val="single" w:sz="4" w:space="0" w:color="auto"/>
            </w:tcBorders>
            <w:noWrap/>
            <w:hideMark/>
          </w:tcPr>
          <w:p w14:paraId="34C261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1 733</w:t>
            </w:r>
          </w:p>
        </w:tc>
      </w:tr>
      <w:tr w:rsidR="00107665" w:rsidRPr="00631C1C" w14:paraId="294140DC"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DE6FC0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w:t>
            </w:r>
          </w:p>
        </w:tc>
        <w:tc>
          <w:tcPr>
            <w:tcW w:w="2431" w:type="dxa"/>
            <w:tcBorders>
              <w:top w:val="nil"/>
              <w:left w:val="nil"/>
              <w:bottom w:val="single" w:sz="4" w:space="0" w:color="auto"/>
              <w:right w:val="single" w:sz="4" w:space="0" w:color="auto"/>
            </w:tcBorders>
            <w:noWrap/>
            <w:hideMark/>
          </w:tcPr>
          <w:p w14:paraId="715F424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Джибути</w:t>
            </w:r>
          </w:p>
        </w:tc>
        <w:tc>
          <w:tcPr>
            <w:tcW w:w="1418" w:type="dxa"/>
            <w:tcBorders>
              <w:top w:val="nil"/>
              <w:left w:val="nil"/>
              <w:bottom w:val="single" w:sz="4" w:space="0" w:color="auto"/>
              <w:right w:val="single" w:sz="4" w:space="0" w:color="auto"/>
            </w:tcBorders>
            <w:noWrap/>
            <w:hideMark/>
          </w:tcPr>
          <w:p w14:paraId="6E7E7E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05C0280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7CBE56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42CE3A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92771A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19AAF71"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4761FC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w:t>
            </w:r>
          </w:p>
        </w:tc>
        <w:tc>
          <w:tcPr>
            <w:tcW w:w="2431" w:type="dxa"/>
            <w:tcBorders>
              <w:top w:val="nil"/>
              <w:left w:val="nil"/>
              <w:bottom w:val="single" w:sz="4" w:space="0" w:color="auto"/>
              <w:right w:val="single" w:sz="4" w:space="0" w:color="auto"/>
            </w:tcBorders>
            <w:noWrap/>
            <w:hideMark/>
          </w:tcPr>
          <w:p w14:paraId="15145CC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Экваториальная Гвинея</w:t>
            </w:r>
          </w:p>
        </w:tc>
        <w:tc>
          <w:tcPr>
            <w:tcW w:w="1418" w:type="dxa"/>
            <w:tcBorders>
              <w:top w:val="nil"/>
              <w:left w:val="nil"/>
              <w:bottom w:val="single" w:sz="4" w:space="0" w:color="auto"/>
              <w:right w:val="single" w:sz="4" w:space="0" w:color="auto"/>
            </w:tcBorders>
            <w:noWrap/>
            <w:hideMark/>
          </w:tcPr>
          <w:p w14:paraId="493755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0,008</w:t>
            </w:r>
          </w:p>
        </w:tc>
        <w:tc>
          <w:tcPr>
            <w:tcW w:w="1417" w:type="dxa"/>
            <w:tcBorders>
              <w:top w:val="nil"/>
              <w:left w:val="nil"/>
              <w:bottom w:val="single" w:sz="4" w:space="0" w:color="auto"/>
              <w:right w:val="single" w:sz="4" w:space="0" w:color="auto"/>
            </w:tcBorders>
            <w:noWrap/>
            <w:hideMark/>
          </w:tcPr>
          <w:p w14:paraId="6AD6B2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977F9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AB055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9CEE7A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33E9A79"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764942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w:t>
            </w:r>
          </w:p>
        </w:tc>
        <w:tc>
          <w:tcPr>
            <w:tcW w:w="2431" w:type="dxa"/>
            <w:tcBorders>
              <w:top w:val="nil"/>
              <w:left w:val="nil"/>
              <w:bottom w:val="single" w:sz="4" w:space="0" w:color="auto"/>
              <w:right w:val="single" w:sz="4" w:space="0" w:color="auto"/>
            </w:tcBorders>
            <w:noWrap/>
            <w:hideMark/>
          </w:tcPr>
          <w:p w14:paraId="738B77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Эритрея</w:t>
            </w:r>
          </w:p>
        </w:tc>
        <w:tc>
          <w:tcPr>
            <w:tcW w:w="1418" w:type="dxa"/>
            <w:tcBorders>
              <w:top w:val="nil"/>
              <w:left w:val="nil"/>
              <w:bottom w:val="single" w:sz="4" w:space="0" w:color="auto"/>
              <w:right w:val="single" w:sz="4" w:space="0" w:color="auto"/>
            </w:tcBorders>
            <w:noWrap/>
            <w:hideMark/>
          </w:tcPr>
          <w:p w14:paraId="486937D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079042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45794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6EFB8A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300DD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F486ED2"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63B8CA0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w:t>
            </w:r>
          </w:p>
        </w:tc>
        <w:tc>
          <w:tcPr>
            <w:tcW w:w="2431" w:type="dxa"/>
            <w:tcBorders>
              <w:top w:val="nil"/>
              <w:left w:val="nil"/>
              <w:bottom w:val="single" w:sz="4" w:space="0" w:color="auto"/>
              <w:right w:val="single" w:sz="4" w:space="0" w:color="auto"/>
            </w:tcBorders>
            <w:noWrap/>
            <w:hideMark/>
          </w:tcPr>
          <w:p w14:paraId="432C5A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Эсватини</w:t>
            </w:r>
          </w:p>
        </w:tc>
        <w:tc>
          <w:tcPr>
            <w:tcW w:w="1418" w:type="dxa"/>
            <w:tcBorders>
              <w:top w:val="nil"/>
              <w:left w:val="nil"/>
              <w:bottom w:val="single" w:sz="4" w:space="0" w:color="auto"/>
              <w:right w:val="single" w:sz="4" w:space="0" w:color="auto"/>
            </w:tcBorders>
            <w:noWrap/>
            <w:hideMark/>
          </w:tcPr>
          <w:p w14:paraId="179790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2C83CF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7CA3B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44F40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F69F7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399271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8D044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16</w:t>
            </w:r>
          </w:p>
        </w:tc>
        <w:tc>
          <w:tcPr>
            <w:tcW w:w="2431" w:type="dxa"/>
            <w:tcBorders>
              <w:top w:val="nil"/>
              <w:left w:val="nil"/>
              <w:bottom w:val="single" w:sz="4" w:space="0" w:color="auto"/>
              <w:right w:val="single" w:sz="4" w:space="0" w:color="auto"/>
            </w:tcBorders>
            <w:noWrap/>
            <w:hideMark/>
          </w:tcPr>
          <w:p w14:paraId="58D6726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Эфиопия</w:t>
            </w:r>
          </w:p>
        </w:tc>
        <w:tc>
          <w:tcPr>
            <w:tcW w:w="1418" w:type="dxa"/>
            <w:tcBorders>
              <w:top w:val="nil"/>
              <w:left w:val="nil"/>
              <w:bottom w:val="single" w:sz="4" w:space="0" w:color="auto"/>
              <w:right w:val="single" w:sz="4" w:space="0" w:color="auto"/>
            </w:tcBorders>
            <w:noWrap/>
            <w:hideMark/>
          </w:tcPr>
          <w:p w14:paraId="35EF09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2E4B21B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1358B9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4DCF606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27B2DB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6A77A09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57E4B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17</w:t>
            </w:r>
          </w:p>
        </w:tc>
        <w:tc>
          <w:tcPr>
            <w:tcW w:w="2431" w:type="dxa"/>
            <w:tcBorders>
              <w:top w:val="nil"/>
              <w:left w:val="nil"/>
              <w:bottom w:val="single" w:sz="4" w:space="0" w:color="auto"/>
              <w:right w:val="single" w:sz="4" w:space="0" w:color="auto"/>
            </w:tcBorders>
            <w:noWrap/>
            <w:hideMark/>
          </w:tcPr>
          <w:p w14:paraId="092A9C1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Габон</w:t>
            </w:r>
          </w:p>
        </w:tc>
        <w:tc>
          <w:tcPr>
            <w:tcW w:w="1418" w:type="dxa"/>
            <w:tcBorders>
              <w:top w:val="nil"/>
              <w:left w:val="nil"/>
              <w:bottom w:val="single" w:sz="4" w:space="0" w:color="auto"/>
              <w:right w:val="single" w:sz="4" w:space="0" w:color="auto"/>
            </w:tcBorders>
            <w:noWrap/>
            <w:hideMark/>
          </w:tcPr>
          <w:p w14:paraId="42B21F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w:t>
            </w:r>
          </w:p>
        </w:tc>
        <w:tc>
          <w:tcPr>
            <w:tcW w:w="1417" w:type="dxa"/>
            <w:tcBorders>
              <w:top w:val="nil"/>
              <w:left w:val="nil"/>
              <w:bottom w:val="single" w:sz="4" w:space="0" w:color="auto"/>
              <w:right w:val="single" w:sz="4" w:space="0" w:color="auto"/>
            </w:tcBorders>
            <w:noWrap/>
            <w:hideMark/>
          </w:tcPr>
          <w:p w14:paraId="4663DE5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0,0111</w:t>
            </w:r>
          </w:p>
        </w:tc>
        <w:tc>
          <w:tcPr>
            <w:tcW w:w="1073" w:type="dxa"/>
            <w:tcBorders>
              <w:top w:val="nil"/>
              <w:left w:val="nil"/>
              <w:bottom w:val="single" w:sz="4" w:space="0" w:color="auto"/>
              <w:right w:val="single" w:sz="4" w:space="0" w:color="auto"/>
            </w:tcBorders>
            <w:noWrap/>
            <w:hideMark/>
          </w:tcPr>
          <w:p w14:paraId="005672C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342</w:t>
            </w:r>
          </w:p>
        </w:tc>
        <w:tc>
          <w:tcPr>
            <w:tcW w:w="1053" w:type="dxa"/>
            <w:tcBorders>
              <w:top w:val="nil"/>
              <w:left w:val="nil"/>
              <w:bottom w:val="single" w:sz="4" w:space="0" w:color="auto"/>
              <w:right w:val="single" w:sz="4" w:space="0" w:color="auto"/>
            </w:tcBorders>
            <w:noWrap/>
            <w:hideMark/>
          </w:tcPr>
          <w:p w14:paraId="0F7DD9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452</w:t>
            </w:r>
          </w:p>
        </w:tc>
        <w:tc>
          <w:tcPr>
            <w:tcW w:w="1553" w:type="dxa"/>
            <w:tcBorders>
              <w:top w:val="nil"/>
              <w:left w:val="nil"/>
              <w:bottom w:val="single" w:sz="4" w:space="0" w:color="auto"/>
              <w:right w:val="single" w:sz="4" w:space="0" w:color="auto"/>
            </w:tcBorders>
            <w:noWrap/>
            <w:hideMark/>
          </w:tcPr>
          <w:p w14:paraId="6A08B0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794</w:t>
            </w:r>
          </w:p>
        </w:tc>
      </w:tr>
      <w:tr w:rsidR="00107665" w:rsidRPr="00631C1C" w14:paraId="1B3D97A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A5955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18</w:t>
            </w:r>
          </w:p>
        </w:tc>
        <w:tc>
          <w:tcPr>
            <w:tcW w:w="2431" w:type="dxa"/>
            <w:tcBorders>
              <w:top w:val="nil"/>
              <w:left w:val="nil"/>
              <w:bottom w:val="single" w:sz="4" w:space="0" w:color="auto"/>
              <w:right w:val="single" w:sz="4" w:space="0" w:color="auto"/>
            </w:tcBorders>
            <w:noWrap/>
            <w:hideMark/>
          </w:tcPr>
          <w:p w14:paraId="20204EB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Гамбия</w:t>
            </w:r>
          </w:p>
        </w:tc>
        <w:tc>
          <w:tcPr>
            <w:tcW w:w="1418" w:type="dxa"/>
            <w:tcBorders>
              <w:top w:val="nil"/>
              <w:left w:val="nil"/>
              <w:bottom w:val="single" w:sz="4" w:space="0" w:color="auto"/>
              <w:right w:val="single" w:sz="4" w:space="0" w:color="auto"/>
            </w:tcBorders>
            <w:noWrap/>
            <w:hideMark/>
          </w:tcPr>
          <w:p w14:paraId="127822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25D8795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CB47E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36DE0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93B83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2F3435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EF1B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19</w:t>
            </w:r>
          </w:p>
        </w:tc>
        <w:tc>
          <w:tcPr>
            <w:tcW w:w="2431" w:type="dxa"/>
            <w:tcBorders>
              <w:top w:val="nil"/>
              <w:left w:val="nil"/>
              <w:bottom w:val="single" w:sz="4" w:space="0" w:color="auto"/>
              <w:right w:val="single" w:sz="4" w:space="0" w:color="auto"/>
            </w:tcBorders>
            <w:noWrap/>
            <w:hideMark/>
          </w:tcPr>
          <w:p w14:paraId="03FD502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Гана</w:t>
            </w:r>
          </w:p>
        </w:tc>
        <w:tc>
          <w:tcPr>
            <w:tcW w:w="1418" w:type="dxa"/>
            <w:tcBorders>
              <w:top w:val="nil"/>
              <w:left w:val="nil"/>
              <w:bottom w:val="single" w:sz="4" w:space="0" w:color="auto"/>
              <w:right w:val="single" w:sz="4" w:space="0" w:color="auto"/>
            </w:tcBorders>
            <w:noWrap/>
            <w:hideMark/>
          </w:tcPr>
          <w:p w14:paraId="27F839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0,025</w:t>
            </w:r>
          </w:p>
        </w:tc>
        <w:tc>
          <w:tcPr>
            <w:tcW w:w="1417" w:type="dxa"/>
            <w:tcBorders>
              <w:top w:val="nil"/>
              <w:left w:val="nil"/>
              <w:bottom w:val="single" w:sz="4" w:space="0" w:color="auto"/>
              <w:right w:val="single" w:sz="4" w:space="0" w:color="auto"/>
            </w:tcBorders>
            <w:noWrap/>
            <w:hideMark/>
          </w:tcPr>
          <w:p w14:paraId="78C2440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0,0252</w:t>
            </w:r>
          </w:p>
        </w:tc>
        <w:tc>
          <w:tcPr>
            <w:tcW w:w="1073" w:type="dxa"/>
            <w:tcBorders>
              <w:top w:val="nil"/>
              <w:left w:val="nil"/>
              <w:bottom w:val="single" w:sz="4" w:space="0" w:color="auto"/>
              <w:right w:val="single" w:sz="4" w:space="0" w:color="auto"/>
            </w:tcBorders>
            <w:noWrap/>
            <w:hideMark/>
          </w:tcPr>
          <w:p w14:paraId="4FB8B5A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778</w:t>
            </w:r>
          </w:p>
        </w:tc>
        <w:tc>
          <w:tcPr>
            <w:tcW w:w="1053" w:type="dxa"/>
            <w:tcBorders>
              <w:top w:val="nil"/>
              <w:left w:val="nil"/>
              <w:bottom w:val="single" w:sz="4" w:space="0" w:color="auto"/>
              <w:right w:val="single" w:sz="4" w:space="0" w:color="auto"/>
            </w:tcBorders>
            <w:noWrap/>
            <w:hideMark/>
          </w:tcPr>
          <w:p w14:paraId="7C1DC44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1 027</w:t>
            </w:r>
          </w:p>
        </w:tc>
        <w:tc>
          <w:tcPr>
            <w:tcW w:w="1553" w:type="dxa"/>
            <w:tcBorders>
              <w:top w:val="nil"/>
              <w:left w:val="nil"/>
              <w:bottom w:val="single" w:sz="4" w:space="0" w:color="auto"/>
              <w:right w:val="single" w:sz="4" w:space="0" w:color="auto"/>
            </w:tcBorders>
            <w:noWrap/>
            <w:hideMark/>
          </w:tcPr>
          <w:p w14:paraId="1CFF8DE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1 805</w:t>
            </w:r>
          </w:p>
        </w:tc>
      </w:tr>
      <w:tr w:rsidR="00107665" w:rsidRPr="00631C1C" w14:paraId="77CBD9E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96C10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20</w:t>
            </w:r>
          </w:p>
        </w:tc>
        <w:tc>
          <w:tcPr>
            <w:tcW w:w="2431" w:type="dxa"/>
            <w:tcBorders>
              <w:top w:val="nil"/>
              <w:left w:val="nil"/>
              <w:bottom w:val="single" w:sz="4" w:space="0" w:color="auto"/>
              <w:right w:val="single" w:sz="4" w:space="0" w:color="auto"/>
            </w:tcBorders>
            <w:noWrap/>
            <w:hideMark/>
          </w:tcPr>
          <w:p w14:paraId="61D3A6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Гвинея</w:t>
            </w:r>
          </w:p>
        </w:tc>
        <w:tc>
          <w:tcPr>
            <w:tcW w:w="1418" w:type="dxa"/>
            <w:tcBorders>
              <w:top w:val="nil"/>
              <w:left w:val="nil"/>
              <w:bottom w:val="single" w:sz="4" w:space="0" w:color="auto"/>
              <w:right w:val="single" w:sz="4" w:space="0" w:color="auto"/>
            </w:tcBorders>
            <w:noWrap/>
            <w:hideMark/>
          </w:tcPr>
          <w:p w14:paraId="0FB3D7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015964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D6B7D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FAF09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913630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18A2ED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272D68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21</w:t>
            </w:r>
          </w:p>
        </w:tc>
        <w:tc>
          <w:tcPr>
            <w:tcW w:w="2431" w:type="dxa"/>
            <w:tcBorders>
              <w:top w:val="nil"/>
              <w:left w:val="nil"/>
              <w:bottom w:val="single" w:sz="4" w:space="0" w:color="auto"/>
              <w:right w:val="single" w:sz="4" w:space="0" w:color="auto"/>
            </w:tcBorders>
            <w:noWrap/>
            <w:hideMark/>
          </w:tcPr>
          <w:p w14:paraId="6A9C8C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Гвинея-Бисау</w:t>
            </w:r>
          </w:p>
        </w:tc>
        <w:tc>
          <w:tcPr>
            <w:tcW w:w="1418" w:type="dxa"/>
            <w:tcBorders>
              <w:top w:val="nil"/>
              <w:left w:val="nil"/>
              <w:bottom w:val="single" w:sz="4" w:space="0" w:color="auto"/>
              <w:right w:val="single" w:sz="4" w:space="0" w:color="auto"/>
            </w:tcBorders>
            <w:noWrap/>
            <w:hideMark/>
          </w:tcPr>
          <w:p w14:paraId="12BF339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C2B55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574CB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C9CE9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ABAF6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77F897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D32EA6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22</w:t>
            </w:r>
          </w:p>
        </w:tc>
        <w:tc>
          <w:tcPr>
            <w:tcW w:w="2431" w:type="dxa"/>
            <w:tcBorders>
              <w:top w:val="nil"/>
              <w:left w:val="nil"/>
              <w:bottom w:val="single" w:sz="4" w:space="0" w:color="auto"/>
              <w:right w:val="single" w:sz="4" w:space="0" w:color="auto"/>
            </w:tcBorders>
            <w:noWrap/>
            <w:hideMark/>
          </w:tcPr>
          <w:p w14:paraId="55567F0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Кения</w:t>
            </w:r>
          </w:p>
        </w:tc>
        <w:tc>
          <w:tcPr>
            <w:tcW w:w="1418" w:type="dxa"/>
            <w:tcBorders>
              <w:top w:val="nil"/>
              <w:left w:val="nil"/>
              <w:bottom w:val="single" w:sz="4" w:space="0" w:color="auto"/>
              <w:right w:val="single" w:sz="4" w:space="0" w:color="auto"/>
            </w:tcBorders>
            <w:noWrap/>
            <w:hideMark/>
          </w:tcPr>
          <w:p w14:paraId="7253154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0,037</w:t>
            </w:r>
          </w:p>
        </w:tc>
        <w:tc>
          <w:tcPr>
            <w:tcW w:w="1417" w:type="dxa"/>
            <w:tcBorders>
              <w:top w:val="nil"/>
              <w:left w:val="nil"/>
              <w:bottom w:val="single" w:sz="4" w:space="0" w:color="auto"/>
              <w:right w:val="single" w:sz="4" w:space="0" w:color="auto"/>
            </w:tcBorders>
            <w:noWrap/>
            <w:hideMark/>
          </w:tcPr>
          <w:p w14:paraId="7863AB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0,0373</w:t>
            </w:r>
          </w:p>
        </w:tc>
        <w:tc>
          <w:tcPr>
            <w:tcW w:w="1073" w:type="dxa"/>
            <w:tcBorders>
              <w:top w:val="nil"/>
              <w:left w:val="nil"/>
              <w:bottom w:val="single" w:sz="4" w:space="0" w:color="auto"/>
              <w:right w:val="single" w:sz="4" w:space="0" w:color="auto"/>
            </w:tcBorders>
            <w:noWrap/>
            <w:hideMark/>
          </w:tcPr>
          <w:p w14:paraId="22BBA50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1 151</w:t>
            </w:r>
          </w:p>
        </w:tc>
        <w:tc>
          <w:tcPr>
            <w:tcW w:w="1053" w:type="dxa"/>
            <w:tcBorders>
              <w:top w:val="nil"/>
              <w:left w:val="nil"/>
              <w:bottom w:val="single" w:sz="4" w:space="0" w:color="auto"/>
              <w:right w:val="single" w:sz="4" w:space="0" w:color="auto"/>
            </w:tcBorders>
            <w:noWrap/>
            <w:hideMark/>
          </w:tcPr>
          <w:p w14:paraId="13B745F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1 520</w:t>
            </w:r>
          </w:p>
        </w:tc>
        <w:tc>
          <w:tcPr>
            <w:tcW w:w="1553" w:type="dxa"/>
            <w:tcBorders>
              <w:top w:val="nil"/>
              <w:left w:val="nil"/>
              <w:bottom w:val="single" w:sz="4" w:space="0" w:color="auto"/>
              <w:right w:val="single" w:sz="4" w:space="0" w:color="auto"/>
            </w:tcBorders>
            <w:noWrap/>
            <w:hideMark/>
          </w:tcPr>
          <w:p w14:paraId="79045D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2 671</w:t>
            </w:r>
          </w:p>
        </w:tc>
      </w:tr>
      <w:tr w:rsidR="00107665" w:rsidRPr="00631C1C" w14:paraId="4060820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2C86B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23</w:t>
            </w:r>
          </w:p>
        </w:tc>
        <w:tc>
          <w:tcPr>
            <w:tcW w:w="2431" w:type="dxa"/>
            <w:tcBorders>
              <w:top w:val="nil"/>
              <w:left w:val="nil"/>
              <w:bottom w:val="single" w:sz="4" w:space="0" w:color="auto"/>
              <w:right w:val="single" w:sz="4" w:space="0" w:color="auto"/>
            </w:tcBorders>
            <w:noWrap/>
            <w:hideMark/>
          </w:tcPr>
          <w:p w14:paraId="4DDF30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Лесото</w:t>
            </w:r>
          </w:p>
        </w:tc>
        <w:tc>
          <w:tcPr>
            <w:tcW w:w="1418" w:type="dxa"/>
            <w:tcBorders>
              <w:top w:val="nil"/>
              <w:left w:val="nil"/>
              <w:bottom w:val="single" w:sz="4" w:space="0" w:color="auto"/>
              <w:right w:val="single" w:sz="4" w:space="0" w:color="auto"/>
            </w:tcBorders>
            <w:noWrap/>
            <w:hideMark/>
          </w:tcPr>
          <w:p w14:paraId="06497E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C87E4F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468F05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8D819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5595D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52B780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168D89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24</w:t>
            </w:r>
          </w:p>
        </w:tc>
        <w:tc>
          <w:tcPr>
            <w:tcW w:w="2431" w:type="dxa"/>
            <w:tcBorders>
              <w:top w:val="nil"/>
              <w:left w:val="nil"/>
              <w:bottom w:val="single" w:sz="4" w:space="0" w:color="auto"/>
              <w:right w:val="single" w:sz="4" w:space="0" w:color="auto"/>
            </w:tcBorders>
            <w:noWrap/>
            <w:hideMark/>
          </w:tcPr>
          <w:p w14:paraId="3E4A5D2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Либерия</w:t>
            </w:r>
          </w:p>
        </w:tc>
        <w:tc>
          <w:tcPr>
            <w:tcW w:w="1418" w:type="dxa"/>
            <w:tcBorders>
              <w:top w:val="nil"/>
              <w:left w:val="nil"/>
              <w:bottom w:val="single" w:sz="4" w:space="0" w:color="auto"/>
              <w:right w:val="single" w:sz="4" w:space="0" w:color="auto"/>
            </w:tcBorders>
            <w:noWrap/>
            <w:hideMark/>
          </w:tcPr>
          <w:p w14:paraId="45E510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7FB94B4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28939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656487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5CAC9D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AEFEE5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FA7A8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25</w:t>
            </w:r>
          </w:p>
        </w:tc>
        <w:tc>
          <w:tcPr>
            <w:tcW w:w="2431" w:type="dxa"/>
            <w:tcBorders>
              <w:top w:val="nil"/>
              <w:left w:val="nil"/>
              <w:bottom w:val="single" w:sz="4" w:space="0" w:color="auto"/>
              <w:right w:val="single" w:sz="4" w:space="0" w:color="auto"/>
            </w:tcBorders>
            <w:noWrap/>
            <w:hideMark/>
          </w:tcPr>
          <w:p w14:paraId="6DEDF8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Мадагаскар</w:t>
            </w:r>
          </w:p>
        </w:tc>
        <w:tc>
          <w:tcPr>
            <w:tcW w:w="1418" w:type="dxa"/>
            <w:tcBorders>
              <w:top w:val="nil"/>
              <w:left w:val="nil"/>
              <w:bottom w:val="single" w:sz="4" w:space="0" w:color="auto"/>
              <w:right w:val="single" w:sz="4" w:space="0" w:color="auto"/>
            </w:tcBorders>
            <w:noWrap/>
            <w:hideMark/>
          </w:tcPr>
          <w:p w14:paraId="5D71F64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7802E0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15B65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A6465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889D65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2F11C4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198592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26</w:t>
            </w:r>
          </w:p>
        </w:tc>
        <w:tc>
          <w:tcPr>
            <w:tcW w:w="2431" w:type="dxa"/>
            <w:tcBorders>
              <w:top w:val="nil"/>
              <w:left w:val="nil"/>
              <w:bottom w:val="single" w:sz="4" w:space="0" w:color="auto"/>
              <w:right w:val="single" w:sz="4" w:space="0" w:color="auto"/>
            </w:tcBorders>
            <w:noWrap/>
            <w:hideMark/>
          </w:tcPr>
          <w:p w14:paraId="5CA1E2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Малави</w:t>
            </w:r>
          </w:p>
        </w:tc>
        <w:tc>
          <w:tcPr>
            <w:tcW w:w="1418" w:type="dxa"/>
            <w:tcBorders>
              <w:top w:val="nil"/>
              <w:left w:val="nil"/>
              <w:bottom w:val="single" w:sz="4" w:space="0" w:color="auto"/>
              <w:right w:val="single" w:sz="4" w:space="0" w:color="auto"/>
            </w:tcBorders>
            <w:noWrap/>
            <w:hideMark/>
          </w:tcPr>
          <w:p w14:paraId="4982AE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0,003</w:t>
            </w:r>
          </w:p>
        </w:tc>
        <w:tc>
          <w:tcPr>
            <w:tcW w:w="1417" w:type="dxa"/>
            <w:tcBorders>
              <w:top w:val="nil"/>
              <w:left w:val="nil"/>
              <w:bottom w:val="single" w:sz="4" w:space="0" w:color="auto"/>
              <w:right w:val="single" w:sz="4" w:space="0" w:color="auto"/>
            </w:tcBorders>
            <w:noWrap/>
            <w:hideMark/>
          </w:tcPr>
          <w:p w14:paraId="35624E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778812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4FF7B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5827338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8700F0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6D7E1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27</w:t>
            </w:r>
          </w:p>
        </w:tc>
        <w:tc>
          <w:tcPr>
            <w:tcW w:w="2431" w:type="dxa"/>
            <w:tcBorders>
              <w:top w:val="nil"/>
              <w:left w:val="nil"/>
              <w:bottom w:val="single" w:sz="4" w:space="0" w:color="auto"/>
              <w:right w:val="single" w:sz="4" w:space="0" w:color="auto"/>
            </w:tcBorders>
            <w:noWrap/>
            <w:hideMark/>
          </w:tcPr>
          <w:p w14:paraId="42E3C3E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Мали</w:t>
            </w:r>
          </w:p>
        </w:tc>
        <w:tc>
          <w:tcPr>
            <w:tcW w:w="1418" w:type="dxa"/>
            <w:tcBorders>
              <w:top w:val="nil"/>
              <w:left w:val="nil"/>
              <w:bottom w:val="single" w:sz="4" w:space="0" w:color="auto"/>
              <w:right w:val="single" w:sz="4" w:space="0" w:color="auto"/>
            </w:tcBorders>
            <w:noWrap/>
            <w:hideMark/>
          </w:tcPr>
          <w:p w14:paraId="36DFD2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439D76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ADE32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9526A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9BB7B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6871E9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DFDA8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28</w:t>
            </w:r>
          </w:p>
        </w:tc>
        <w:tc>
          <w:tcPr>
            <w:tcW w:w="2431" w:type="dxa"/>
            <w:tcBorders>
              <w:top w:val="nil"/>
              <w:left w:val="nil"/>
              <w:bottom w:val="single" w:sz="4" w:space="0" w:color="auto"/>
              <w:right w:val="single" w:sz="4" w:space="0" w:color="auto"/>
            </w:tcBorders>
            <w:noWrap/>
            <w:hideMark/>
          </w:tcPr>
          <w:p w14:paraId="7744AD0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Мавритания</w:t>
            </w:r>
          </w:p>
        </w:tc>
        <w:tc>
          <w:tcPr>
            <w:tcW w:w="1418" w:type="dxa"/>
            <w:tcBorders>
              <w:top w:val="nil"/>
              <w:left w:val="nil"/>
              <w:bottom w:val="single" w:sz="4" w:space="0" w:color="auto"/>
              <w:right w:val="single" w:sz="4" w:space="0" w:color="auto"/>
            </w:tcBorders>
            <w:noWrap/>
            <w:hideMark/>
          </w:tcPr>
          <w:p w14:paraId="20AFF2D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0,003</w:t>
            </w:r>
          </w:p>
        </w:tc>
        <w:tc>
          <w:tcPr>
            <w:tcW w:w="1417" w:type="dxa"/>
            <w:tcBorders>
              <w:top w:val="nil"/>
              <w:left w:val="nil"/>
              <w:bottom w:val="single" w:sz="4" w:space="0" w:color="auto"/>
              <w:right w:val="single" w:sz="4" w:space="0" w:color="auto"/>
            </w:tcBorders>
            <w:noWrap/>
            <w:hideMark/>
          </w:tcPr>
          <w:p w14:paraId="1902F1C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1030F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D87CC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DB3671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67EEBE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8AD98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29</w:t>
            </w:r>
          </w:p>
        </w:tc>
        <w:tc>
          <w:tcPr>
            <w:tcW w:w="2431" w:type="dxa"/>
            <w:tcBorders>
              <w:top w:val="nil"/>
              <w:left w:val="nil"/>
              <w:bottom w:val="single" w:sz="4" w:space="0" w:color="auto"/>
              <w:right w:val="single" w:sz="4" w:space="0" w:color="auto"/>
            </w:tcBorders>
            <w:noWrap/>
            <w:hideMark/>
          </w:tcPr>
          <w:p w14:paraId="56BB1E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Маврикий</w:t>
            </w:r>
          </w:p>
        </w:tc>
        <w:tc>
          <w:tcPr>
            <w:tcW w:w="1418" w:type="dxa"/>
            <w:tcBorders>
              <w:top w:val="nil"/>
              <w:left w:val="nil"/>
              <w:bottom w:val="single" w:sz="4" w:space="0" w:color="auto"/>
              <w:right w:val="single" w:sz="4" w:space="0" w:color="auto"/>
            </w:tcBorders>
            <w:noWrap/>
            <w:hideMark/>
          </w:tcPr>
          <w:p w14:paraId="638437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624DF5B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63D8F1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14A9614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4105CC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1AF942A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E2BB82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30</w:t>
            </w:r>
          </w:p>
        </w:tc>
        <w:tc>
          <w:tcPr>
            <w:tcW w:w="2431" w:type="dxa"/>
            <w:tcBorders>
              <w:top w:val="nil"/>
              <w:left w:val="nil"/>
              <w:bottom w:val="single" w:sz="4" w:space="0" w:color="auto"/>
              <w:right w:val="single" w:sz="4" w:space="0" w:color="auto"/>
            </w:tcBorders>
            <w:noWrap/>
            <w:hideMark/>
          </w:tcPr>
          <w:p w14:paraId="0E44B0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Мозамбик</w:t>
            </w:r>
          </w:p>
        </w:tc>
        <w:tc>
          <w:tcPr>
            <w:tcW w:w="1418" w:type="dxa"/>
            <w:tcBorders>
              <w:top w:val="nil"/>
              <w:left w:val="nil"/>
              <w:bottom w:val="single" w:sz="4" w:space="0" w:color="auto"/>
              <w:right w:val="single" w:sz="4" w:space="0" w:color="auto"/>
            </w:tcBorders>
            <w:noWrap/>
            <w:hideMark/>
          </w:tcPr>
          <w:p w14:paraId="7C403D6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4780A5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D65C6C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486715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4B6FC4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8439F7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77EDB1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31</w:t>
            </w:r>
          </w:p>
        </w:tc>
        <w:tc>
          <w:tcPr>
            <w:tcW w:w="2431" w:type="dxa"/>
            <w:tcBorders>
              <w:top w:val="nil"/>
              <w:left w:val="nil"/>
              <w:bottom w:val="single" w:sz="4" w:space="0" w:color="auto"/>
              <w:right w:val="single" w:sz="4" w:space="0" w:color="auto"/>
            </w:tcBorders>
            <w:noWrap/>
            <w:hideMark/>
          </w:tcPr>
          <w:p w14:paraId="08A87D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Намибия</w:t>
            </w:r>
          </w:p>
        </w:tc>
        <w:tc>
          <w:tcPr>
            <w:tcW w:w="1418" w:type="dxa"/>
            <w:tcBorders>
              <w:top w:val="nil"/>
              <w:left w:val="nil"/>
              <w:bottom w:val="single" w:sz="4" w:space="0" w:color="auto"/>
              <w:right w:val="single" w:sz="4" w:space="0" w:color="auto"/>
            </w:tcBorders>
            <w:noWrap/>
            <w:hideMark/>
          </w:tcPr>
          <w:p w14:paraId="42F1661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41E591C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F15BB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FD1CE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EF0002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CD90CF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5490E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32</w:t>
            </w:r>
          </w:p>
        </w:tc>
        <w:tc>
          <w:tcPr>
            <w:tcW w:w="2431" w:type="dxa"/>
            <w:tcBorders>
              <w:top w:val="nil"/>
              <w:left w:val="nil"/>
              <w:bottom w:val="single" w:sz="4" w:space="0" w:color="auto"/>
              <w:right w:val="single" w:sz="4" w:space="0" w:color="auto"/>
            </w:tcBorders>
            <w:noWrap/>
            <w:hideMark/>
          </w:tcPr>
          <w:p w14:paraId="5EC099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Нигер</w:t>
            </w:r>
          </w:p>
        </w:tc>
        <w:tc>
          <w:tcPr>
            <w:tcW w:w="1418" w:type="dxa"/>
            <w:tcBorders>
              <w:top w:val="nil"/>
              <w:left w:val="nil"/>
              <w:bottom w:val="single" w:sz="4" w:space="0" w:color="auto"/>
              <w:right w:val="single" w:sz="4" w:space="0" w:color="auto"/>
            </w:tcBorders>
            <w:noWrap/>
            <w:hideMark/>
          </w:tcPr>
          <w:p w14:paraId="1DDF18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12B078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71273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9E0B3E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C62FE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FE04EB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DD49E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33</w:t>
            </w:r>
          </w:p>
        </w:tc>
        <w:tc>
          <w:tcPr>
            <w:tcW w:w="2431" w:type="dxa"/>
            <w:tcBorders>
              <w:top w:val="nil"/>
              <w:left w:val="nil"/>
              <w:bottom w:val="single" w:sz="4" w:space="0" w:color="auto"/>
              <w:right w:val="single" w:sz="4" w:space="0" w:color="auto"/>
            </w:tcBorders>
            <w:noWrap/>
            <w:hideMark/>
          </w:tcPr>
          <w:p w14:paraId="50C7003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Нигерия</w:t>
            </w:r>
          </w:p>
        </w:tc>
        <w:tc>
          <w:tcPr>
            <w:tcW w:w="1418" w:type="dxa"/>
            <w:tcBorders>
              <w:top w:val="nil"/>
              <w:left w:val="nil"/>
              <w:bottom w:val="single" w:sz="4" w:space="0" w:color="auto"/>
              <w:right w:val="single" w:sz="4" w:space="0" w:color="auto"/>
            </w:tcBorders>
            <w:noWrap/>
            <w:hideMark/>
          </w:tcPr>
          <w:p w14:paraId="7D5F51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0,15</w:t>
            </w:r>
          </w:p>
        </w:tc>
        <w:tc>
          <w:tcPr>
            <w:tcW w:w="1417" w:type="dxa"/>
            <w:tcBorders>
              <w:top w:val="nil"/>
              <w:left w:val="nil"/>
              <w:bottom w:val="single" w:sz="4" w:space="0" w:color="auto"/>
              <w:right w:val="single" w:sz="4" w:space="0" w:color="auto"/>
            </w:tcBorders>
            <w:noWrap/>
            <w:hideMark/>
          </w:tcPr>
          <w:p w14:paraId="4CD71A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0,1514</w:t>
            </w:r>
          </w:p>
        </w:tc>
        <w:tc>
          <w:tcPr>
            <w:tcW w:w="1073" w:type="dxa"/>
            <w:tcBorders>
              <w:top w:val="nil"/>
              <w:left w:val="nil"/>
              <w:bottom w:val="single" w:sz="4" w:space="0" w:color="auto"/>
              <w:right w:val="single" w:sz="4" w:space="0" w:color="auto"/>
            </w:tcBorders>
            <w:noWrap/>
            <w:hideMark/>
          </w:tcPr>
          <w:p w14:paraId="7320E19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4 668</w:t>
            </w:r>
          </w:p>
        </w:tc>
        <w:tc>
          <w:tcPr>
            <w:tcW w:w="1053" w:type="dxa"/>
            <w:tcBorders>
              <w:top w:val="nil"/>
              <w:left w:val="nil"/>
              <w:bottom w:val="single" w:sz="4" w:space="0" w:color="auto"/>
              <w:right w:val="single" w:sz="4" w:space="0" w:color="auto"/>
            </w:tcBorders>
            <w:noWrap/>
            <w:hideMark/>
          </w:tcPr>
          <w:p w14:paraId="4F7B3B1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6 161</w:t>
            </w:r>
          </w:p>
        </w:tc>
        <w:tc>
          <w:tcPr>
            <w:tcW w:w="1553" w:type="dxa"/>
            <w:tcBorders>
              <w:top w:val="nil"/>
              <w:left w:val="nil"/>
              <w:bottom w:val="single" w:sz="4" w:space="0" w:color="auto"/>
              <w:right w:val="single" w:sz="4" w:space="0" w:color="auto"/>
            </w:tcBorders>
            <w:noWrap/>
            <w:hideMark/>
          </w:tcPr>
          <w:p w14:paraId="4595D38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10 829</w:t>
            </w:r>
          </w:p>
        </w:tc>
      </w:tr>
      <w:tr w:rsidR="00107665" w:rsidRPr="00631C1C" w14:paraId="0E0B07E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B387B3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34</w:t>
            </w:r>
          </w:p>
        </w:tc>
        <w:tc>
          <w:tcPr>
            <w:tcW w:w="2431" w:type="dxa"/>
            <w:tcBorders>
              <w:top w:val="nil"/>
              <w:left w:val="nil"/>
              <w:bottom w:val="single" w:sz="4" w:space="0" w:color="auto"/>
              <w:right w:val="single" w:sz="4" w:space="0" w:color="auto"/>
            </w:tcBorders>
            <w:noWrap/>
            <w:hideMark/>
          </w:tcPr>
          <w:p w14:paraId="40DB40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Руанда</w:t>
            </w:r>
          </w:p>
        </w:tc>
        <w:tc>
          <w:tcPr>
            <w:tcW w:w="1418" w:type="dxa"/>
            <w:tcBorders>
              <w:top w:val="nil"/>
              <w:left w:val="nil"/>
              <w:bottom w:val="single" w:sz="4" w:space="0" w:color="auto"/>
              <w:right w:val="single" w:sz="4" w:space="0" w:color="auto"/>
            </w:tcBorders>
            <w:noWrap/>
            <w:hideMark/>
          </w:tcPr>
          <w:p w14:paraId="364AFF9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0,003</w:t>
            </w:r>
          </w:p>
        </w:tc>
        <w:tc>
          <w:tcPr>
            <w:tcW w:w="1417" w:type="dxa"/>
            <w:tcBorders>
              <w:top w:val="nil"/>
              <w:left w:val="nil"/>
              <w:bottom w:val="single" w:sz="4" w:space="0" w:color="auto"/>
              <w:right w:val="single" w:sz="4" w:space="0" w:color="auto"/>
            </w:tcBorders>
            <w:noWrap/>
            <w:hideMark/>
          </w:tcPr>
          <w:p w14:paraId="763BDF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1FD128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4BD60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02607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0C63D9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83A3B7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35</w:t>
            </w:r>
          </w:p>
        </w:tc>
        <w:tc>
          <w:tcPr>
            <w:tcW w:w="2431" w:type="dxa"/>
            <w:tcBorders>
              <w:top w:val="nil"/>
              <w:left w:val="nil"/>
              <w:bottom w:val="single" w:sz="4" w:space="0" w:color="auto"/>
              <w:right w:val="single" w:sz="4" w:space="0" w:color="auto"/>
            </w:tcBorders>
            <w:noWrap/>
            <w:hideMark/>
          </w:tcPr>
          <w:p w14:paraId="4D0776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Сан-Томе и Принсипи</w:t>
            </w:r>
          </w:p>
        </w:tc>
        <w:tc>
          <w:tcPr>
            <w:tcW w:w="1418" w:type="dxa"/>
            <w:tcBorders>
              <w:top w:val="nil"/>
              <w:left w:val="nil"/>
              <w:bottom w:val="single" w:sz="4" w:space="0" w:color="auto"/>
              <w:right w:val="single" w:sz="4" w:space="0" w:color="auto"/>
            </w:tcBorders>
            <w:noWrap/>
            <w:hideMark/>
          </w:tcPr>
          <w:p w14:paraId="324CAC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2707E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09FCB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D50C7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5F0152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D7BA07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03645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36</w:t>
            </w:r>
          </w:p>
        </w:tc>
        <w:tc>
          <w:tcPr>
            <w:tcW w:w="2431" w:type="dxa"/>
            <w:tcBorders>
              <w:top w:val="nil"/>
              <w:left w:val="nil"/>
              <w:bottom w:val="single" w:sz="4" w:space="0" w:color="auto"/>
              <w:right w:val="single" w:sz="4" w:space="0" w:color="auto"/>
            </w:tcBorders>
            <w:noWrap/>
            <w:hideMark/>
          </w:tcPr>
          <w:p w14:paraId="1D27DD3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Сенегал</w:t>
            </w:r>
          </w:p>
        </w:tc>
        <w:tc>
          <w:tcPr>
            <w:tcW w:w="1418" w:type="dxa"/>
            <w:tcBorders>
              <w:top w:val="nil"/>
              <w:left w:val="nil"/>
              <w:bottom w:val="single" w:sz="4" w:space="0" w:color="auto"/>
              <w:right w:val="single" w:sz="4" w:space="0" w:color="auto"/>
            </w:tcBorders>
            <w:noWrap/>
            <w:hideMark/>
          </w:tcPr>
          <w:p w14:paraId="1D5E6C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4A81154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519CA4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97150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B1C73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2D3557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AC7359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37</w:t>
            </w:r>
          </w:p>
        </w:tc>
        <w:tc>
          <w:tcPr>
            <w:tcW w:w="2431" w:type="dxa"/>
            <w:tcBorders>
              <w:top w:val="nil"/>
              <w:left w:val="nil"/>
              <w:bottom w:val="single" w:sz="4" w:space="0" w:color="auto"/>
              <w:right w:val="single" w:sz="4" w:space="0" w:color="auto"/>
            </w:tcBorders>
            <w:noWrap/>
            <w:hideMark/>
          </w:tcPr>
          <w:p w14:paraId="5760C01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Сейшельские Острова</w:t>
            </w:r>
          </w:p>
        </w:tc>
        <w:tc>
          <w:tcPr>
            <w:tcW w:w="1418" w:type="dxa"/>
            <w:tcBorders>
              <w:top w:val="nil"/>
              <w:left w:val="nil"/>
              <w:bottom w:val="single" w:sz="4" w:space="0" w:color="auto"/>
              <w:right w:val="single" w:sz="4" w:space="0" w:color="auto"/>
            </w:tcBorders>
            <w:noWrap/>
            <w:hideMark/>
          </w:tcPr>
          <w:p w14:paraId="35B54B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072EB7B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649A6B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28CA04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7EDA4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A90C78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081ACA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38</w:t>
            </w:r>
          </w:p>
        </w:tc>
        <w:tc>
          <w:tcPr>
            <w:tcW w:w="2431" w:type="dxa"/>
            <w:tcBorders>
              <w:top w:val="nil"/>
              <w:left w:val="nil"/>
              <w:bottom w:val="single" w:sz="4" w:space="0" w:color="auto"/>
              <w:right w:val="single" w:sz="4" w:space="0" w:color="auto"/>
            </w:tcBorders>
            <w:noWrap/>
            <w:hideMark/>
          </w:tcPr>
          <w:p w14:paraId="19C9BC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Сьерра-Леоне</w:t>
            </w:r>
          </w:p>
        </w:tc>
        <w:tc>
          <w:tcPr>
            <w:tcW w:w="1418" w:type="dxa"/>
            <w:tcBorders>
              <w:top w:val="nil"/>
              <w:left w:val="nil"/>
              <w:bottom w:val="single" w:sz="4" w:space="0" w:color="auto"/>
              <w:right w:val="single" w:sz="4" w:space="0" w:color="auto"/>
            </w:tcBorders>
            <w:noWrap/>
            <w:hideMark/>
          </w:tcPr>
          <w:p w14:paraId="6B5992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666344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949DE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1EC38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E400F1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5B169C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F43EA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39</w:t>
            </w:r>
          </w:p>
        </w:tc>
        <w:tc>
          <w:tcPr>
            <w:tcW w:w="2431" w:type="dxa"/>
            <w:tcBorders>
              <w:top w:val="nil"/>
              <w:left w:val="nil"/>
              <w:bottom w:val="single" w:sz="4" w:space="0" w:color="auto"/>
              <w:right w:val="single" w:sz="4" w:space="0" w:color="auto"/>
            </w:tcBorders>
            <w:noWrap/>
            <w:hideMark/>
          </w:tcPr>
          <w:p w14:paraId="5B8AE3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Южная Африка</w:t>
            </w:r>
          </w:p>
        </w:tc>
        <w:tc>
          <w:tcPr>
            <w:tcW w:w="1418" w:type="dxa"/>
            <w:tcBorders>
              <w:top w:val="nil"/>
              <w:left w:val="nil"/>
              <w:bottom w:val="single" w:sz="4" w:space="0" w:color="auto"/>
              <w:right w:val="single" w:sz="4" w:space="0" w:color="auto"/>
            </w:tcBorders>
            <w:noWrap/>
            <w:hideMark/>
          </w:tcPr>
          <w:p w14:paraId="7A4252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0,251</w:t>
            </w:r>
          </w:p>
        </w:tc>
        <w:tc>
          <w:tcPr>
            <w:tcW w:w="1417" w:type="dxa"/>
            <w:tcBorders>
              <w:top w:val="nil"/>
              <w:left w:val="nil"/>
              <w:bottom w:val="single" w:sz="4" w:space="0" w:color="auto"/>
              <w:right w:val="single" w:sz="4" w:space="0" w:color="auto"/>
            </w:tcBorders>
            <w:noWrap/>
            <w:hideMark/>
          </w:tcPr>
          <w:p w14:paraId="5D74925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0,2533</w:t>
            </w:r>
          </w:p>
        </w:tc>
        <w:tc>
          <w:tcPr>
            <w:tcW w:w="1073" w:type="dxa"/>
            <w:tcBorders>
              <w:top w:val="nil"/>
              <w:left w:val="nil"/>
              <w:bottom w:val="single" w:sz="4" w:space="0" w:color="auto"/>
              <w:right w:val="single" w:sz="4" w:space="0" w:color="auto"/>
            </w:tcBorders>
            <w:noWrap/>
            <w:hideMark/>
          </w:tcPr>
          <w:p w14:paraId="5C1EBC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7 811</w:t>
            </w:r>
          </w:p>
        </w:tc>
        <w:tc>
          <w:tcPr>
            <w:tcW w:w="1053" w:type="dxa"/>
            <w:tcBorders>
              <w:top w:val="nil"/>
              <w:left w:val="nil"/>
              <w:bottom w:val="single" w:sz="4" w:space="0" w:color="auto"/>
              <w:right w:val="single" w:sz="4" w:space="0" w:color="auto"/>
            </w:tcBorders>
            <w:noWrap/>
            <w:hideMark/>
          </w:tcPr>
          <w:p w14:paraId="222A54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10 309</w:t>
            </w:r>
          </w:p>
        </w:tc>
        <w:tc>
          <w:tcPr>
            <w:tcW w:w="1553" w:type="dxa"/>
            <w:tcBorders>
              <w:top w:val="nil"/>
              <w:left w:val="nil"/>
              <w:bottom w:val="single" w:sz="4" w:space="0" w:color="auto"/>
              <w:right w:val="single" w:sz="4" w:space="0" w:color="auto"/>
            </w:tcBorders>
            <w:noWrap/>
            <w:hideMark/>
          </w:tcPr>
          <w:p w14:paraId="4D08CD1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18 120</w:t>
            </w:r>
          </w:p>
        </w:tc>
      </w:tr>
      <w:tr w:rsidR="00107665" w:rsidRPr="00631C1C" w14:paraId="3A3B1AB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23524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lastRenderedPageBreak/>
              <w:t>40</w:t>
            </w:r>
          </w:p>
        </w:tc>
        <w:tc>
          <w:tcPr>
            <w:tcW w:w="2431" w:type="dxa"/>
            <w:tcBorders>
              <w:top w:val="nil"/>
              <w:left w:val="nil"/>
              <w:bottom w:val="single" w:sz="4" w:space="0" w:color="auto"/>
              <w:right w:val="single" w:sz="4" w:space="0" w:color="auto"/>
            </w:tcBorders>
            <w:noWrap/>
            <w:hideMark/>
          </w:tcPr>
          <w:p w14:paraId="2BCE0C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Того</w:t>
            </w:r>
          </w:p>
        </w:tc>
        <w:tc>
          <w:tcPr>
            <w:tcW w:w="1418" w:type="dxa"/>
            <w:tcBorders>
              <w:top w:val="nil"/>
              <w:left w:val="nil"/>
              <w:bottom w:val="single" w:sz="4" w:space="0" w:color="auto"/>
              <w:right w:val="single" w:sz="4" w:space="0" w:color="auto"/>
            </w:tcBorders>
            <w:noWrap/>
            <w:hideMark/>
          </w:tcPr>
          <w:p w14:paraId="1AD273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1694B8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26B6D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E5DFD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6D1D0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A6C43A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7C1E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41</w:t>
            </w:r>
          </w:p>
        </w:tc>
        <w:tc>
          <w:tcPr>
            <w:tcW w:w="2431" w:type="dxa"/>
            <w:tcBorders>
              <w:top w:val="nil"/>
              <w:left w:val="nil"/>
              <w:bottom w:val="single" w:sz="4" w:space="0" w:color="auto"/>
              <w:right w:val="single" w:sz="4" w:space="0" w:color="auto"/>
            </w:tcBorders>
            <w:noWrap/>
            <w:hideMark/>
          </w:tcPr>
          <w:p w14:paraId="1CAD7C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Уганда</w:t>
            </w:r>
          </w:p>
        </w:tc>
        <w:tc>
          <w:tcPr>
            <w:tcW w:w="1418" w:type="dxa"/>
            <w:tcBorders>
              <w:top w:val="nil"/>
              <w:left w:val="nil"/>
              <w:bottom w:val="single" w:sz="4" w:space="0" w:color="auto"/>
              <w:right w:val="single" w:sz="4" w:space="0" w:color="auto"/>
            </w:tcBorders>
            <w:noWrap/>
            <w:hideMark/>
          </w:tcPr>
          <w:p w14:paraId="469B079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448005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7E5176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163A84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5E096B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4619F08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66CBAA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42</w:t>
            </w:r>
          </w:p>
        </w:tc>
        <w:tc>
          <w:tcPr>
            <w:tcW w:w="2431" w:type="dxa"/>
            <w:tcBorders>
              <w:top w:val="nil"/>
              <w:left w:val="nil"/>
              <w:bottom w:val="single" w:sz="4" w:space="0" w:color="auto"/>
              <w:right w:val="single" w:sz="4" w:space="0" w:color="auto"/>
            </w:tcBorders>
            <w:noWrap/>
            <w:hideMark/>
          </w:tcPr>
          <w:p w14:paraId="6440A5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Объединенная Республика Танзания</w:t>
            </w:r>
          </w:p>
        </w:tc>
        <w:tc>
          <w:tcPr>
            <w:tcW w:w="1418" w:type="dxa"/>
            <w:tcBorders>
              <w:top w:val="nil"/>
              <w:left w:val="nil"/>
              <w:bottom w:val="single" w:sz="4" w:space="0" w:color="auto"/>
              <w:right w:val="single" w:sz="4" w:space="0" w:color="auto"/>
            </w:tcBorders>
            <w:noWrap/>
            <w:hideMark/>
          </w:tcPr>
          <w:p w14:paraId="1F1CF8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357A23F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29C32D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3FB82E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17E1A23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0FD5FBB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C2C3F6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43</w:t>
            </w:r>
          </w:p>
        </w:tc>
        <w:tc>
          <w:tcPr>
            <w:tcW w:w="2431" w:type="dxa"/>
            <w:tcBorders>
              <w:top w:val="nil"/>
              <w:left w:val="nil"/>
              <w:bottom w:val="single" w:sz="4" w:space="0" w:color="auto"/>
              <w:right w:val="single" w:sz="4" w:space="0" w:color="auto"/>
            </w:tcBorders>
            <w:noWrap/>
            <w:hideMark/>
          </w:tcPr>
          <w:p w14:paraId="7888671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Замбия</w:t>
            </w:r>
          </w:p>
        </w:tc>
        <w:tc>
          <w:tcPr>
            <w:tcW w:w="1418" w:type="dxa"/>
            <w:tcBorders>
              <w:top w:val="nil"/>
              <w:left w:val="nil"/>
              <w:bottom w:val="single" w:sz="4" w:space="0" w:color="auto"/>
              <w:right w:val="single" w:sz="4" w:space="0" w:color="auto"/>
            </w:tcBorders>
            <w:noWrap/>
            <w:hideMark/>
          </w:tcPr>
          <w:p w14:paraId="23E8E5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0,006</w:t>
            </w:r>
          </w:p>
        </w:tc>
        <w:tc>
          <w:tcPr>
            <w:tcW w:w="1417" w:type="dxa"/>
            <w:tcBorders>
              <w:top w:val="nil"/>
              <w:left w:val="nil"/>
              <w:bottom w:val="single" w:sz="4" w:space="0" w:color="auto"/>
              <w:right w:val="single" w:sz="4" w:space="0" w:color="auto"/>
            </w:tcBorders>
            <w:noWrap/>
            <w:hideMark/>
          </w:tcPr>
          <w:p w14:paraId="38C8C0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88B434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61A0FCA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80917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9B8C50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F253F1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44</w:t>
            </w:r>
          </w:p>
        </w:tc>
        <w:tc>
          <w:tcPr>
            <w:tcW w:w="2431" w:type="dxa"/>
            <w:tcBorders>
              <w:top w:val="nil"/>
              <w:left w:val="nil"/>
              <w:bottom w:val="single" w:sz="4" w:space="0" w:color="auto"/>
              <w:right w:val="single" w:sz="4" w:space="0" w:color="auto"/>
            </w:tcBorders>
            <w:noWrap/>
            <w:hideMark/>
          </w:tcPr>
          <w:p w14:paraId="72F333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Зимбабве</w:t>
            </w:r>
          </w:p>
        </w:tc>
        <w:tc>
          <w:tcPr>
            <w:tcW w:w="1418" w:type="dxa"/>
            <w:tcBorders>
              <w:top w:val="nil"/>
              <w:left w:val="nil"/>
              <w:bottom w:val="single" w:sz="4" w:space="0" w:color="auto"/>
              <w:right w:val="single" w:sz="4" w:space="0" w:color="auto"/>
            </w:tcBorders>
            <w:noWrap/>
            <w:hideMark/>
          </w:tcPr>
          <w:p w14:paraId="7719C0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320A8E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A1608F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A62130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F8057E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A87A26" w14:paraId="60809093" w14:textId="77777777" w:rsidTr="008E43FF">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006C9443" w14:textId="77777777" w:rsidR="00107665" w:rsidRPr="00797888"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r>
              <w:rPr>
                <w:b/>
                <w:bCs/>
                <w:color w:val="000000"/>
                <w:lang w:val="ru-RU"/>
              </w:rPr>
              <w:t>Государства Азии и Тихого океана (38)</w:t>
            </w:r>
          </w:p>
        </w:tc>
      </w:tr>
      <w:tr w:rsidR="00107665" w:rsidRPr="00631C1C" w14:paraId="4F3DBED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F37471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45</w:t>
            </w:r>
          </w:p>
        </w:tc>
        <w:tc>
          <w:tcPr>
            <w:tcW w:w="2431" w:type="dxa"/>
            <w:tcBorders>
              <w:top w:val="nil"/>
              <w:left w:val="nil"/>
              <w:bottom w:val="single" w:sz="4" w:space="0" w:color="auto"/>
              <w:right w:val="single" w:sz="4" w:space="0" w:color="auto"/>
            </w:tcBorders>
            <w:noWrap/>
            <w:hideMark/>
          </w:tcPr>
          <w:p w14:paraId="46B04EE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Афганистан</w:t>
            </w:r>
          </w:p>
        </w:tc>
        <w:tc>
          <w:tcPr>
            <w:tcW w:w="1418" w:type="dxa"/>
            <w:tcBorders>
              <w:top w:val="nil"/>
              <w:left w:val="nil"/>
              <w:bottom w:val="single" w:sz="4" w:space="0" w:color="auto"/>
              <w:right w:val="single" w:sz="4" w:space="0" w:color="auto"/>
            </w:tcBorders>
            <w:noWrap/>
            <w:hideMark/>
          </w:tcPr>
          <w:p w14:paraId="74CF90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59F466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0050B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C89FB6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47ECAF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97E09C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ED059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46</w:t>
            </w:r>
          </w:p>
        </w:tc>
        <w:tc>
          <w:tcPr>
            <w:tcW w:w="2431" w:type="dxa"/>
            <w:tcBorders>
              <w:top w:val="nil"/>
              <w:left w:val="nil"/>
              <w:bottom w:val="single" w:sz="4" w:space="0" w:color="auto"/>
              <w:right w:val="single" w:sz="4" w:space="0" w:color="auto"/>
            </w:tcBorders>
            <w:noWrap/>
            <w:hideMark/>
          </w:tcPr>
          <w:p w14:paraId="6A1904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Бахрейн</w:t>
            </w:r>
          </w:p>
        </w:tc>
        <w:tc>
          <w:tcPr>
            <w:tcW w:w="1418" w:type="dxa"/>
            <w:tcBorders>
              <w:top w:val="nil"/>
              <w:left w:val="nil"/>
              <w:bottom w:val="single" w:sz="4" w:space="0" w:color="auto"/>
              <w:right w:val="single" w:sz="4" w:space="0" w:color="auto"/>
            </w:tcBorders>
            <w:noWrap/>
            <w:hideMark/>
          </w:tcPr>
          <w:p w14:paraId="5CD7D1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0,05</w:t>
            </w:r>
          </w:p>
        </w:tc>
        <w:tc>
          <w:tcPr>
            <w:tcW w:w="1417" w:type="dxa"/>
            <w:tcBorders>
              <w:top w:val="nil"/>
              <w:left w:val="nil"/>
              <w:bottom w:val="single" w:sz="4" w:space="0" w:color="auto"/>
              <w:right w:val="single" w:sz="4" w:space="0" w:color="auto"/>
            </w:tcBorders>
            <w:noWrap/>
            <w:hideMark/>
          </w:tcPr>
          <w:p w14:paraId="5E9E4AD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0,0505</w:t>
            </w:r>
          </w:p>
        </w:tc>
        <w:tc>
          <w:tcPr>
            <w:tcW w:w="1073" w:type="dxa"/>
            <w:tcBorders>
              <w:top w:val="nil"/>
              <w:left w:val="nil"/>
              <w:bottom w:val="single" w:sz="4" w:space="0" w:color="auto"/>
              <w:right w:val="single" w:sz="4" w:space="0" w:color="auto"/>
            </w:tcBorders>
            <w:noWrap/>
            <w:hideMark/>
          </w:tcPr>
          <w:p w14:paraId="79A911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1 556</w:t>
            </w:r>
          </w:p>
        </w:tc>
        <w:tc>
          <w:tcPr>
            <w:tcW w:w="1053" w:type="dxa"/>
            <w:tcBorders>
              <w:top w:val="nil"/>
              <w:left w:val="nil"/>
              <w:bottom w:val="single" w:sz="4" w:space="0" w:color="auto"/>
              <w:right w:val="single" w:sz="4" w:space="0" w:color="auto"/>
            </w:tcBorders>
            <w:noWrap/>
            <w:hideMark/>
          </w:tcPr>
          <w:p w14:paraId="660623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2 054</w:t>
            </w:r>
          </w:p>
        </w:tc>
        <w:tc>
          <w:tcPr>
            <w:tcW w:w="1553" w:type="dxa"/>
            <w:tcBorders>
              <w:top w:val="nil"/>
              <w:left w:val="nil"/>
              <w:bottom w:val="single" w:sz="4" w:space="0" w:color="auto"/>
              <w:right w:val="single" w:sz="4" w:space="0" w:color="auto"/>
            </w:tcBorders>
            <w:noWrap/>
            <w:hideMark/>
          </w:tcPr>
          <w:p w14:paraId="149D16B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3 610</w:t>
            </w:r>
          </w:p>
        </w:tc>
      </w:tr>
      <w:tr w:rsidR="00107665" w:rsidRPr="00631C1C" w14:paraId="6A2B395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3491A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47</w:t>
            </w:r>
          </w:p>
        </w:tc>
        <w:tc>
          <w:tcPr>
            <w:tcW w:w="2431" w:type="dxa"/>
            <w:tcBorders>
              <w:top w:val="nil"/>
              <w:left w:val="nil"/>
              <w:bottom w:val="single" w:sz="4" w:space="0" w:color="auto"/>
              <w:right w:val="single" w:sz="4" w:space="0" w:color="auto"/>
            </w:tcBorders>
            <w:noWrap/>
            <w:hideMark/>
          </w:tcPr>
          <w:p w14:paraId="4691A92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Бангладеш</w:t>
            </w:r>
          </w:p>
        </w:tc>
        <w:tc>
          <w:tcPr>
            <w:tcW w:w="1418" w:type="dxa"/>
            <w:tcBorders>
              <w:top w:val="nil"/>
              <w:left w:val="nil"/>
              <w:bottom w:val="single" w:sz="4" w:space="0" w:color="auto"/>
              <w:right w:val="single" w:sz="4" w:space="0" w:color="auto"/>
            </w:tcBorders>
            <w:noWrap/>
            <w:hideMark/>
          </w:tcPr>
          <w:p w14:paraId="5D1327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42DEDCF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7ACF17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75C12B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0EA4FA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5525889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743E94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48</w:t>
            </w:r>
          </w:p>
        </w:tc>
        <w:tc>
          <w:tcPr>
            <w:tcW w:w="2431" w:type="dxa"/>
            <w:tcBorders>
              <w:top w:val="nil"/>
              <w:left w:val="nil"/>
              <w:bottom w:val="single" w:sz="4" w:space="0" w:color="auto"/>
              <w:right w:val="single" w:sz="4" w:space="0" w:color="auto"/>
            </w:tcBorders>
            <w:noWrap/>
            <w:hideMark/>
          </w:tcPr>
          <w:p w14:paraId="2359B38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Камбоджа</w:t>
            </w:r>
          </w:p>
        </w:tc>
        <w:tc>
          <w:tcPr>
            <w:tcW w:w="1418" w:type="dxa"/>
            <w:tcBorders>
              <w:top w:val="nil"/>
              <w:left w:val="nil"/>
              <w:bottom w:val="single" w:sz="4" w:space="0" w:color="auto"/>
              <w:right w:val="single" w:sz="4" w:space="0" w:color="auto"/>
            </w:tcBorders>
            <w:noWrap/>
            <w:hideMark/>
          </w:tcPr>
          <w:p w14:paraId="4349B8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0,008</w:t>
            </w:r>
          </w:p>
        </w:tc>
        <w:tc>
          <w:tcPr>
            <w:tcW w:w="1417" w:type="dxa"/>
            <w:tcBorders>
              <w:top w:val="nil"/>
              <w:left w:val="nil"/>
              <w:bottom w:val="single" w:sz="4" w:space="0" w:color="auto"/>
              <w:right w:val="single" w:sz="4" w:space="0" w:color="auto"/>
            </w:tcBorders>
            <w:noWrap/>
            <w:hideMark/>
          </w:tcPr>
          <w:p w14:paraId="7E3450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80560E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163CE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CFF31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E666D0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BF504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49</w:t>
            </w:r>
          </w:p>
        </w:tc>
        <w:tc>
          <w:tcPr>
            <w:tcW w:w="2431" w:type="dxa"/>
            <w:tcBorders>
              <w:top w:val="nil"/>
              <w:left w:val="nil"/>
              <w:bottom w:val="single" w:sz="4" w:space="0" w:color="auto"/>
              <w:right w:val="single" w:sz="4" w:space="0" w:color="auto"/>
            </w:tcBorders>
            <w:noWrap/>
            <w:hideMark/>
          </w:tcPr>
          <w:p w14:paraId="21B5F8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Китай</w:t>
            </w:r>
          </w:p>
        </w:tc>
        <w:tc>
          <w:tcPr>
            <w:tcW w:w="1418" w:type="dxa"/>
            <w:tcBorders>
              <w:top w:val="nil"/>
              <w:left w:val="nil"/>
              <w:bottom w:val="single" w:sz="4" w:space="0" w:color="auto"/>
              <w:right w:val="single" w:sz="4" w:space="0" w:color="auto"/>
            </w:tcBorders>
            <w:noWrap/>
            <w:hideMark/>
          </w:tcPr>
          <w:p w14:paraId="5CF9B3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20,004</w:t>
            </w:r>
          </w:p>
        </w:tc>
        <w:tc>
          <w:tcPr>
            <w:tcW w:w="1417" w:type="dxa"/>
            <w:tcBorders>
              <w:top w:val="nil"/>
              <w:left w:val="nil"/>
              <w:bottom w:val="single" w:sz="4" w:space="0" w:color="auto"/>
              <w:right w:val="single" w:sz="4" w:space="0" w:color="auto"/>
            </w:tcBorders>
            <w:noWrap/>
            <w:hideMark/>
          </w:tcPr>
          <w:p w14:paraId="72562F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20,1902</w:t>
            </w:r>
          </w:p>
        </w:tc>
        <w:tc>
          <w:tcPr>
            <w:tcW w:w="1073" w:type="dxa"/>
            <w:tcBorders>
              <w:top w:val="nil"/>
              <w:left w:val="nil"/>
              <w:bottom w:val="single" w:sz="4" w:space="0" w:color="auto"/>
              <w:right w:val="single" w:sz="4" w:space="0" w:color="auto"/>
            </w:tcBorders>
            <w:noWrap/>
            <w:hideMark/>
          </w:tcPr>
          <w:p w14:paraId="6F67E8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622 535</w:t>
            </w:r>
          </w:p>
        </w:tc>
        <w:tc>
          <w:tcPr>
            <w:tcW w:w="1053" w:type="dxa"/>
            <w:tcBorders>
              <w:top w:val="nil"/>
              <w:left w:val="nil"/>
              <w:bottom w:val="single" w:sz="4" w:space="0" w:color="auto"/>
              <w:right w:val="single" w:sz="4" w:space="0" w:color="auto"/>
            </w:tcBorders>
            <w:noWrap/>
            <w:hideMark/>
          </w:tcPr>
          <w:p w14:paraId="00441C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821 595</w:t>
            </w:r>
          </w:p>
        </w:tc>
        <w:tc>
          <w:tcPr>
            <w:tcW w:w="1553" w:type="dxa"/>
            <w:tcBorders>
              <w:top w:val="nil"/>
              <w:left w:val="nil"/>
              <w:bottom w:val="single" w:sz="4" w:space="0" w:color="auto"/>
              <w:right w:val="single" w:sz="4" w:space="0" w:color="auto"/>
            </w:tcBorders>
            <w:noWrap/>
            <w:hideMark/>
          </w:tcPr>
          <w:p w14:paraId="5001C1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1 444 131</w:t>
            </w:r>
          </w:p>
        </w:tc>
      </w:tr>
      <w:tr w:rsidR="00107665" w:rsidRPr="00631C1C" w14:paraId="7FCC929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A71AC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50</w:t>
            </w:r>
          </w:p>
        </w:tc>
        <w:tc>
          <w:tcPr>
            <w:tcW w:w="2431" w:type="dxa"/>
            <w:tcBorders>
              <w:top w:val="nil"/>
              <w:left w:val="nil"/>
              <w:bottom w:val="single" w:sz="4" w:space="0" w:color="auto"/>
              <w:right w:val="single" w:sz="4" w:space="0" w:color="auto"/>
            </w:tcBorders>
            <w:noWrap/>
            <w:hideMark/>
          </w:tcPr>
          <w:p w14:paraId="25F316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Кипр</w:t>
            </w:r>
          </w:p>
        </w:tc>
        <w:tc>
          <w:tcPr>
            <w:tcW w:w="1418" w:type="dxa"/>
            <w:tcBorders>
              <w:top w:val="nil"/>
              <w:left w:val="nil"/>
              <w:bottom w:val="single" w:sz="4" w:space="0" w:color="auto"/>
              <w:right w:val="single" w:sz="4" w:space="0" w:color="auto"/>
            </w:tcBorders>
            <w:noWrap/>
            <w:hideMark/>
          </w:tcPr>
          <w:p w14:paraId="79B2CC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0,035</w:t>
            </w:r>
          </w:p>
        </w:tc>
        <w:tc>
          <w:tcPr>
            <w:tcW w:w="1417" w:type="dxa"/>
            <w:tcBorders>
              <w:top w:val="nil"/>
              <w:left w:val="nil"/>
              <w:bottom w:val="single" w:sz="4" w:space="0" w:color="auto"/>
              <w:right w:val="single" w:sz="4" w:space="0" w:color="auto"/>
            </w:tcBorders>
            <w:noWrap/>
            <w:hideMark/>
          </w:tcPr>
          <w:p w14:paraId="5B6A4C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0,0353</w:t>
            </w:r>
          </w:p>
        </w:tc>
        <w:tc>
          <w:tcPr>
            <w:tcW w:w="1073" w:type="dxa"/>
            <w:tcBorders>
              <w:top w:val="nil"/>
              <w:left w:val="nil"/>
              <w:bottom w:val="single" w:sz="4" w:space="0" w:color="auto"/>
              <w:right w:val="single" w:sz="4" w:space="0" w:color="auto"/>
            </w:tcBorders>
            <w:noWrap/>
            <w:hideMark/>
          </w:tcPr>
          <w:p w14:paraId="1804801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1 089</w:t>
            </w:r>
          </w:p>
        </w:tc>
        <w:tc>
          <w:tcPr>
            <w:tcW w:w="1053" w:type="dxa"/>
            <w:tcBorders>
              <w:top w:val="nil"/>
              <w:left w:val="nil"/>
              <w:bottom w:val="single" w:sz="4" w:space="0" w:color="auto"/>
              <w:right w:val="single" w:sz="4" w:space="0" w:color="auto"/>
            </w:tcBorders>
            <w:noWrap/>
            <w:hideMark/>
          </w:tcPr>
          <w:p w14:paraId="7FB3E7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1 438</w:t>
            </w:r>
          </w:p>
        </w:tc>
        <w:tc>
          <w:tcPr>
            <w:tcW w:w="1553" w:type="dxa"/>
            <w:tcBorders>
              <w:top w:val="nil"/>
              <w:left w:val="nil"/>
              <w:bottom w:val="single" w:sz="4" w:space="0" w:color="auto"/>
              <w:right w:val="single" w:sz="4" w:space="0" w:color="auto"/>
            </w:tcBorders>
            <w:noWrap/>
            <w:hideMark/>
          </w:tcPr>
          <w:p w14:paraId="33CAA2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2 527</w:t>
            </w:r>
          </w:p>
        </w:tc>
      </w:tr>
      <w:tr w:rsidR="00107665" w:rsidRPr="00631C1C" w14:paraId="4525DBA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62057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51</w:t>
            </w:r>
          </w:p>
        </w:tc>
        <w:tc>
          <w:tcPr>
            <w:tcW w:w="2431" w:type="dxa"/>
            <w:tcBorders>
              <w:top w:val="nil"/>
              <w:left w:val="nil"/>
              <w:bottom w:val="single" w:sz="4" w:space="0" w:color="auto"/>
              <w:right w:val="single" w:sz="4" w:space="0" w:color="auto"/>
            </w:tcBorders>
            <w:noWrap/>
            <w:hideMark/>
          </w:tcPr>
          <w:p w14:paraId="01CA205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Индия</w:t>
            </w:r>
          </w:p>
        </w:tc>
        <w:tc>
          <w:tcPr>
            <w:tcW w:w="1418" w:type="dxa"/>
            <w:tcBorders>
              <w:top w:val="nil"/>
              <w:left w:val="nil"/>
              <w:bottom w:val="single" w:sz="4" w:space="0" w:color="auto"/>
              <w:right w:val="single" w:sz="4" w:space="0" w:color="auto"/>
            </w:tcBorders>
            <w:noWrap/>
            <w:hideMark/>
          </w:tcPr>
          <w:p w14:paraId="4246BA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1,106</w:t>
            </w:r>
          </w:p>
        </w:tc>
        <w:tc>
          <w:tcPr>
            <w:tcW w:w="1417" w:type="dxa"/>
            <w:tcBorders>
              <w:top w:val="nil"/>
              <w:left w:val="nil"/>
              <w:bottom w:val="single" w:sz="4" w:space="0" w:color="auto"/>
              <w:right w:val="single" w:sz="4" w:space="0" w:color="auto"/>
            </w:tcBorders>
            <w:noWrap/>
            <w:hideMark/>
          </w:tcPr>
          <w:p w14:paraId="2E6FF8D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1,1163</w:t>
            </w:r>
          </w:p>
        </w:tc>
        <w:tc>
          <w:tcPr>
            <w:tcW w:w="1073" w:type="dxa"/>
            <w:tcBorders>
              <w:top w:val="nil"/>
              <w:left w:val="nil"/>
              <w:bottom w:val="single" w:sz="4" w:space="0" w:color="auto"/>
              <w:right w:val="single" w:sz="4" w:space="0" w:color="auto"/>
            </w:tcBorders>
            <w:noWrap/>
            <w:hideMark/>
          </w:tcPr>
          <w:p w14:paraId="18A90D8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34 419</w:t>
            </w:r>
          </w:p>
        </w:tc>
        <w:tc>
          <w:tcPr>
            <w:tcW w:w="1053" w:type="dxa"/>
            <w:tcBorders>
              <w:top w:val="nil"/>
              <w:left w:val="nil"/>
              <w:bottom w:val="single" w:sz="4" w:space="0" w:color="auto"/>
              <w:right w:val="single" w:sz="4" w:space="0" w:color="auto"/>
            </w:tcBorders>
            <w:noWrap/>
            <w:hideMark/>
          </w:tcPr>
          <w:p w14:paraId="287865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45 425</w:t>
            </w:r>
          </w:p>
        </w:tc>
        <w:tc>
          <w:tcPr>
            <w:tcW w:w="1553" w:type="dxa"/>
            <w:tcBorders>
              <w:top w:val="nil"/>
              <w:left w:val="nil"/>
              <w:bottom w:val="single" w:sz="4" w:space="0" w:color="auto"/>
              <w:right w:val="single" w:sz="4" w:space="0" w:color="auto"/>
            </w:tcBorders>
            <w:noWrap/>
            <w:hideMark/>
          </w:tcPr>
          <w:p w14:paraId="2DDAFC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79 844</w:t>
            </w:r>
          </w:p>
        </w:tc>
      </w:tr>
      <w:tr w:rsidR="00107665" w:rsidRPr="00631C1C" w14:paraId="1F65F0F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86766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52</w:t>
            </w:r>
          </w:p>
        </w:tc>
        <w:tc>
          <w:tcPr>
            <w:tcW w:w="2431" w:type="dxa"/>
            <w:tcBorders>
              <w:top w:val="nil"/>
              <w:left w:val="nil"/>
              <w:bottom w:val="single" w:sz="4" w:space="0" w:color="auto"/>
              <w:right w:val="single" w:sz="4" w:space="0" w:color="auto"/>
            </w:tcBorders>
            <w:noWrap/>
            <w:hideMark/>
          </w:tcPr>
          <w:p w14:paraId="11D6693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Индонезия</w:t>
            </w:r>
          </w:p>
        </w:tc>
        <w:tc>
          <w:tcPr>
            <w:tcW w:w="1418" w:type="dxa"/>
            <w:tcBorders>
              <w:top w:val="nil"/>
              <w:left w:val="nil"/>
              <w:bottom w:val="single" w:sz="4" w:space="0" w:color="auto"/>
              <w:right w:val="single" w:sz="4" w:space="0" w:color="auto"/>
            </w:tcBorders>
            <w:noWrap/>
            <w:hideMark/>
          </w:tcPr>
          <w:p w14:paraId="698E76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0,579</w:t>
            </w:r>
          </w:p>
        </w:tc>
        <w:tc>
          <w:tcPr>
            <w:tcW w:w="1417" w:type="dxa"/>
            <w:tcBorders>
              <w:top w:val="nil"/>
              <w:left w:val="nil"/>
              <w:bottom w:val="single" w:sz="4" w:space="0" w:color="auto"/>
              <w:right w:val="single" w:sz="4" w:space="0" w:color="auto"/>
            </w:tcBorders>
            <w:noWrap/>
            <w:hideMark/>
          </w:tcPr>
          <w:p w14:paraId="19672C2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0,5844</w:t>
            </w:r>
          </w:p>
        </w:tc>
        <w:tc>
          <w:tcPr>
            <w:tcW w:w="1073" w:type="dxa"/>
            <w:tcBorders>
              <w:top w:val="nil"/>
              <w:left w:val="nil"/>
              <w:bottom w:val="single" w:sz="4" w:space="0" w:color="auto"/>
              <w:right w:val="single" w:sz="4" w:space="0" w:color="auto"/>
            </w:tcBorders>
            <w:noWrap/>
            <w:hideMark/>
          </w:tcPr>
          <w:p w14:paraId="2615DD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18 019</w:t>
            </w:r>
          </w:p>
        </w:tc>
        <w:tc>
          <w:tcPr>
            <w:tcW w:w="1053" w:type="dxa"/>
            <w:tcBorders>
              <w:top w:val="nil"/>
              <w:left w:val="nil"/>
              <w:bottom w:val="single" w:sz="4" w:space="0" w:color="auto"/>
              <w:right w:val="single" w:sz="4" w:space="0" w:color="auto"/>
            </w:tcBorders>
            <w:noWrap/>
            <w:hideMark/>
          </w:tcPr>
          <w:p w14:paraId="2FCE832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23 780</w:t>
            </w:r>
          </w:p>
        </w:tc>
        <w:tc>
          <w:tcPr>
            <w:tcW w:w="1553" w:type="dxa"/>
            <w:tcBorders>
              <w:top w:val="nil"/>
              <w:left w:val="nil"/>
              <w:bottom w:val="single" w:sz="4" w:space="0" w:color="auto"/>
              <w:right w:val="single" w:sz="4" w:space="0" w:color="auto"/>
            </w:tcBorders>
            <w:noWrap/>
            <w:hideMark/>
          </w:tcPr>
          <w:p w14:paraId="208B69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41 799</w:t>
            </w:r>
          </w:p>
        </w:tc>
      </w:tr>
      <w:tr w:rsidR="00107665" w:rsidRPr="00631C1C" w14:paraId="6480A28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DA80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53</w:t>
            </w:r>
          </w:p>
        </w:tc>
        <w:tc>
          <w:tcPr>
            <w:tcW w:w="2431" w:type="dxa"/>
            <w:tcBorders>
              <w:top w:val="nil"/>
              <w:left w:val="nil"/>
              <w:bottom w:val="single" w:sz="4" w:space="0" w:color="auto"/>
              <w:right w:val="single" w:sz="4" w:space="0" w:color="auto"/>
            </w:tcBorders>
            <w:noWrap/>
            <w:hideMark/>
          </w:tcPr>
          <w:p w14:paraId="6D6FA6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Исламская Республика Иран</w:t>
            </w:r>
          </w:p>
        </w:tc>
        <w:tc>
          <w:tcPr>
            <w:tcW w:w="1418" w:type="dxa"/>
            <w:tcBorders>
              <w:top w:val="nil"/>
              <w:left w:val="nil"/>
              <w:bottom w:val="single" w:sz="4" w:space="0" w:color="auto"/>
              <w:right w:val="single" w:sz="4" w:space="0" w:color="auto"/>
            </w:tcBorders>
            <w:noWrap/>
            <w:hideMark/>
          </w:tcPr>
          <w:p w14:paraId="6F4407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0,386</w:t>
            </w:r>
          </w:p>
        </w:tc>
        <w:tc>
          <w:tcPr>
            <w:tcW w:w="1417" w:type="dxa"/>
            <w:tcBorders>
              <w:top w:val="nil"/>
              <w:left w:val="nil"/>
              <w:bottom w:val="single" w:sz="4" w:space="0" w:color="auto"/>
              <w:right w:val="single" w:sz="4" w:space="0" w:color="auto"/>
            </w:tcBorders>
            <w:noWrap/>
            <w:hideMark/>
          </w:tcPr>
          <w:p w14:paraId="1FDE455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0,3896</w:t>
            </w:r>
          </w:p>
        </w:tc>
        <w:tc>
          <w:tcPr>
            <w:tcW w:w="1073" w:type="dxa"/>
            <w:tcBorders>
              <w:top w:val="nil"/>
              <w:left w:val="nil"/>
              <w:bottom w:val="single" w:sz="4" w:space="0" w:color="auto"/>
              <w:right w:val="single" w:sz="4" w:space="0" w:color="auto"/>
            </w:tcBorders>
            <w:noWrap/>
            <w:hideMark/>
          </w:tcPr>
          <w:p w14:paraId="2D177C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12 013</w:t>
            </w:r>
          </w:p>
        </w:tc>
        <w:tc>
          <w:tcPr>
            <w:tcW w:w="1053" w:type="dxa"/>
            <w:tcBorders>
              <w:top w:val="nil"/>
              <w:left w:val="nil"/>
              <w:bottom w:val="single" w:sz="4" w:space="0" w:color="auto"/>
              <w:right w:val="single" w:sz="4" w:space="0" w:color="auto"/>
            </w:tcBorders>
            <w:noWrap/>
            <w:hideMark/>
          </w:tcPr>
          <w:p w14:paraId="79165F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15 854</w:t>
            </w:r>
          </w:p>
        </w:tc>
        <w:tc>
          <w:tcPr>
            <w:tcW w:w="1553" w:type="dxa"/>
            <w:tcBorders>
              <w:top w:val="nil"/>
              <w:left w:val="nil"/>
              <w:bottom w:val="single" w:sz="4" w:space="0" w:color="auto"/>
              <w:right w:val="single" w:sz="4" w:space="0" w:color="auto"/>
            </w:tcBorders>
            <w:noWrap/>
            <w:hideMark/>
          </w:tcPr>
          <w:p w14:paraId="6A6CA1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27 866</w:t>
            </w:r>
          </w:p>
        </w:tc>
      </w:tr>
      <w:tr w:rsidR="00107665" w:rsidRPr="00631C1C" w14:paraId="41C45E6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5E812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54</w:t>
            </w:r>
          </w:p>
        </w:tc>
        <w:tc>
          <w:tcPr>
            <w:tcW w:w="2431" w:type="dxa"/>
            <w:tcBorders>
              <w:top w:val="nil"/>
              <w:left w:val="nil"/>
              <w:bottom w:val="single" w:sz="4" w:space="0" w:color="auto"/>
              <w:right w:val="single" w:sz="4" w:space="0" w:color="auto"/>
            </w:tcBorders>
            <w:noWrap/>
            <w:hideMark/>
          </w:tcPr>
          <w:p w14:paraId="2319885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Ирак</w:t>
            </w:r>
          </w:p>
        </w:tc>
        <w:tc>
          <w:tcPr>
            <w:tcW w:w="1418" w:type="dxa"/>
            <w:tcBorders>
              <w:top w:val="nil"/>
              <w:left w:val="nil"/>
              <w:bottom w:val="single" w:sz="4" w:space="0" w:color="auto"/>
              <w:right w:val="single" w:sz="4" w:space="0" w:color="auto"/>
            </w:tcBorders>
            <w:noWrap/>
            <w:hideMark/>
          </w:tcPr>
          <w:p w14:paraId="259070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0,131</w:t>
            </w:r>
          </w:p>
        </w:tc>
        <w:tc>
          <w:tcPr>
            <w:tcW w:w="1417" w:type="dxa"/>
            <w:tcBorders>
              <w:top w:val="nil"/>
              <w:left w:val="nil"/>
              <w:bottom w:val="single" w:sz="4" w:space="0" w:color="auto"/>
              <w:right w:val="single" w:sz="4" w:space="0" w:color="auto"/>
            </w:tcBorders>
            <w:noWrap/>
            <w:hideMark/>
          </w:tcPr>
          <w:p w14:paraId="3134465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0,1322</w:t>
            </w:r>
          </w:p>
        </w:tc>
        <w:tc>
          <w:tcPr>
            <w:tcW w:w="1073" w:type="dxa"/>
            <w:tcBorders>
              <w:top w:val="nil"/>
              <w:left w:val="nil"/>
              <w:bottom w:val="single" w:sz="4" w:space="0" w:color="auto"/>
              <w:right w:val="single" w:sz="4" w:space="0" w:color="auto"/>
            </w:tcBorders>
            <w:noWrap/>
            <w:hideMark/>
          </w:tcPr>
          <w:p w14:paraId="3D7ADF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4 077</w:t>
            </w:r>
          </w:p>
        </w:tc>
        <w:tc>
          <w:tcPr>
            <w:tcW w:w="1053" w:type="dxa"/>
            <w:tcBorders>
              <w:top w:val="nil"/>
              <w:left w:val="nil"/>
              <w:bottom w:val="single" w:sz="4" w:space="0" w:color="auto"/>
              <w:right w:val="single" w:sz="4" w:space="0" w:color="auto"/>
            </w:tcBorders>
            <w:noWrap/>
            <w:hideMark/>
          </w:tcPr>
          <w:p w14:paraId="2DDC38C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5 380</w:t>
            </w:r>
          </w:p>
        </w:tc>
        <w:tc>
          <w:tcPr>
            <w:tcW w:w="1553" w:type="dxa"/>
            <w:tcBorders>
              <w:top w:val="nil"/>
              <w:left w:val="nil"/>
              <w:bottom w:val="single" w:sz="4" w:space="0" w:color="auto"/>
              <w:right w:val="single" w:sz="4" w:space="0" w:color="auto"/>
            </w:tcBorders>
            <w:noWrap/>
            <w:hideMark/>
          </w:tcPr>
          <w:p w14:paraId="747B85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9 457</w:t>
            </w:r>
          </w:p>
        </w:tc>
      </w:tr>
      <w:tr w:rsidR="00107665" w:rsidRPr="00631C1C" w14:paraId="72CA0F8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567129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55</w:t>
            </w:r>
          </w:p>
        </w:tc>
        <w:tc>
          <w:tcPr>
            <w:tcW w:w="2431" w:type="dxa"/>
            <w:tcBorders>
              <w:top w:val="nil"/>
              <w:left w:val="nil"/>
              <w:bottom w:val="single" w:sz="4" w:space="0" w:color="auto"/>
              <w:right w:val="single" w:sz="4" w:space="0" w:color="auto"/>
            </w:tcBorders>
            <w:noWrap/>
            <w:hideMark/>
          </w:tcPr>
          <w:p w14:paraId="7E416E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Израиль</w:t>
            </w:r>
          </w:p>
        </w:tc>
        <w:tc>
          <w:tcPr>
            <w:tcW w:w="1418" w:type="dxa"/>
            <w:tcBorders>
              <w:top w:val="nil"/>
              <w:left w:val="nil"/>
              <w:bottom w:val="single" w:sz="4" w:space="0" w:color="auto"/>
              <w:right w:val="single" w:sz="4" w:space="0" w:color="auto"/>
            </w:tcBorders>
            <w:noWrap/>
            <w:hideMark/>
          </w:tcPr>
          <w:p w14:paraId="2F415B5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0,609</w:t>
            </w:r>
          </w:p>
        </w:tc>
        <w:tc>
          <w:tcPr>
            <w:tcW w:w="1417" w:type="dxa"/>
            <w:tcBorders>
              <w:top w:val="nil"/>
              <w:left w:val="nil"/>
              <w:bottom w:val="single" w:sz="4" w:space="0" w:color="auto"/>
              <w:right w:val="single" w:sz="4" w:space="0" w:color="auto"/>
            </w:tcBorders>
            <w:noWrap/>
            <w:hideMark/>
          </w:tcPr>
          <w:p w14:paraId="7959F1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0,6147</w:t>
            </w:r>
          </w:p>
        </w:tc>
        <w:tc>
          <w:tcPr>
            <w:tcW w:w="1073" w:type="dxa"/>
            <w:tcBorders>
              <w:top w:val="nil"/>
              <w:left w:val="nil"/>
              <w:bottom w:val="single" w:sz="4" w:space="0" w:color="auto"/>
              <w:right w:val="single" w:sz="4" w:space="0" w:color="auto"/>
            </w:tcBorders>
            <w:noWrap/>
            <w:hideMark/>
          </w:tcPr>
          <w:p w14:paraId="0AA591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18 952</w:t>
            </w:r>
          </w:p>
        </w:tc>
        <w:tc>
          <w:tcPr>
            <w:tcW w:w="1053" w:type="dxa"/>
            <w:tcBorders>
              <w:top w:val="nil"/>
              <w:left w:val="nil"/>
              <w:bottom w:val="single" w:sz="4" w:space="0" w:color="auto"/>
              <w:right w:val="single" w:sz="4" w:space="0" w:color="auto"/>
            </w:tcBorders>
            <w:noWrap/>
            <w:hideMark/>
          </w:tcPr>
          <w:p w14:paraId="0CD997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25 013</w:t>
            </w:r>
          </w:p>
        </w:tc>
        <w:tc>
          <w:tcPr>
            <w:tcW w:w="1553" w:type="dxa"/>
            <w:tcBorders>
              <w:top w:val="nil"/>
              <w:left w:val="nil"/>
              <w:bottom w:val="single" w:sz="4" w:space="0" w:color="auto"/>
              <w:right w:val="single" w:sz="4" w:space="0" w:color="auto"/>
            </w:tcBorders>
            <w:noWrap/>
            <w:hideMark/>
          </w:tcPr>
          <w:p w14:paraId="128426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43 965</w:t>
            </w:r>
          </w:p>
        </w:tc>
      </w:tr>
      <w:tr w:rsidR="00107665" w:rsidRPr="00631C1C" w14:paraId="5AF007C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CC38F1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56</w:t>
            </w:r>
          </w:p>
        </w:tc>
        <w:tc>
          <w:tcPr>
            <w:tcW w:w="2431" w:type="dxa"/>
            <w:tcBorders>
              <w:top w:val="nil"/>
              <w:left w:val="nil"/>
              <w:bottom w:val="single" w:sz="4" w:space="0" w:color="auto"/>
              <w:right w:val="single" w:sz="4" w:space="0" w:color="auto"/>
            </w:tcBorders>
            <w:noWrap/>
            <w:hideMark/>
          </w:tcPr>
          <w:p w14:paraId="0555D4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Япония</w:t>
            </w:r>
          </w:p>
        </w:tc>
        <w:tc>
          <w:tcPr>
            <w:tcW w:w="1418" w:type="dxa"/>
            <w:tcBorders>
              <w:top w:val="nil"/>
              <w:left w:val="nil"/>
              <w:bottom w:val="single" w:sz="4" w:space="0" w:color="auto"/>
              <w:right w:val="single" w:sz="4" w:space="0" w:color="auto"/>
            </w:tcBorders>
            <w:noWrap/>
            <w:hideMark/>
          </w:tcPr>
          <w:p w14:paraId="48C4313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6,93</w:t>
            </w:r>
          </w:p>
        </w:tc>
        <w:tc>
          <w:tcPr>
            <w:tcW w:w="1417" w:type="dxa"/>
            <w:tcBorders>
              <w:top w:val="nil"/>
              <w:left w:val="nil"/>
              <w:bottom w:val="single" w:sz="4" w:space="0" w:color="auto"/>
              <w:right w:val="single" w:sz="4" w:space="0" w:color="auto"/>
            </w:tcBorders>
            <w:noWrap/>
            <w:hideMark/>
          </w:tcPr>
          <w:p w14:paraId="29A10B5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6,9945</w:t>
            </w:r>
          </w:p>
        </w:tc>
        <w:tc>
          <w:tcPr>
            <w:tcW w:w="1073" w:type="dxa"/>
            <w:tcBorders>
              <w:top w:val="nil"/>
              <w:left w:val="nil"/>
              <w:bottom w:val="single" w:sz="4" w:space="0" w:color="auto"/>
              <w:right w:val="single" w:sz="4" w:space="0" w:color="auto"/>
            </w:tcBorders>
            <w:noWrap/>
            <w:hideMark/>
          </w:tcPr>
          <w:p w14:paraId="223C9B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215 665</w:t>
            </w:r>
          </w:p>
        </w:tc>
        <w:tc>
          <w:tcPr>
            <w:tcW w:w="1053" w:type="dxa"/>
            <w:tcBorders>
              <w:top w:val="nil"/>
              <w:left w:val="nil"/>
              <w:bottom w:val="single" w:sz="4" w:space="0" w:color="auto"/>
              <w:right w:val="single" w:sz="4" w:space="0" w:color="auto"/>
            </w:tcBorders>
            <w:noWrap/>
            <w:hideMark/>
          </w:tcPr>
          <w:p w14:paraId="0A25DB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284 626</w:t>
            </w:r>
          </w:p>
        </w:tc>
        <w:tc>
          <w:tcPr>
            <w:tcW w:w="1553" w:type="dxa"/>
            <w:tcBorders>
              <w:top w:val="nil"/>
              <w:left w:val="nil"/>
              <w:bottom w:val="single" w:sz="4" w:space="0" w:color="auto"/>
              <w:right w:val="single" w:sz="4" w:space="0" w:color="auto"/>
            </w:tcBorders>
            <w:noWrap/>
            <w:hideMark/>
          </w:tcPr>
          <w:p w14:paraId="6964CB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500 291</w:t>
            </w:r>
          </w:p>
        </w:tc>
      </w:tr>
      <w:tr w:rsidR="00107665" w:rsidRPr="00631C1C" w14:paraId="0092546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568595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57</w:t>
            </w:r>
          </w:p>
        </w:tc>
        <w:tc>
          <w:tcPr>
            <w:tcW w:w="2431" w:type="dxa"/>
            <w:tcBorders>
              <w:top w:val="nil"/>
              <w:left w:val="nil"/>
              <w:bottom w:val="single" w:sz="4" w:space="0" w:color="auto"/>
              <w:right w:val="single" w:sz="4" w:space="0" w:color="auto"/>
            </w:tcBorders>
            <w:noWrap/>
            <w:hideMark/>
          </w:tcPr>
          <w:p w14:paraId="4F37D0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Иордания</w:t>
            </w:r>
          </w:p>
        </w:tc>
        <w:tc>
          <w:tcPr>
            <w:tcW w:w="1418" w:type="dxa"/>
            <w:tcBorders>
              <w:top w:val="nil"/>
              <w:left w:val="nil"/>
              <w:bottom w:val="single" w:sz="4" w:space="0" w:color="auto"/>
              <w:right w:val="single" w:sz="4" w:space="0" w:color="auto"/>
            </w:tcBorders>
            <w:noWrap/>
            <w:hideMark/>
          </w:tcPr>
          <w:p w14:paraId="2B38F3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0,021</w:t>
            </w:r>
          </w:p>
        </w:tc>
        <w:tc>
          <w:tcPr>
            <w:tcW w:w="1417" w:type="dxa"/>
            <w:tcBorders>
              <w:top w:val="nil"/>
              <w:left w:val="nil"/>
              <w:bottom w:val="single" w:sz="4" w:space="0" w:color="auto"/>
              <w:right w:val="single" w:sz="4" w:space="0" w:color="auto"/>
            </w:tcBorders>
            <w:noWrap/>
            <w:hideMark/>
          </w:tcPr>
          <w:p w14:paraId="42D340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0,0212</w:t>
            </w:r>
          </w:p>
        </w:tc>
        <w:tc>
          <w:tcPr>
            <w:tcW w:w="1073" w:type="dxa"/>
            <w:tcBorders>
              <w:top w:val="nil"/>
              <w:left w:val="nil"/>
              <w:bottom w:val="single" w:sz="4" w:space="0" w:color="auto"/>
              <w:right w:val="single" w:sz="4" w:space="0" w:color="auto"/>
            </w:tcBorders>
            <w:noWrap/>
            <w:hideMark/>
          </w:tcPr>
          <w:p w14:paraId="3D614B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654</w:t>
            </w:r>
          </w:p>
        </w:tc>
        <w:tc>
          <w:tcPr>
            <w:tcW w:w="1053" w:type="dxa"/>
            <w:tcBorders>
              <w:top w:val="nil"/>
              <w:left w:val="nil"/>
              <w:bottom w:val="single" w:sz="4" w:space="0" w:color="auto"/>
              <w:right w:val="single" w:sz="4" w:space="0" w:color="auto"/>
            </w:tcBorders>
            <w:noWrap/>
            <w:hideMark/>
          </w:tcPr>
          <w:p w14:paraId="589D30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863</w:t>
            </w:r>
          </w:p>
        </w:tc>
        <w:tc>
          <w:tcPr>
            <w:tcW w:w="1553" w:type="dxa"/>
            <w:tcBorders>
              <w:top w:val="nil"/>
              <w:left w:val="nil"/>
              <w:bottom w:val="single" w:sz="4" w:space="0" w:color="auto"/>
              <w:right w:val="single" w:sz="4" w:space="0" w:color="auto"/>
            </w:tcBorders>
            <w:noWrap/>
            <w:hideMark/>
          </w:tcPr>
          <w:p w14:paraId="214C20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1 516</w:t>
            </w:r>
          </w:p>
        </w:tc>
      </w:tr>
      <w:tr w:rsidR="00107665" w:rsidRPr="00631C1C" w14:paraId="730039A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BBB7C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58</w:t>
            </w:r>
          </w:p>
        </w:tc>
        <w:tc>
          <w:tcPr>
            <w:tcW w:w="2431" w:type="dxa"/>
            <w:tcBorders>
              <w:top w:val="nil"/>
              <w:left w:val="nil"/>
              <w:bottom w:val="single" w:sz="4" w:space="0" w:color="auto"/>
              <w:right w:val="single" w:sz="4" w:space="0" w:color="auto"/>
            </w:tcBorders>
            <w:noWrap/>
            <w:hideMark/>
          </w:tcPr>
          <w:p w14:paraId="2486ED8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Кирибати</w:t>
            </w:r>
          </w:p>
        </w:tc>
        <w:tc>
          <w:tcPr>
            <w:tcW w:w="1418" w:type="dxa"/>
            <w:tcBorders>
              <w:top w:val="nil"/>
              <w:left w:val="nil"/>
              <w:bottom w:val="single" w:sz="4" w:space="0" w:color="auto"/>
              <w:right w:val="single" w:sz="4" w:space="0" w:color="auto"/>
            </w:tcBorders>
            <w:noWrap/>
            <w:hideMark/>
          </w:tcPr>
          <w:p w14:paraId="6753CA1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147BEB3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0FAA6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AD02F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FBF8FE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C38630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AB19AD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59</w:t>
            </w:r>
          </w:p>
        </w:tc>
        <w:tc>
          <w:tcPr>
            <w:tcW w:w="2431" w:type="dxa"/>
            <w:tcBorders>
              <w:top w:val="nil"/>
              <w:left w:val="nil"/>
              <w:bottom w:val="single" w:sz="4" w:space="0" w:color="auto"/>
              <w:right w:val="single" w:sz="4" w:space="0" w:color="auto"/>
            </w:tcBorders>
            <w:noWrap/>
            <w:hideMark/>
          </w:tcPr>
          <w:p w14:paraId="3A8EAA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Кувейт</w:t>
            </w:r>
          </w:p>
        </w:tc>
        <w:tc>
          <w:tcPr>
            <w:tcW w:w="1418" w:type="dxa"/>
            <w:tcBorders>
              <w:top w:val="nil"/>
              <w:left w:val="nil"/>
              <w:bottom w:val="single" w:sz="4" w:space="0" w:color="auto"/>
              <w:right w:val="single" w:sz="4" w:space="0" w:color="auto"/>
            </w:tcBorders>
            <w:noWrap/>
            <w:hideMark/>
          </w:tcPr>
          <w:p w14:paraId="0E3E8C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0,222</w:t>
            </w:r>
          </w:p>
        </w:tc>
        <w:tc>
          <w:tcPr>
            <w:tcW w:w="1417" w:type="dxa"/>
            <w:tcBorders>
              <w:top w:val="nil"/>
              <w:left w:val="nil"/>
              <w:bottom w:val="single" w:sz="4" w:space="0" w:color="auto"/>
              <w:right w:val="single" w:sz="4" w:space="0" w:color="auto"/>
            </w:tcBorders>
            <w:noWrap/>
            <w:hideMark/>
          </w:tcPr>
          <w:p w14:paraId="109EE44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0,2241</w:t>
            </w:r>
          </w:p>
        </w:tc>
        <w:tc>
          <w:tcPr>
            <w:tcW w:w="1073" w:type="dxa"/>
            <w:tcBorders>
              <w:top w:val="nil"/>
              <w:left w:val="nil"/>
              <w:bottom w:val="single" w:sz="4" w:space="0" w:color="auto"/>
              <w:right w:val="single" w:sz="4" w:space="0" w:color="auto"/>
            </w:tcBorders>
            <w:noWrap/>
            <w:hideMark/>
          </w:tcPr>
          <w:p w14:paraId="3AA8631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6 909</w:t>
            </w:r>
          </w:p>
        </w:tc>
        <w:tc>
          <w:tcPr>
            <w:tcW w:w="1053" w:type="dxa"/>
            <w:tcBorders>
              <w:top w:val="nil"/>
              <w:left w:val="nil"/>
              <w:bottom w:val="single" w:sz="4" w:space="0" w:color="auto"/>
              <w:right w:val="single" w:sz="4" w:space="0" w:color="auto"/>
            </w:tcBorders>
            <w:noWrap/>
            <w:hideMark/>
          </w:tcPr>
          <w:p w14:paraId="68EE47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9 118</w:t>
            </w:r>
          </w:p>
        </w:tc>
        <w:tc>
          <w:tcPr>
            <w:tcW w:w="1553" w:type="dxa"/>
            <w:tcBorders>
              <w:top w:val="nil"/>
              <w:left w:val="nil"/>
              <w:bottom w:val="single" w:sz="4" w:space="0" w:color="auto"/>
              <w:right w:val="single" w:sz="4" w:space="0" w:color="auto"/>
            </w:tcBorders>
            <w:noWrap/>
            <w:hideMark/>
          </w:tcPr>
          <w:p w14:paraId="18359F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16 027</w:t>
            </w:r>
          </w:p>
        </w:tc>
      </w:tr>
      <w:tr w:rsidR="00107665" w:rsidRPr="00631C1C" w14:paraId="0F770B9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A3B26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60</w:t>
            </w:r>
          </w:p>
        </w:tc>
        <w:tc>
          <w:tcPr>
            <w:tcW w:w="2431" w:type="dxa"/>
            <w:tcBorders>
              <w:top w:val="nil"/>
              <w:left w:val="nil"/>
              <w:bottom w:val="single" w:sz="4" w:space="0" w:color="auto"/>
              <w:right w:val="single" w:sz="4" w:space="0" w:color="auto"/>
            </w:tcBorders>
            <w:noWrap/>
            <w:hideMark/>
          </w:tcPr>
          <w:p w14:paraId="4A5165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Лаосская Народно-Демократическая Республика</w:t>
            </w:r>
          </w:p>
        </w:tc>
        <w:tc>
          <w:tcPr>
            <w:tcW w:w="1418" w:type="dxa"/>
            <w:tcBorders>
              <w:top w:val="nil"/>
              <w:left w:val="nil"/>
              <w:bottom w:val="single" w:sz="4" w:space="0" w:color="auto"/>
              <w:right w:val="single" w:sz="4" w:space="0" w:color="auto"/>
            </w:tcBorders>
            <w:noWrap/>
            <w:vAlign w:val="bottom"/>
            <w:hideMark/>
          </w:tcPr>
          <w:p w14:paraId="2FA38521"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0,006</w:t>
            </w:r>
          </w:p>
        </w:tc>
        <w:tc>
          <w:tcPr>
            <w:tcW w:w="1417" w:type="dxa"/>
            <w:tcBorders>
              <w:top w:val="nil"/>
              <w:left w:val="nil"/>
              <w:bottom w:val="single" w:sz="4" w:space="0" w:color="auto"/>
              <w:right w:val="single" w:sz="4" w:space="0" w:color="auto"/>
            </w:tcBorders>
            <w:noWrap/>
            <w:vAlign w:val="bottom"/>
            <w:hideMark/>
          </w:tcPr>
          <w:p w14:paraId="2F3720A6"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vAlign w:val="bottom"/>
            <w:hideMark/>
          </w:tcPr>
          <w:p w14:paraId="70EC5C17"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vAlign w:val="bottom"/>
            <w:hideMark/>
          </w:tcPr>
          <w:p w14:paraId="3695CBC0"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vAlign w:val="bottom"/>
            <w:hideMark/>
          </w:tcPr>
          <w:p w14:paraId="2BB66615"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78DE35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504A9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61</w:t>
            </w:r>
          </w:p>
        </w:tc>
        <w:tc>
          <w:tcPr>
            <w:tcW w:w="2431" w:type="dxa"/>
            <w:tcBorders>
              <w:top w:val="nil"/>
              <w:left w:val="nil"/>
              <w:bottom w:val="single" w:sz="4" w:space="0" w:color="auto"/>
              <w:right w:val="single" w:sz="4" w:space="0" w:color="auto"/>
            </w:tcBorders>
            <w:noWrap/>
            <w:hideMark/>
          </w:tcPr>
          <w:p w14:paraId="7EE760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Ливан</w:t>
            </w:r>
          </w:p>
        </w:tc>
        <w:tc>
          <w:tcPr>
            <w:tcW w:w="1418" w:type="dxa"/>
            <w:tcBorders>
              <w:top w:val="nil"/>
              <w:left w:val="nil"/>
              <w:bottom w:val="single" w:sz="4" w:space="0" w:color="auto"/>
              <w:right w:val="single" w:sz="4" w:space="0" w:color="auto"/>
            </w:tcBorders>
            <w:noWrap/>
            <w:hideMark/>
          </w:tcPr>
          <w:p w14:paraId="0D7A69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0,022</w:t>
            </w:r>
          </w:p>
        </w:tc>
        <w:tc>
          <w:tcPr>
            <w:tcW w:w="1417" w:type="dxa"/>
            <w:tcBorders>
              <w:top w:val="nil"/>
              <w:left w:val="nil"/>
              <w:bottom w:val="single" w:sz="4" w:space="0" w:color="auto"/>
              <w:right w:val="single" w:sz="4" w:space="0" w:color="auto"/>
            </w:tcBorders>
            <w:noWrap/>
            <w:hideMark/>
          </w:tcPr>
          <w:p w14:paraId="2C3C8D8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0,0222</w:t>
            </w:r>
          </w:p>
        </w:tc>
        <w:tc>
          <w:tcPr>
            <w:tcW w:w="1073" w:type="dxa"/>
            <w:tcBorders>
              <w:top w:val="nil"/>
              <w:left w:val="nil"/>
              <w:bottom w:val="single" w:sz="4" w:space="0" w:color="auto"/>
              <w:right w:val="single" w:sz="4" w:space="0" w:color="auto"/>
            </w:tcBorders>
            <w:noWrap/>
            <w:hideMark/>
          </w:tcPr>
          <w:p w14:paraId="2A0DE4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685</w:t>
            </w:r>
          </w:p>
        </w:tc>
        <w:tc>
          <w:tcPr>
            <w:tcW w:w="1053" w:type="dxa"/>
            <w:tcBorders>
              <w:top w:val="nil"/>
              <w:left w:val="nil"/>
              <w:bottom w:val="single" w:sz="4" w:space="0" w:color="auto"/>
              <w:right w:val="single" w:sz="4" w:space="0" w:color="auto"/>
            </w:tcBorders>
            <w:noWrap/>
            <w:hideMark/>
          </w:tcPr>
          <w:p w14:paraId="71FC7E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904</w:t>
            </w:r>
          </w:p>
        </w:tc>
        <w:tc>
          <w:tcPr>
            <w:tcW w:w="1553" w:type="dxa"/>
            <w:tcBorders>
              <w:top w:val="nil"/>
              <w:left w:val="nil"/>
              <w:bottom w:val="single" w:sz="4" w:space="0" w:color="auto"/>
              <w:right w:val="single" w:sz="4" w:space="0" w:color="auto"/>
            </w:tcBorders>
            <w:noWrap/>
            <w:hideMark/>
          </w:tcPr>
          <w:p w14:paraId="7EA0BD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1 588</w:t>
            </w:r>
          </w:p>
        </w:tc>
      </w:tr>
      <w:tr w:rsidR="00107665" w:rsidRPr="00631C1C" w14:paraId="1B8DA84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95673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62</w:t>
            </w:r>
          </w:p>
        </w:tc>
        <w:tc>
          <w:tcPr>
            <w:tcW w:w="2431" w:type="dxa"/>
            <w:tcBorders>
              <w:top w:val="nil"/>
              <w:left w:val="nil"/>
              <w:bottom w:val="single" w:sz="4" w:space="0" w:color="auto"/>
              <w:right w:val="single" w:sz="4" w:space="0" w:color="auto"/>
            </w:tcBorders>
            <w:noWrap/>
            <w:hideMark/>
          </w:tcPr>
          <w:p w14:paraId="2494A80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Мальдивские Острова</w:t>
            </w:r>
          </w:p>
        </w:tc>
        <w:tc>
          <w:tcPr>
            <w:tcW w:w="1418" w:type="dxa"/>
            <w:tcBorders>
              <w:top w:val="nil"/>
              <w:left w:val="nil"/>
              <w:bottom w:val="single" w:sz="4" w:space="0" w:color="auto"/>
              <w:right w:val="single" w:sz="4" w:space="0" w:color="auto"/>
            </w:tcBorders>
            <w:noWrap/>
            <w:hideMark/>
          </w:tcPr>
          <w:p w14:paraId="75FDF37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2A7148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6F2CE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BD81C5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CC34DD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E93D41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7D02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63</w:t>
            </w:r>
          </w:p>
        </w:tc>
        <w:tc>
          <w:tcPr>
            <w:tcW w:w="2431" w:type="dxa"/>
            <w:tcBorders>
              <w:top w:val="nil"/>
              <w:left w:val="nil"/>
              <w:bottom w:val="single" w:sz="4" w:space="0" w:color="auto"/>
              <w:right w:val="single" w:sz="4" w:space="0" w:color="auto"/>
            </w:tcBorders>
            <w:noWrap/>
            <w:hideMark/>
          </w:tcPr>
          <w:p w14:paraId="6AC4CC9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Маршалловы Острова</w:t>
            </w:r>
          </w:p>
        </w:tc>
        <w:tc>
          <w:tcPr>
            <w:tcW w:w="1418" w:type="dxa"/>
            <w:tcBorders>
              <w:top w:val="nil"/>
              <w:left w:val="nil"/>
              <w:bottom w:val="single" w:sz="4" w:space="0" w:color="auto"/>
              <w:right w:val="single" w:sz="4" w:space="0" w:color="auto"/>
            </w:tcBorders>
            <w:noWrap/>
            <w:hideMark/>
          </w:tcPr>
          <w:p w14:paraId="1AEABB1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3A1743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99029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AA31E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EC8F60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FDFE39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3C7D4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64</w:t>
            </w:r>
          </w:p>
        </w:tc>
        <w:tc>
          <w:tcPr>
            <w:tcW w:w="2431" w:type="dxa"/>
            <w:tcBorders>
              <w:top w:val="nil"/>
              <w:left w:val="nil"/>
              <w:bottom w:val="single" w:sz="4" w:space="0" w:color="auto"/>
              <w:right w:val="single" w:sz="4" w:space="0" w:color="auto"/>
            </w:tcBorders>
            <w:noWrap/>
            <w:hideMark/>
          </w:tcPr>
          <w:p w14:paraId="139FD2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Монголия</w:t>
            </w:r>
          </w:p>
        </w:tc>
        <w:tc>
          <w:tcPr>
            <w:tcW w:w="1418" w:type="dxa"/>
            <w:tcBorders>
              <w:top w:val="nil"/>
              <w:left w:val="nil"/>
              <w:bottom w:val="single" w:sz="4" w:space="0" w:color="auto"/>
              <w:right w:val="single" w:sz="4" w:space="0" w:color="auto"/>
            </w:tcBorders>
            <w:noWrap/>
            <w:hideMark/>
          </w:tcPr>
          <w:p w14:paraId="754A50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3EF2E0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69CA9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32FF8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25206E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603F9E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B2A4A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65</w:t>
            </w:r>
          </w:p>
        </w:tc>
        <w:tc>
          <w:tcPr>
            <w:tcW w:w="2431" w:type="dxa"/>
            <w:tcBorders>
              <w:top w:val="nil"/>
              <w:left w:val="nil"/>
              <w:bottom w:val="single" w:sz="4" w:space="0" w:color="auto"/>
              <w:right w:val="single" w:sz="4" w:space="0" w:color="auto"/>
            </w:tcBorders>
            <w:noWrap/>
            <w:hideMark/>
          </w:tcPr>
          <w:p w14:paraId="70772B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Оман</w:t>
            </w:r>
          </w:p>
        </w:tc>
        <w:tc>
          <w:tcPr>
            <w:tcW w:w="1418" w:type="dxa"/>
            <w:tcBorders>
              <w:top w:val="nil"/>
              <w:left w:val="nil"/>
              <w:bottom w:val="single" w:sz="4" w:space="0" w:color="auto"/>
              <w:right w:val="single" w:sz="4" w:space="0" w:color="auto"/>
            </w:tcBorders>
            <w:noWrap/>
            <w:hideMark/>
          </w:tcPr>
          <w:p w14:paraId="26DF7FA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0,115</w:t>
            </w:r>
          </w:p>
        </w:tc>
        <w:tc>
          <w:tcPr>
            <w:tcW w:w="1417" w:type="dxa"/>
            <w:tcBorders>
              <w:top w:val="nil"/>
              <w:left w:val="nil"/>
              <w:bottom w:val="single" w:sz="4" w:space="0" w:color="auto"/>
              <w:right w:val="single" w:sz="4" w:space="0" w:color="auto"/>
            </w:tcBorders>
            <w:noWrap/>
            <w:hideMark/>
          </w:tcPr>
          <w:p w14:paraId="6731BF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0,1161</w:t>
            </w:r>
          </w:p>
        </w:tc>
        <w:tc>
          <w:tcPr>
            <w:tcW w:w="1073" w:type="dxa"/>
            <w:tcBorders>
              <w:top w:val="nil"/>
              <w:left w:val="nil"/>
              <w:bottom w:val="single" w:sz="4" w:space="0" w:color="auto"/>
              <w:right w:val="single" w:sz="4" w:space="0" w:color="auto"/>
            </w:tcBorders>
            <w:noWrap/>
            <w:hideMark/>
          </w:tcPr>
          <w:p w14:paraId="7A8F5F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3 579</w:t>
            </w:r>
          </w:p>
        </w:tc>
        <w:tc>
          <w:tcPr>
            <w:tcW w:w="1053" w:type="dxa"/>
            <w:tcBorders>
              <w:top w:val="nil"/>
              <w:left w:val="nil"/>
              <w:bottom w:val="single" w:sz="4" w:space="0" w:color="auto"/>
              <w:right w:val="single" w:sz="4" w:space="0" w:color="auto"/>
            </w:tcBorders>
            <w:noWrap/>
            <w:hideMark/>
          </w:tcPr>
          <w:p w14:paraId="694781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4 723</w:t>
            </w:r>
          </w:p>
        </w:tc>
        <w:tc>
          <w:tcPr>
            <w:tcW w:w="1553" w:type="dxa"/>
            <w:tcBorders>
              <w:top w:val="nil"/>
              <w:left w:val="nil"/>
              <w:bottom w:val="single" w:sz="4" w:space="0" w:color="auto"/>
              <w:right w:val="single" w:sz="4" w:space="0" w:color="auto"/>
            </w:tcBorders>
            <w:noWrap/>
            <w:hideMark/>
          </w:tcPr>
          <w:p w14:paraId="77403A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8 302</w:t>
            </w:r>
          </w:p>
        </w:tc>
      </w:tr>
      <w:tr w:rsidR="00107665" w:rsidRPr="00631C1C" w14:paraId="349A3C7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19615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66</w:t>
            </w:r>
          </w:p>
        </w:tc>
        <w:tc>
          <w:tcPr>
            <w:tcW w:w="2431" w:type="dxa"/>
            <w:tcBorders>
              <w:top w:val="nil"/>
              <w:left w:val="nil"/>
              <w:bottom w:val="single" w:sz="4" w:space="0" w:color="auto"/>
              <w:right w:val="single" w:sz="4" w:space="0" w:color="auto"/>
            </w:tcBorders>
            <w:noWrap/>
            <w:hideMark/>
          </w:tcPr>
          <w:p w14:paraId="45C613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Пакистан</w:t>
            </w:r>
          </w:p>
        </w:tc>
        <w:tc>
          <w:tcPr>
            <w:tcW w:w="1418" w:type="dxa"/>
            <w:tcBorders>
              <w:top w:val="nil"/>
              <w:left w:val="nil"/>
              <w:bottom w:val="single" w:sz="4" w:space="0" w:color="auto"/>
              <w:right w:val="single" w:sz="4" w:space="0" w:color="auto"/>
            </w:tcBorders>
            <w:noWrap/>
            <w:hideMark/>
          </w:tcPr>
          <w:p w14:paraId="5AEC95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0,123</w:t>
            </w:r>
          </w:p>
        </w:tc>
        <w:tc>
          <w:tcPr>
            <w:tcW w:w="1417" w:type="dxa"/>
            <w:tcBorders>
              <w:top w:val="nil"/>
              <w:left w:val="nil"/>
              <w:bottom w:val="single" w:sz="4" w:space="0" w:color="auto"/>
              <w:right w:val="single" w:sz="4" w:space="0" w:color="auto"/>
            </w:tcBorders>
            <w:noWrap/>
            <w:hideMark/>
          </w:tcPr>
          <w:p w14:paraId="41200E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0,1241</w:t>
            </w:r>
          </w:p>
        </w:tc>
        <w:tc>
          <w:tcPr>
            <w:tcW w:w="1073" w:type="dxa"/>
            <w:tcBorders>
              <w:top w:val="nil"/>
              <w:left w:val="nil"/>
              <w:bottom w:val="single" w:sz="4" w:space="0" w:color="auto"/>
              <w:right w:val="single" w:sz="4" w:space="0" w:color="auto"/>
            </w:tcBorders>
            <w:noWrap/>
            <w:hideMark/>
          </w:tcPr>
          <w:p w14:paraId="05E9CB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3 828</w:t>
            </w:r>
          </w:p>
        </w:tc>
        <w:tc>
          <w:tcPr>
            <w:tcW w:w="1053" w:type="dxa"/>
            <w:tcBorders>
              <w:top w:val="nil"/>
              <w:left w:val="nil"/>
              <w:bottom w:val="single" w:sz="4" w:space="0" w:color="auto"/>
              <w:right w:val="single" w:sz="4" w:space="0" w:color="auto"/>
            </w:tcBorders>
            <w:noWrap/>
            <w:hideMark/>
          </w:tcPr>
          <w:p w14:paraId="7531D8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5 052</w:t>
            </w:r>
          </w:p>
        </w:tc>
        <w:tc>
          <w:tcPr>
            <w:tcW w:w="1553" w:type="dxa"/>
            <w:tcBorders>
              <w:top w:val="nil"/>
              <w:left w:val="nil"/>
              <w:bottom w:val="single" w:sz="4" w:space="0" w:color="auto"/>
              <w:right w:val="single" w:sz="4" w:space="0" w:color="auto"/>
            </w:tcBorders>
            <w:noWrap/>
            <w:hideMark/>
          </w:tcPr>
          <w:p w14:paraId="14524E8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8 880</w:t>
            </w:r>
          </w:p>
        </w:tc>
      </w:tr>
      <w:tr w:rsidR="00107665" w:rsidRPr="00631C1C" w14:paraId="173F14BA"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C0EBBB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67</w:t>
            </w:r>
          </w:p>
        </w:tc>
        <w:tc>
          <w:tcPr>
            <w:tcW w:w="2431" w:type="dxa"/>
            <w:tcBorders>
              <w:top w:val="nil"/>
              <w:left w:val="nil"/>
              <w:bottom w:val="single" w:sz="4" w:space="0" w:color="auto"/>
              <w:right w:val="single" w:sz="4" w:space="0" w:color="auto"/>
            </w:tcBorders>
            <w:noWrap/>
            <w:hideMark/>
          </w:tcPr>
          <w:p w14:paraId="7C44E3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Палау</w:t>
            </w:r>
          </w:p>
        </w:tc>
        <w:tc>
          <w:tcPr>
            <w:tcW w:w="1418" w:type="dxa"/>
            <w:tcBorders>
              <w:top w:val="nil"/>
              <w:left w:val="nil"/>
              <w:bottom w:val="single" w:sz="4" w:space="0" w:color="auto"/>
              <w:right w:val="single" w:sz="4" w:space="0" w:color="auto"/>
            </w:tcBorders>
            <w:noWrap/>
            <w:hideMark/>
          </w:tcPr>
          <w:p w14:paraId="79DC6F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18B411F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F210DE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21F88C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ECFDC3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493F6A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A0ADD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68</w:t>
            </w:r>
          </w:p>
        </w:tc>
        <w:tc>
          <w:tcPr>
            <w:tcW w:w="2431" w:type="dxa"/>
            <w:tcBorders>
              <w:top w:val="nil"/>
              <w:left w:val="nil"/>
              <w:bottom w:val="single" w:sz="4" w:space="0" w:color="auto"/>
              <w:right w:val="single" w:sz="4" w:space="0" w:color="auto"/>
            </w:tcBorders>
            <w:noWrap/>
            <w:hideMark/>
          </w:tcPr>
          <w:p w14:paraId="3DE5ADA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Филиппины</w:t>
            </w:r>
          </w:p>
        </w:tc>
        <w:tc>
          <w:tcPr>
            <w:tcW w:w="1418" w:type="dxa"/>
            <w:tcBorders>
              <w:top w:val="nil"/>
              <w:left w:val="nil"/>
              <w:bottom w:val="single" w:sz="4" w:space="0" w:color="auto"/>
              <w:right w:val="single" w:sz="4" w:space="0" w:color="auto"/>
            </w:tcBorders>
            <w:noWrap/>
            <w:hideMark/>
          </w:tcPr>
          <w:p w14:paraId="2F43A7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0,198</w:t>
            </w:r>
          </w:p>
        </w:tc>
        <w:tc>
          <w:tcPr>
            <w:tcW w:w="1417" w:type="dxa"/>
            <w:tcBorders>
              <w:top w:val="nil"/>
              <w:left w:val="nil"/>
              <w:bottom w:val="single" w:sz="4" w:space="0" w:color="auto"/>
              <w:right w:val="single" w:sz="4" w:space="0" w:color="auto"/>
            </w:tcBorders>
            <w:noWrap/>
            <w:hideMark/>
          </w:tcPr>
          <w:p w14:paraId="518460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0,1998</w:t>
            </w:r>
          </w:p>
        </w:tc>
        <w:tc>
          <w:tcPr>
            <w:tcW w:w="1073" w:type="dxa"/>
            <w:tcBorders>
              <w:top w:val="nil"/>
              <w:left w:val="nil"/>
              <w:bottom w:val="single" w:sz="4" w:space="0" w:color="auto"/>
              <w:right w:val="single" w:sz="4" w:space="0" w:color="auto"/>
            </w:tcBorders>
            <w:noWrap/>
            <w:hideMark/>
          </w:tcPr>
          <w:p w14:paraId="5E7DBB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6 162</w:t>
            </w:r>
          </w:p>
        </w:tc>
        <w:tc>
          <w:tcPr>
            <w:tcW w:w="1053" w:type="dxa"/>
            <w:tcBorders>
              <w:top w:val="nil"/>
              <w:left w:val="nil"/>
              <w:bottom w:val="single" w:sz="4" w:space="0" w:color="auto"/>
              <w:right w:val="single" w:sz="4" w:space="0" w:color="auto"/>
            </w:tcBorders>
            <w:noWrap/>
            <w:hideMark/>
          </w:tcPr>
          <w:p w14:paraId="18A0DA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8 132</w:t>
            </w:r>
          </w:p>
        </w:tc>
        <w:tc>
          <w:tcPr>
            <w:tcW w:w="1553" w:type="dxa"/>
            <w:tcBorders>
              <w:top w:val="nil"/>
              <w:left w:val="nil"/>
              <w:bottom w:val="single" w:sz="4" w:space="0" w:color="auto"/>
              <w:right w:val="single" w:sz="4" w:space="0" w:color="auto"/>
            </w:tcBorders>
            <w:noWrap/>
            <w:hideMark/>
          </w:tcPr>
          <w:p w14:paraId="6DF9D6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14 294</w:t>
            </w:r>
          </w:p>
        </w:tc>
      </w:tr>
      <w:tr w:rsidR="00107665" w:rsidRPr="00631C1C" w14:paraId="3366084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B6921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69</w:t>
            </w:r>
          </w:p>
        </w:tc>
        <w:tc>
          <w:tcPr>
            <w:tcW w:w="2431" w:type="dxa"/>
            <w:tcBorders>
              <w:top w:val="nil"/>
              <w:left w:val="nil"/>
              <w:bottom w:val="single" w:sz="4" w:space="0" w:color="auto"/>
              <w:right w:val="single" w:sz="4" w:space="0" w:color="auto"/>
            </w:tcBorders>
            <w:noWrap/>
            <w:hideMark/>
          </w:tcPr>
          <w:p w14:paraId="6B2ABF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Катар</w:t>
            </w:r>
          </w:p>
        </w:tc>
        <w:tc>
          <w:tcPr>
            <w:tcW w:w="1418" w:type="dxa"/>
            <w:tcBorders>
              <w:top w:val="nil"/>
              <w:left w:val="nil"/>
              <w:bottom w:val="single" w:sz="4" w:space="0" w:color="auto"/>
              <w:right w:val="single" w:sz="4" w:space="0" w:color="auto"/>
            </w:tcBorders>
            <w:noWrap/>
            <w:hideMark/>
          </w:tcPr>
          <w:p w14:paraId="61FC7B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0,245</w:t>
            </w:r>
          </w:p>
        </w:tc>
        <w:tc>
          <w:tcPr>
            <w:tcW w:w="1417" w:type="dxa"/>
            <w:tcBorders>
              <w:top w:val="nil"/>
              <w:left w:val="nil"/>
              <w:bottom w:val="single" w:sz="4" w:space="0" w:color="auto"/>
              <w:right w:val="single" w:sz="4" w:space="0" w:color="auto"/>
            </w:tcBorders>
            <w:noWrap/>
            <w:hideMark/>
          </w:tcPr>
          <w:p w14:paraId="2E1300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0,2473</w:t>
            </w:r>
          </w:p>
        </w:tc>
        <w:tc>
          <w:tcPr>
            <w:tcW w:w="1073" w:type="dxa"/>
            <w:tcBorders>
              <w:top w:val="nil"/>
              <w:left w:val="nil"/>
              <w:bottom w:val="single" w:sz="4" w:space="0" w:color="auto"/>
              <w:right w:val="single" w:sz="4" w:space="0" w:color="auto"/>
            </w:tcBorders>
            <w:noWrap/>
            <w:hideMark/>
          </w:tcPr>
          <w:p w14:paraId="29F6E7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7 625</w:t>
            </w:r>
          </w:p>
        </w:tc>
        <w:tc>
          <w:tcPr>
            <w:tcW w:w="1053" w:type="dxa"/>
            <w:tcBorders>
              <w:top w:val="nil"/>
              <w:left w:val="nil"/>
              <w:bottom w:val="single" w:sz="4" w:space="0" w:color="auto"/>
              <w:right w:val="single" w:sz="4" w:space="0" w:color="auto"/>
            </w:tcBorders>
            <w:noWrap/>
            <w:hideMark/>
          </w:tcPr>
          <w:p w14:paraId="001E798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10 063</w:t>
            </w:r>
          </w:p>
        </w:tc>
        <w:tc>
          <w:tcPr>
            <w:tcW w:w="1553" w:type="dxa"/>
            <w:tcBorders>
              <w:top w:val="nil"/>
              <w:left w:val="nil"/>
              <w:bottom w:val="single" w:sz="4" w:space="0" w:color="auto"/>
              <w:right w:val="single" w:sz="4" w:space="0" w:color="auto"/>
            </w:tcBorders>
            <w:noWrap/>
            <w:hideMark/>
          </w:tcPr>
          <w:p w14:paraId="2C28C6F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17 687</w:t>
            </w:r>
          </w:p>
        </w:tc>
      </w:tr>
      <w:tr w:rsidR="00107665" w:rsidRPr="00631C1C" w14:paraId="341153B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C57D75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70</w:t>
            </w:r>
          </w:p>
        </w:tc>
        <w:tc>
          <w:tcPr>
            <w:tcW w:w="2431" w:type="dxa"/>
            <w:tcBorders>
              <w:top w:val="nil"/>
              <w:left w:val="nil"/>
              <w:bottom w:val="single" w:sz="4" w:space="0" w:color="auto"/>
              <w:right w:val="single" w:sz="4" w:space="0" w:color="auto"/>
            </w:tcBorders>
            <w:noWrap/>
            <w:hideMark/>
          </w:tcPr>
          <w:p w14:paraId="00ED1F1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Республика Корея</w:t>
            </w:r>
          </w:p>
        </w:tc>
        <w:tc>
          <w:tcPr>
            <w:tcW w:w="1418" w:type="dxa"/>
            <w:tcBorders>
              <w:top w:val="nil"/>
              <w:left w:val="nil"/>
              <w:bottom w:val="single" w:sz="4" w:space="0" w:color="auto"/>
              <w:right w:val="single" w:sz="4" w:space="0" w:color="auto"/>
            </w:tcBorders>
            <w:noWrap/>
            <w:hideMark/>
          </w:tcPr>
          <w:p w14:paraId="23CF74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2,349</w:t>
            </w:r>
          </w:p>
        </w:tc>
        <w:tc>
          <w:tcPr>
            <w:tcW w:w="1417" w:type="dxa"/>
            <w:tcBorders>
              <w:top w:val="nil"/>
              <w:left w:val="nil"/>
              <w:bottom w:val="single" w:sz="4" w:space="0" w:color="auto"/>
              <w:right w:val="single" w:sz="4" w:space="0" w:color="auto"/>
            </w:tcBorders>
            <w:noWrap/>
            <w:hideMark/>
          </w:tcPr>
          <w:p w14:paraId="68BFB6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2,3709</w:t>
            </w:r>
          </w:p>
        </w:tc>
        <w:tc>
          <w:tcPr>
            <w:tcW w:w="1073" w:type="dxa"/>
            <w:tcBorders>
              <w:top w:val="nil"/>
              <w:left w:val="nil"/>
              <w:bottom w:val="single" w:sz="4" w:space="0" w:color="auto"/>
              <w:right w:val="single" w:sz="4" w:space="0" w:color="auto"/>
            </w:tcBorders>
            <w:noWrap/>
            <w:hideMark/>
          </w:tcPr>
          <w:p w14:paraId="1DCC51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73 102</w:t>
            </w:r>
          </w:p>
        </w:tc>
        <w:tc>
          <w:tcPr>
            <w:tcW w:w="1053" w:type="dxa"/>
            <w:tcBorders>
              <w:top w:val="nil"/>
              <w:left w:val="nil"/>
              <w:bottom w:val="single" w:sz="4" w:space="0" w:color="auto"/>
              <w:right w:val="single" w:sz="4" w:space="0" w:color="auto"/>
            </w:tcBorders>
            <w:noWrap/>
            <w:hideMark/>
          </w:tcPr>
          <w:p w14:paraId="4264410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96 477</w:t>
            </w:r>
          </w:p>
        </w:tc>
        <w:tc>
          <w:tcPr>
            <w:tcW w:w="1553" w:type="dxa"/>
            <w:tcBorders>
              <w:top w:val="nil"/>
              <w:left w:val="nil"/>
              <w:bottom w:val="single" w:sz="4" w:space="0" w:color="auto"/>
              <w:right w:val="single" w:sz="4" w:space="0" w:color="auto"/>
            </w:tcBorders>
            <w:noWrap/>
            <w:hideMark/>
          </w:tcPr>
          <w:p w14:paraId="1B1FF54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169 579</w:t>
            </w:r>
          </w:p>
        </w:tc>
      </w:tr>
      <w:tr w:rsidR="00107665" w:rsidRPr="00631C1C" w14:paraId="12E8958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7C4C8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71</w:t>
            </w:r>
          </w:p>
        </w:tc>
        <w:tc>
          <w:tcPr>
            <w:tcW w:w="2431" w:type="dxa"/>
            <w:tcBorders>
              <w:top w:val="nil"/>
              <w:left w:val="nil"/>
              <w:bottom w:val="single" w:sz="4" w:space="0" w:color="auto"/>
              <w:right w:val="single" w:sz="4" w:space="0" w:color="auto"/>
            </w:tcBorders>
            <w:noWrap/>
            <w:hideMark/>
          </w:tcPr>
          <w:p w14:paraId="735190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Самоа</w:t>
            </w:r>
          </w:p>
        </w:tc>
        <w:tc>
          <w:tcPr>
            <w:tcW w:w="1418" w:type="dxa"/>
            <w:tcBorders>
              <w:top w:val="nil"/>
              <w:left w:val="nil"/>
              <w:bottom w:val="single" w:sz="4" w:space="0" w:color="auto"/>
              <w:right w:val="single" w:sz="4" w:space="0" w:color="auto"/>
            </w:tcBorders>
            <w:noWrap/>
            <w:hideMark/>
          </w:tcPr>
          <w:p w14:paraId="1B29C0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2BCDD0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1C847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B6A57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9A9D1F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F9A144A"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FBCF04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72</w:t>
            </w:r>
          </w:p>
        </w:tc>
        <w:tc>
          <w:tcPr>
            <w:tcW w:w="2431" w:type="dxa"/>
            <w:tcBorders>
              <w:top w:val="nil"/>
              <w:left w:val="nil"/>
              <w:bottom w:val="single" w:sz="4" w:space="0" w:color="auto"/>
              <w:right w:val="single" w:sz="4" w:space="0" w:color="auto"/>
            </w:tcBorders>
            <w:noWrap/>
            <w:hideMark/>
          </w:tcPr>
          <w:p w14:paraId="0E5A88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Саудовская Аравия</w:t>
            </w:r>
          </w:p>
        </w:tc>
        <w:tc>
          <w:tcPr>
            <w:tcW w:w="1418" w:type="dxa"/>
            <w:tcBorders>
              <w:top w:val="nil"/>
              <w:left w:val="nil"/>
              <w:bottom w:val="single" w:sz="4" w:space="0" w:color="auto"/>
              <w:right w:val="single" w:sz="4" w:space="0" w:color="auto"/>
            </w:tcBorders>
            <w:noWrap/>
            <w:hideMark/>
          </w:tcPr>
          <w:p w14:paraId="424370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1,217</w:t>
            </w:r>
          </w:p>
        </w:tc>
        <w:tc>
          <w:tcPr>
            <w:tcW w:w="1417" w:type="dxa"/>
            <w:tcBorders>
              <w:top w:val="nil"/>
              <w:left w:val="nil"/>
              <w:bottom w:val="single" w:sz="4" w:space="0" w:color="auto"/>
              <w:right w:val="single" w:sz="4" w:space="0" w:color="auto"/>
            </w:tcBorders>
            <w:noWrap/>
            <w:hideMark/>
          </w:tcPr>
          <w:p w14:paraId="3051AC8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1,2283</w:t>
            </w:r>
          </w:p>
        </w:tc>
        <w:tc>
          <w:tcPr>
            <w:tcW w:w="1073" w:type="dxa"/>
            <w:tcBorders>
              <w:top w:val="nil"/>
              <w:left w:val="nil"/>
              <w:bottom w:val="single" w:sz="4" w:space="0" w:color="auto"/>
              <w:right w:val="single" w:sz="4" w:space="0" w:color="auto"/>
            </w:tcBorders>
            <w:noWrap/>
            <w:hideMark/>
          </w:tcPr>
          <w:p w14:paraId="4854164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37 874</w:t>
            </w:r>
          </w:p>
        </w:tc>
        <w:tc>
          <w:tcPr>
            <w:tcW w:w="1053" w:type="dxa"/>
            <w:tcBorders>
              <w:top w:val="nil"/>
              <w:left w:val="nil"/>
              <w:bottom w:val="single" w:sz="4" w:space="0" w:color="auto"/>
              <w:right w:val="single" w:sz="4" w:space="0" w:color="auto"/>
            </w:tcBorders>
            <w:noWrap/>
            <w:hideMark/>
          </w:tcPr>
          <w:p w14:paraId="5CE8535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49 984</w:t>
            </w:r>
          </w:p>
        </w:tc>
        <w:tc>
          <w:tcPr>
            <w:tcW w:w="1553" w:type="dxa"/>
            <w:tcBorders>
              <w:top w:val="nil"/>
              <w:left w:val="nil"/>
              <w:bottom w:val="single" w:sz="4" w:space="0" w:color="auto"/>
              <w:right w:val="single" w:sz="4" w:space="0" w:color="auto"/>
            </w:tcBorders>
            <w:noWrap/>
            <w:hideMark/>
          </w:tcPr>
          <w:p w14:paraId="57D2733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87 858</w:t>
            </w:r>
          </w:p>
        </w:tc>
      </w:tr>
      <w:tr w:rsidR="00107665" w:rsidRPr="00631C1C" w14:paraId="4295BEF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5092D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73</w:t>
            </w:r>
          </w:p>
        </w:tc>
        <w:tc>
          <w:tcPr>
            <w:tcW w:w="2431" w:type="dxa"/>
            <w:tcBorders>
              <w:top w:val="nil"/>
              <w:left w:val="nil"/>
              <w:bottom w:val="single" w:sz="4" w:space="0" w:color="auto"/>
              <w:right w:val="single" w:sz="4" w:space="0" w:color="auto"/>
            </w:tcBorders>
            <w:noWrap/>
            <w:hideMark/>
          </w:tcPr>
          <w:p w14:paraId="1C247B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Сингапур</w:t>
            </w:r>
          </w:p>
        </w:tc>
        <w:tc>
          <w:tcPr>
            <w:tcW w:w="1418" w:type="dxa"/>
            <w:tcBorders>
              <w:top w:val="nil"/>
              <w:left w:val="nil"/>
              <w:bottom w:val="single" w:sz="4" w:space="0" w:color="auto"/>
              <w:right w:val="single" w:sz="4" w:space="0" w:color="auto"/>
            </w:tcBorders>
            <w:noWrap/>
            <w:hideMark/>
          </w:tcPr>
          <w:p w14:paraId="3E9AD1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0,479</w:t>
            </w:r>
          </w:p>
        </w:tc>
        <w:tc>
          <w:tcPr>
            <w:tcW w:w="1417" w:type="dxa"/>
            <w:tcBorders>
              <w:top w:val="nil"/>
              <w:left w:val="nil"/>
              <w:bottom w:val="single" w:sz="4" w:space="0" w:color="auto"/>
              <w:right w:val="single" w:sz="4" w:space="0" w:color="auto"/>
            </w:tcBorders>
            <w:noWrap/>
            <w:hideMark/>
          </w:tcPr>
          <w:p w14:paraId="5468B7B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0,4835</w:t>
            </w:r>
          </w:p>
        </w:tc>
        <w:tc>
          <w:tcPr>
            <w:tcW w:w="1073" w:type="dxa"/>
            <w:tcBorders>
              <w:top w:val="nil"/>
              <w:left w:val="nil"/>
              <w:bottom w:val="single" w:sz="4" w:space="0" w:color="auto"/>
              <w:right w:val="single" w:sz="4" w:space="0" w:color="auto"/>
            </w:tcBorders>
            <w:noWrap/>
            <w:hideMark/>
          </w:tcPr>
          <w:p w14:paraId="505E05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14 907</w:t>
            </w:r>
          </w:p>
        </w:tc>
        <w:tc>
          <w:tcPr>
            <w:tcW w:w="1053" w:type="dxa"/>
            <w:tcBorders>
              <w:top w:val="nil"/>
              <w:left w:val="nil"/>
              <w:bottom w:val="single" w:sz="4" w:space="0" w:color="auto"/>
              <w:right w:val="single" w:sz="4" w:space="0" w:color="auto"/>
            </w:tcBorders>
            <w:noWrap/>
            <w:hideMark/>
          </w:tcPr>
          <w:p w14:paraId="41FE894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19 673</w:t>
            </w:r>
          </w:p>
        </w:tc>
        <w:tc>
          <w:tcPr>
            <w:tcW w:w="1553" w:type="dxa"/>
            <w:tcBorders>
              <w:top w:val="nil"/>
              <w:left w:val="nil"/>
              <w:bottom w:val="single" w:sz="4" w:space="0" w:color="auto"/>
              <w:right w:val="single" w:sz="4" w:space="0" w:color="auto"/>
            </w:tcBorders>
            <w:noWrap/>
            <w:hideMark/>
          </w:tcPr>
          <w:p w14:paraId="5CE46F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34 580</w:t>
            </w:r>
          </w:p>
        </w:tc>
      </w:tr>
      <w:tr w:rsidR="00107665" w:rsidRPr="00631C1C" w14:paraId="5F36117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5CBD82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74</w:t>
            </w:r>
          </w:p>
        </w:tc>
        <w:tc>
          <w:tcPr>
            <w:tcW w:w="2431" w:type="dxa"/>
            <w:tcBorders>
              <w:top w:val="nil"/>
              <w:left w:val="nil"/>
              <w:bottom w:val="single" w:sz="4" w:space="0" w:color="auto"/>
              <w:right w:val="single" w:sz="4" w:space="0" w:color="auto"/>
            </w:tcBorders>
            <w:noWrap/>
            <w:hideMark/>
          </w:tcPr>
          <w:p w14:paraId="78313D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Шри-Ланка</w:t>
            </w:r>
          </w:p>
        </w:tc>
        <w:tc>
          <w:tcPr>
            <w:tcW w:w="1418" w:type="dxa"/>
            <w:tcBorders>
              <w:top w:val="nil"/>
              <w:left w:val="nil"/>
              <w:bottom w:val="single" w:sz="4" w:space="0" w:color="auto"/>
              <w:right w:val="single" w:sz="4" w:space="0" w:color="auto"/>
            </w:tcBorders>
            <w:noWrap/>
            <w:hideMark/>
          </w:tcPr>
          <w:p w14:paraId="140C252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0,038</w:t>
            </w:r>
          </w:p>
        </w:tc>
        <w:tc>
          <w:tcPr>
            <w:tcW w:w="1417" w:type="dxa"/>
            <w:tcBorders>
              <w:top w:val="nil"/>
              <w:left w:val="nil"/>
              <w:bottom w:val="single" w:sz="4" w:space="0" w:color="auto"/>
              <w:right w:val="single" w:sz="4" w:space="0" w:color="auto"/>
            </w:tcBorders>
            <w:noWrap/>
            <w:hideMark/>
          </w:tcPr>
          <w:p w14:paraId="30F91E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0,0384</w:t>
            </w:r>
          </w:p>
        </w:tc>
        <w:tc>
          <w:tcPr>
            <w:tcW w:w="1073" w:type="dxa"/>
            <w:tcBorders>
              <w:top w:val="nil"/>
              <w:left w:val="nil"/>
              <w:bottom w:val="single" w:sz="4" w:space="0" w:color="auto"/>
              <w:right w:val="single" w:sz="4" w:space="0" w:color="auto"/>
            </w:tcBorders>
            <w:noWrap/>
            <w:hideMark/>
          </w:tcPr>
          <w:p w14:paraId="601BD6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1 183</w:t>
            </w:r>
          </w:p>
        </w:tc>
        <w:tc>
          <w:tcPr>
            <w:tcW w:w="1053" w:type="dxa"/>
            <w:tcBorders>
              <w:top w:val="nil"/>
              <w:left w:val="nil"/>
              <w:bottom w:val="single" w:sz="4" w:space="0" w:color="auto"/>
              <w:right w:val="single" w:sz="4" w:space="0" w:color="auto"/>
            </w:tcBorders>
            <w:noWrap/>
            <w:hideMark/>
          </w:tcPr>
          <w:p w14:paraId="27078B4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1 561</w:t>
            </w:r>
          </w:p>
        </w:tc>
        <w:tc>
          <w:tcPr>
            <w:tcW w:w="1553" w:type="dxa"/>
            <w:tcBorders>
              <w:top w:val="nil"/>
              <w:left w:val="nil"/>
              <w:bottom w:val="single" w:sz="4" w:space="0" w:color="auto"/>
              <w:right w:val="single" w:sz="4" w:space="0" w:color="auto"/>
            </w:tcBorders>
            <w:noWrap/>
            <w:hideMark/>
          </w:tcPr>
          <w:p w14:paraId="67771A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2 743</w:t>
            </w:r>
          </w:p>
        </w:tc>
      </w:tr>
      <w:tr w:rsidR="00107665" w:rsidRPr="00631C1C" w14:paraId="13D25F9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847E4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75</w:t>
            </w:r>
          </w:p>
        </w:tc>
        <w:tc>
          <w:tcPr>
            <w:tcW w:w="2431" w:type="dxa"/>
            <w:tcBorders>
              <w:top w:val="nil"/>
              <w:left w:val="nil"/>
              <w:bottom w:val="single" w:sz="4" w:space="0" w:color="auto"/>
              <w:right w:val="single" w:sz="4" w:space="0" w:color="auto"/>
            </w:tcBorders>
            <w:noWrap/>
            <w:hideMark/>
          </w:tcPr>
          <w:p w14:paraId="39247AD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Государство Палестина</w:t>
            </w:r>
          </w:p>
        </w:tc>
        <w:tc>
          <w:tcPr>
            <w:tcW w:w="1418" w:type="dxa"/>
            <w:tcBorders>
              <w:top w:val="nil"/>
              <w:left w:val="nil"/>
              <w:bottom w:val="single" w:sz="4" w:space="0" w:color="auto"/>
              <w:right w:val="single" w:sz="4" w:space="0" w:color="auto"/>
            </w:tcBorders>
            <w:noWrap/>
            <w:hideMark/>
          </w:tcPr>
          <w:p w14:paraId="478A0B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w:t>
            </w:r>
          </w:p>
        </w:tc>
        <w:tc>
          <w:tcPr>
            <w:tcW w:w="1417" w:type="dxa"/>
            <w:tcBorders>
              <w:top w:val="nil"/>
              <w:left w:val="nil"/>
              <w:bottom w:val="single" w:sz="4" w:space="0" w:color="auto"/>
              <w:right w:val="single" w:sz="4" w:space="0" w:color="auto"/>
            </w:tcBorders>
            <w:noWrap/>
            <w:hideMark/>
          </w:tcPr>
          <w:p w14:paraId="15F00B0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0,0111</w:t>
            </w:r>
          </w:p>
        </w:tc>
        <w:tc>
          <w:tcPr>
            <w:tcW w:w="1073" w:type="dxa"/>
            <w:tcBorders>
              <w:top w:val="nil"/>
              <w:left w:val="nil"/>
              <w:bottom w:val="single" w:sz="4" w:space="0" w:color="auto"/>
              <w:right w:val="single" w:sz="4" w:space="0" w:color="auto"/>
            </w:tcBorders>
            <w:noWrap/>
            <w:hideMark/>
          </w:tcPr>
          <w:p w14:paraId="34E3D1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342</w:t>
            </w:r>
          </w:p>
        </w:tc>
        <w:tc>
          <w:tcPr>
            <w:tcW w:w="1053" w:type="dxa"/>
            <w:tcBorders>
              <w:top w:val="nil"/>
              <w:left w:val="nil"/>
              <w:bottom w:val="single" w:sz="4" w:space="0" w:color="auto"/>
              <w:right w:val="single" w:sz="4" w:space="0" w:color="auto"/>
            </w:tcBorders>
            <w:noWrap/>
            <w:hideMark/>
          </w:tcPr>
          <w:p w14:paraId="22D8B55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452</w:t>
            </w:r>
          </w:p>
        </w:tc>
        <w:tc>
          <w:tcPr>
            <w:tcW w:w="1553" w:type="dxa"/>
            <w:tcBorders>
              <w:top w:val="nil"/>
              <w:left w:val="nil"/>
              <w:bottom w:val="single" w:sz="4" w:space="0" w:color="auto"/>
              <w:right w:val="single" w:sz="4" w:space="0" w:color="auto"/>
            </w:tcBorders>
            <w:noWrap/>
            <w:hideMark/>
          </w:tcPr>
          <w:p w14:paraId="6EB0E87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794</w:t>
            </w:r>
          </w:p>
        </w:tc>
      </w:tr>
      <w:tr w:rsidR="00107665" w:rsidRPr="00631C1C" w14:paraId="4508625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A904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76</w:t>
            </w:r>
          </w:p>
        </w:tc>
        <w:tc>
          <w:tcPr>
            <w:tcW w:w="2431" w:type="dxa"/>
            <w:tcBorders>
              <w:top w:val="nil"/>
              <w:left w:val="nil"/>
              <w:bottom w:val="single" w:sz="4" w:space="0" w:color="auto"/>
              <w:right w:val="single" w:sz="4" w:space="0" w:color="auto"/>
            </w:tcBorders>
            <w:noWrap/>
            <w:hideMark/>
          </w:tcPr>
          <w:p w14:paraId="572954F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Сирийская Арабская Республика</w:t>
            </w:r>
          </w:p>
        </w:tc>
        <w:tc>
          <w:tcPr>
            <w:tcW w:w="1418" w:type="dxa"/>
            <w:tcBorders>
              <w:top w:val="nil"/>
              <w:left w:val="nil"/>
              <w:bottom w:val="single" w:sz="4" w:space="0" w:color="auto"/>
              <w:right w:val="single" w:sz="4" w:space="0" w:color="auto"/>
            </w:tcBorders>
            <w:noWrap/>
            <w:hideMark/>
          </w:tcPr>
          <w:p w14:paraId="67AD0ED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0,006</w:t>
            </w:r>
          </w:p>
        </w:tc>
        <w:tc>
          <w:tcPr>
            <w:tcW w:w="1417" w:type="dxa"/>
            <w:tcBorders>
              <w:top w:val="nil"/>
              <w:left w:val="nil"/>
              <w:bottom w:val="single" w:sz="4" w:space="0" w:color="auto"/>
              <w:right w:val="single" w:sz="4" w:space="0" w:color="auto"/>
            </w:tcBorders>
            <w:noWrap/>
            <w:hideMark/>
          </w:tcPr>
          <w:p w14:paraId="751F7E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4444B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B0653A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CC4CD6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9992F6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DB1D52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77</w:t>
            </w:r>
          </w:p>
        </w:tc>
        <w:tc>
          <w:tcPr>
            <w:tcW w:w="2431" w:type="dxa"/>
            <w:tcBorders>
              <w:top w:val="nil"/>
              <w:left w:val="nil"/>
              <w:bottom w:val="single" w:sz="4" w:space="0" w:color="auto"/>
              <w:right w:val="single" w:sz="4" w:space="0" w:color="auto"/>
            </w:tcBorders>
            <w:noWrap/>
            <w:hideMark/>
          </w:tcPr>
          <w:p w14:paraId="5A4C58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Таиланд</w:t>
            </w:r>
          </w:p>
        </w:tc>
        <w:tc>
          <w:tcPr>
            <w:tcW w:w="1418" w:type="dxa"/>
            <w:tcBorders>
              <w:top w:val="nil"/>
              <w:left w:val="nil"/>
              <w:bottom w:val="single" w:sz="4" w:space="0" w:color="auto"/>
              <w:right w:val="single" w:sz="4" w:space="0" w:color="auto"/>
            </w:tcBorders>
            <w:noWrap/>
            <w:hideMark/>
          </w:tcPr>
          <w:p w14:paraId="3DF1936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0,341</w:t>
            </w:r>
          </w:p>
        </w:tc>
        <w:tc>
          <w:tcPr>
            <w:tcW w:w="1417" w:type="dxa"/>
            <w:tcBorders>
              <w:top w:val="nil"/>
              <w:left w:val="nil"/>
              <w:bottom w:val="single" w:sz="4" w:space="0" w:color="auto"/>
              <w:right w:val="single" w:sz="4" w:space="0" w:color="auto"/>
            </w:tcBorders>
            <w:noWrap/>
            <w:hideMark/>
          </w:tcPr>
          <w:p w14:paraId="77B17C2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0,3442</w:t>
            </w:r>
          </w:p>
        </w:tc>
        <w:tc>
          <w:tcPr>
            <w:tcW w:w="1073" w:type="dxa"/>
            <w:tcBorders>
              <w:top w:val="nil"/>
              <w:left w:val="nil"/>
              <w:bottom w:val="single" w:sz="4" w:space="0" w:color="auto"/>
              <w:right w:val="single" w:sz="4" w:space="0" w:color="auto"/>
            </w:tcBorders>
            <w:noWrap/>
            <w:hideMark/>
          </w:tcPr>
          <w:p w14:paraId="6EF425C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10 612</w:t>
            </w:r>
          </w:p>
        </w:tc>
        <w:tc>
          <w:tcPr>
            <w:tcW w:w="1053" w:type="dxa"/>
            <w:tcBorders>
              <w:top w:val="nil"/>
              <w:left w:val="nil"/>
              <w:bottom w:val="single" w:sz="4" w:space="0" w:color="auto"/>
              <w:right w:val="single" w:sz="4" w:space="0" w:color="auto"/>
            </w:tcBorders>
            <w:noWrap/>
            <w:hideMark/>
          </w:tcPr>
          <w:p w14:paraId="27592B4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14 005</w:t>
            </w:r>
          </w:p>
        </w:tc>
        <w:tc>
          <w:tcPr>
            <w:tcW w:w="1553" w:type="dxa"/>
            <w:tcBorders>
              <w:top w:val="nil"/>
              <w:left w:val="nil"/>
              <w:bottom w:val="single" w:sz="4" w:space="0" w:color="auto"/>
              <w:right w:val="single" w:sz="4" w:space="0" w:color="auto"/>
            </w:tcBorders>
            <w:noWrap/>
            <w:hideMark/>
          </w:tcPr>
          <w:p w14:paraId="22DD94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24 618</w:t>
            </w:r>
          </w:p>
        </w:tc>
      </w:tr>
      <w:tr w:rsidR="00107665" w:rsidRPr="00631C1C" w14:paraId="7CD6006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4BB789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78</w:t>
            </w:r>
          </w:p>
        </w:tc>
        <w:tc>
          <w:tcPr>
            <w:tcW w:w="2431" w:type="dxa"/>
            <w:tcBorders>
              <w:top w:val="nil"/>
              <w:left w:val="nil"/>
              <w:bottom w:val="single" w:sz="4" w:space="0" w:color="auto"/>
              <w:right w:val="single" w:sz="4" w:space="0" w:color="auto"/>
            </w:tcBorders>
            <w:noWrap/>
            <w:hideMark/>
          </w:tcPr>
          <w:p w14:paraId="570F6A8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Тонга</w:t>
            </w:r>
          </w:p>
        </w:tc>
        <w:tc>
          <w:tcPr>
            <w:tcW w:w="1418" w:type="dxa"/>
            <w:tcBorders>
              <w:top w:val="nil"/>
              <w:left w:val="nil"/>
              <w:bottom w:val="single" w:sz="4" w:space="0" w:color="auto"/>
              <w:right w:val="single" w:sz="4" w:space="0" w:color="auto"/>
            </w:tcBorders>
            <w:noWrap/>
            <w:hideMark/>
          </w:tcPr>
          <w:p w14:paraId="057716D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4B4D0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7BE5B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CCBD85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33755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90A34B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8DB6C2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79</w:t>
            </w:r>
          </w:p>
        </w:tc>
        <w:tc>
          <w:tcPr>
            <w:tcW w:w="2431" w:type="dxa"/>
            <w:tcBorders>
              <w:top w:val="nil"/>
              <w:left w:val="nil"/>
              <w:bottom w:val="single" w:sz="4" w:space="0" w:color="auto"/>
              <w:right w:val="single" w:sz="4" w:space="0" w:color="auto"/>
            </w:tcBorders>
            <w:noWrap/>
            <w:hideMark/>
          </w:tcPr>
          <w:p w14:paraId="54D01B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Тувалу</w:t>
            </w:r>
          </w:p>
        </w:tc>
        <w:tc>
          <w:tcPr>
            <w:tcW w:w="1418" w:type="dxa"/>
            <w:tcBorders>
              <w:top w:val="nil"/>
              <w:left w:val="nil"/>
              <w:bottom w:val="single" w:sz="4" w:space="0" w:color="auto"/>
              <w:right w:val="single" w:sz="4" w:space="0" w:color="auto"/>
            </w:tcBorders>
            <w:noWrap/>
            <w:hideMark/>
          </w:tcPr>
          <w:p w14:paraId="4EBFFF8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36BB69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EC9B84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BAF183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73FE3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D3564A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79591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lastRenderedPageBreak/>
              <w:t>80</w:t>
            </w:r>
          </w:p>
        </w:tc>
        <w:tc>
          <w:tcPr>
            <w:tcW w:w="2431" w:type="dxa"/>
            <w:tcBorders>
              <w:top w:val="nil"/>
              <w:left w:val="nil"/>
              <w:bottom w:val="single" w:sz="4" w:space="0" w:color="auto"/>
              <w:right w:val="single" w:sz="4" w:space="0" w:color="auto"/>
            </w:tcBorders>
            <w:noWrap/>
            <w:hideMark/>
          </w:tcPr>
          <w:p w14:paraId="4FFE6B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Объединенные Арабские Эмираты</w:t>
            </w:r>
          </w:p>
        </w:tc>
        <w:tc>
          <w:tcPr>
            <w:tcW w:w="1418" w:type="dxa"/>
            <w:tcBorders>
              <w:top w:val="nil"/>
              <w:left w:val="nil"/>
              <w:bottom w:val="single" w:sz="4" w:space="0" w:color="auto"/>
              <w:right w:val="single" w:sz="4" w:space="0" w:color="auto"/>
            </w:tcBorders>
            <w:noWrap/>
            <w:hideMark/>
          </w:tcPr>
          <w:p w14:paraId="6E654E9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0,574</w:t>
            </w:r>
          </w:p>
        </w:tc>
        <w:tc>
          <w:tcPr>
            <w:tcW w:w="1417" w:type="dxa"/>
            <w:tcBorders>
              <w:top w:val="nil"/>
              <w:left w:val="nil"/>
              <w:bottom w:val="single" w:sz="4" w:space="0" w:color="auto"/>
              <w:right w:val="single" w:sz="4" w:space="0" w:color="auto"/>
            </w:tcBorders>
            <w:noWrap/>
            <w:hideMark/>
          </w:tcPr>
          <w:p w14:paraId="3F84D6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0,5793</w:t>
            </w:r>
          </w:p>
        </w:tc>
        <w:tc>
          <w:tcPr>
            <w:tcW w:w="1073" w:type="dxa"/>
            <w:tcBorders>
              <w:top w:val="nil"/>
              <w:left w:val="nil"/>
              <w:bottom w:val="single" w:sz="4" w:space="0" w:color="auto"/>
              <w:right w:val="single" w:sz="4" w:space="0" w:color="auto"/>
            </w:tcBorders>
            <w:noWrap/>
            <w:hideMark/>
          </w:tcPr>
          <w:p w14:paraId="662A244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17 863</w:t>
            </w:r>
          </w:p>
        </w:tc>
        <w:tc>
          <w:tcPr>
            <w:tcW w:w="1053" w:type="dxa"/>
            <w:tcBorders>
              <w:top w:val="nil"/>
              <w:left w:val="nil"/>
              <w:bottom w:val="single" w:sz="4" w:space="0" w:color="auto"/>
              <w:right w:val="single" w:sz="4" w:space="0" w:color="auto"/>
            </w:tcBorders>
            <w:noWrap/>
            <w:hideMark/>
          </w:tcPr>
          <w:p w14:paraId="79BE3FB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23 575</w:t>
            </w:r>
          </w:p>
        </w:tc>
        <w:tc>
          <w:tcPr>
            <w:tcW w:w="1553" w:type="dxa"/>
            <w:tcBorders>
              <w:top w:val="nil"/>
              <w:left w:val="nil"/>
              <w:bottom w:val="single" w:sz="4" w:space="0" w:color="auto"/>
              <w:right w:val="single" w:sz="4" w:space="0" w:color="auto"/>
            </w:tcBorders>
            <w:noWrap/>
            <w:hideMark/>
          </w:tcPr>
          <w:p w14:paraId="129FF2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41 438</w:t>
            </w:r>
          </w:p>
        </w:tc>
      </w:tr>
      <w:tr w:rsidR="00107665" w:rsidRPr="00631C1C" w14:paraId="305BAE8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6316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81</w:t>
            </w:r>
          </w:p>
        </w:tc>
        <w:tc>
          <w:tcPr>
            <w:tcW w:w="2431" w:type="dxa"/>
            <w:tcBorders>
              <w:top w:val="nil"/>
              <w:left w:val="nil"/>
              <w:bottom w:val="single" w:sz="4" w:space="0" w:color="auto"/>
              <w:right w:val="single" w:sz="4" w:space="0" w:color="auto"/>
            </w:tcBorders>
            <w:noWrap/>
            <w:hideMark/>
          </w:tcPr>
          <w:p w14:paraId="0850458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Вануату</w:t>
            </w:r>
          </w:p>
        </w:tc>
        <w:tc>
          <w:tcPr>
            <w:tcW w:w="1418" w:type="dxa"/>
            <w:tcBorders>
              <w:top w:val="nil"/>
              <w:left w:val="nil"/>
              <w:bottom w:val="single" w:sz="4" w:space="0" w:color="auto"/>
              <w:right w:val="single" w:sz="4" w:space="0" w:color="auto"/>
            </w:tcBorders>
            <w:noWrap/>
            <w:hideMark/>
          </w:tcPr>
          <w:p w14:paraId="0A88677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2DF54F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6FC13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F8AAA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5B94A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2066A5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842E2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82</w:t>
            </w:r>
          </w:p>
        </w:tc>
        <w:tc>
          <w:tcPr>
            <w:tcW w:w="2431" w:type="dxa"/>
            <w:tcBorders>
              <w:top w:val="nil"/>
              <w:left w:val="nil"/>
              <w:bottom w:val="single" w:sz="4" w:space="0" w:color="auto"/>
              <w:right w:val="single" w:sz="4" w:space="0" w:color="auto"/>
            </w:tcBorders>
            <w:noWrap/>
            <w:hideMark/>
          </w:tcPr>
          <w:p w14:paraId="48ECE6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Вьетнам</w:t>
            </w:r>
          </w:p>
        </w:tc>
        <w:tc>
          <w:tcPr>
            <w:tcW w:w="1418" w:type="dxa"/>
            <w:tcBorders>
              <w:top w:val="nil"/>
              <w:left w:val="nil"/>
              <w:bottom w:val="single" w:sz="4" w:space="0" w:color="auto"/>
              <w:right w:val="single" w:sz="4" w:space="0" w:color="auto"/>
            </w:tcBorders>
            <w:noWrap/>
            <w:hideMark/>
          </w:tcPr>
          <w:p w14:paraId="435159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0,159</w:t>
            </w:r>
          </w:p>
        </w:tc>
        <w:tc>
          <w:tcPr>
            <w:tcW w:w="1417" w:type="dxa"/>
            <w:tcBorders>
              <w:top w:val="nil"/>
              <w:left w:val="nil"/>
              <w:bottom w:val="single" w:sz="4" w:space="0" w:color="auto"/>
              <w:right w:val="single" w:sz="4" w:space="0" w:color="auto"/>
            </w:tcBorders>
            <w:noWrap/>
            <w:hideMark/>
          </w:tcPr>
          <w:p w14:paraId="22D296C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0,1605</w:t>
            </w:r>
          </w:p>
        </w:tc>
        <w:tc>
          <w:tcPr>
            <w:tcW w:w="1073" w:type="dxa"/>
            <w:tcBorders>
              <w:top w:val="nil"/>
              <w:left w:val="nil"/>
              <w:bottom w:val="single" w:sz="4" w:space="0" w:color="auto"/>
              <w:right w:val="single" w:sz="4" w:space="0" w:color="auto"/>
            </w:tcBorders>
            <w:noWrap/>
            <w:hideMark/>
          </w:tcPr>
          <w:p w14:paraId="03EE18B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4 948</w:t>
            </w:r>
          </w:p>
        </w:tc>
        <w:tc>
          <w:tcPr>
            <w:tcW w:w="1053" w:type="dxa"/>
            <w:tcBorders>
              <w:top w:val="nil"/>
              <w:left w:val="nil"/>
              <w:bottom w:val="single" w:sz="4" w:space="0" w:color="auto"/>
              <w:right w:val="single" w:sz="4" w:space="0" w:color="auto"/>
            </w:tcBorders>
            <w:noWrap/>
            <w:hideMark/>
          </w:tcPr>
          <w:p w14:paraId="603723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6 530</w:t>
            </w:r>
          </w:p>
        </w:tc>
        <w:tc>
          <w:tcPr>
            <w:tcW w:w="1553" w:type="dxa"/>
            <w:tcBorders>
              <w:top w:val="nil"/>
              <w:left w:val="nil"/>
              <w:bottom w:val="single" w:sz="4" w:space="0" w:color="auto"/>
              <w:right w:val="single" w:sz="4" w:space="0" w:color="auto"/>
            </w:tcBorders>
            <w:noWrap/>
            <w:hideMark/>
          </w:tcPr>
          <w:p w14:paraId="3E6A608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11 479</w:t>
            </w:r>
          </w:p>
        </w:tc>
      </w:tr>
      <w:tr w:rsidR="00107665" w:rsidRPr="00631C1C" w14:paraId="703340E0" w14:textId="77777777" w:rsidTr="008E43FF">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1B2B88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Государства Восточной Европы (19)</w:t>
            </w:r>
          </w:p>
        </w:tc>
      </w:tr>
      <w:tr w:rsidR="00107665" w:rsidRPr="00631C1C" w14:paraId="2DE7F7D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94CD1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83</w:t>
            </w:r>
          </w:p>
        </w:tc>
        <w:tc>
          <w:tcPr>
            <w:tcW w:w="2431" w:type="dxa"/>
            <w:tcBorders>
              <w:top w:val="nil"/>
              <w:left w:val="nil"/>
              <w:bottom w:val="single" w:sz="4" w:space="0" w:color="auto"/>
              <w:right w:val="single" w:sz="4" w:space="0" w:color="auto"/>
            </w:tcBorders>
            <w:noWrap/>
            <w:hideMark/>
          </w:tcPr>
          <w:p w14:paraId="131F4BC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Албания</w:t>
            </w:r>
          </w:p>
        </w:tc>
        <w:tc>
          <w:tcPr>
            <w:tcW w:w="1418" w:type="dxa"/>
            <w:tcBorders>
              <w:top w:val="nil"/>
              <w:left w:val="nil"/>
              <w:bottom w:val="single" w:sz="4" w:space="0" w:color="auto"/>
              <w:right w:val="single" w:sz="4" w:space="0" w:color="auto"/>
            </w:tcBorders>
            <w:noWrap/>
            <w:hideMark/>
          </w:tcPr>
          <w:p w14:paraId="32AB6F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75E564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7C48934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074649D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2E8B37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7964551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71B69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84</w:t>
            </w:r>
          </w:p>
        </w:tc>
        <w:tc>
          <w:tcPr>
            <w:tcW w:w="2431" w:type="dxa"/>
            <w:tcBorders>
              <w:top w:val="nil"/>
              <w:left w:val="nil"/>
              <w:bottom w:val="single" w:sz="4" w:space="0" w:color="auto"/>
              <w:right w:val="single" w:sz="4" w:space="0" w:color="auto"/>
            </w:tcBorders>
            <w:noWrap/>
            <w:hideMark/>
          </w:tcPr>
          <w:p w14:paraId="31B45CD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Армения</w:t>
            </w:r>
          </w:p>
        </w:tc>
        <w:tc>
          <w:tcPr>
            <w:tcW w:w="1418" w:type="dxa"/>
            <w:tcBorders>
              <w:top w:val="nil"/>
              <w:left w:val="nil"/>
              <w:bottom w:val="single" w:sz="4" w:space="0" w:color="auto"/>
              <w:right w:val="single" w:sz="4" w:space="0" w:color="auto"/>
            </w:tcBorders>
            <w:noWrap/>
            <w:hideMark/>
          </w:tcPr>
          <w:p w14:paraId="6F5979A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569C7FD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CE221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A3460E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676DF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5F8D33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9205C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85</w:t>
            </w:r>
          </w:p>
        </w:tc>
        <w:tc>
          <w:tcPr>
            <w:tcW w:w="2431" w:type="dxa"/>
            <w:tcBorders>
              <w:top w:val="nil"/>
              <w:left w:val="nil"/>
              <w:bottom w:val="single" w:sz="4" w:space="0" w:color="auto"/>
              <w:right w:val="single" w:sz="4" w:space="0" w:color="auto"/>
            </w:tcBorders>
            <w:noWrap/>
            <w:hideMark/>
          </w:tcPr>
          <w:p w14:paraId="0981917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Болгария</w:t>
            </w:r>
          </w:p>
        </w:tc>
        <w:tc>
          <w:tcPr>
            <w:tcW w:w="1418" w:type="dxa"/>
            <w:tcBorders>
              <w:top w:val="nil"/>
              <w:left w:val="nil"/>
              <w:bottom w:val="single" w:sz="4" w:space="0" w:color="auto"/>
              <w:right w:val="single" w:sz="4" w:space="0" w:color="auto"/>
            </w:tcBorders>
            <w:noWrap/>
            <w:hideMark/>
          </w:tcPr>
          <w:p w14:paraId="4AB69BD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0,071</w:t>
            </w:r>
          </w:p>
        </w:tc>
        <w:tc>
          <w:tcPr>
            <w:tcW w:w="1417" w:type="dxa"/>
            <w:tcBorders>
              <w:top w:val="nil"/>
              <w:left w:val="nil"/>
              <w:bottom w:val="single" w:sz="4" w:space="0" w:color="auto"/>
              <w:right w:val="single" w:sz="4" w:space="0" w:color="auto"/>
            </w:tcBorders>
            <w:noWrap/>
            <w:hideMark/>
          </w:tcPr>
          <w:p w14:paraId="5A85222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0,0717</w:t>
            </w:r>
          </w:p>
        </w:tc>
        <w:tc>
          <w:tcPr>
            <w:tcW w:w="1073" w:type="dxa"/>
            <w:tcBorders>
              <w:top w:val="nil"/>
              <w:left w:val="nil"/>
              <w:bottom w:val="single" w:sz="4" w:space="0" w:color="auto"/>
              <w:right w:val="single" w:sz="4" w:space="0" w:color="auto"/>
            </w:tcBorders>
            <w:noWrap/>
            <w:hideMark/>
          </w:tcPr>
          <w:p w14:paraId="407C21F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2 210</w:t>
            </w:r>
          </w:p>
        </w:tc>
        <w:tc>
          <w:tcPr>
            <w:tcW w:w="1053" w:type="dxa"/>
            <w:tcBorders>
              <w:top w:val="nil"/>
              <w:left w:val="nil"/>
              <w:bottom w:val="single" w:sz="4" w:space="0" w:color="auto"/>
              <w:right w:val="single" w:sz="4" w:space="0" w:color="auto"/>
            </w:tcBorders>
            <w:noWrap/>
            <w:hideMark/>
          </w:tcPr>
          <w:p w14:paraId="752FB48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2 916</w:t>
            </w:r>
          </w:p>
        </w:tc>
        <w:tc>
          <w:tcPr>
            <w:tcW w:w="1553" w:type="dxa"/>
            <w:tcBorders>
              <w:top w:val="nil"/>
              <w:left w:val="nil"/>
              <w:bottom w:val="single" w:sz="4" w:space="0" w:color="auto"/>
              <w:right w:val="single" w:sz="4" w:space="0" w:color="auto"/>
            </w:tcBorders>
            <w:noWrap/>
            <w:hideMark/>
          </w:tcPr>
          <w:p w14:paraId="422CA66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5 126</w:t>
            </w:r>
          </w:p>
        </w:tc>
      </w:tr>
      <w:tr w:rsidR="00107665" w:rsidRPr="00631C1C" w14:paraId="2DADB5D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5CB292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86</w:t>
            </w:r>
          </w:p>
        </w:tc>
        <w:tc>
          <w:tcPr>
            <w:tcW w:w="2431" w:type="dxa"/>
            <w:tcBorders>
              <w:top w:val="nil"/>
              <w:left w:val="nil"/>
              <w:bottom w:val="single" w:sz="4" w:space="0" w:color="auto"/>
              <w:right w:val="single" w:sz="4" w:space="0" w:color="auto"/>
            </w:tcBorders>
            <w:noWrap/>
            <w:hideMark/>
          </w:tcPr>
          <w:p w14:paraId="0DF7F2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Хорватия</w:t>
            </w:r>
          </w:p>
        </w:tc>
        <w:tc>
          <w:tcPr>
            <w:tcW w:w="1418" w:type="dxa"/>
            <w:tcBorders>
              <w:top w:val="nil"/>
              <w:left w:val="nil"/>
              <w:bottom w:val="single" w:sz="4" w:space="0" w:color="auto"/>
              <w:right w:val="single" w:sz="4" w:space="0" w:color="auto"/>
            </w:tcBorders>
            <w:noWrap/>
            <w:hideMark/>
          </w:tcPr>
          <w:p w14:paraId="7C14622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0,088</w:t>
            </w:r>
          </w:p>
        </w:tc>
        <w:tc>
          <w:tcPr>
            <w:tcW w:w="1417" w:type="dxa"/>
            <w:tcBorders>
              <w:top w:val="nil"/>
              <w:left w:val="nil"/>
              <w:bottom w:val="single" w:sz="4" w:space="0" w:color="auto"/>
              <w:right w:val="single" w:sz="4" w:space="0" w:color="auto"/>
            </w:tcBorders>
            <w:noWrap/>
            <w:hideMark/>
          </w:tcPr>
          <w:p w14:paraId="350740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0,0888</w:t>
            </w:r>
          </w:p>
        </w:tc>
        <w:tc>
          <w:tcPr>
            <w:tcW w:w="1073" w:type="dxa"/>
            <w:tcBorders>
              <w:top w:val="nil"/>
              <w:left w:val="nil"/>
              <w:bottom w:val="single" w:sz="4" w:space="0" w:color="auto"/>
              <w:right w:val="single" w:sz="4" w:space="0" w:color="auto"/>
            </w:tcBorders>
            <w:noWrap/>
            <w:hideMark/>
          </w:tcPr>
          <w:p w14:paraId="7247F42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2 739</w:t>
            </w:r>
          </w:p>
        </w:tc>
        <w:tc>
          <w:tcPr>
            <w:tcW w:w="1053" w:type="dxa"/>
            <w:tcBorders>
              <w:top w:val="nil"/>
              <w:left w:val="nil"/>
              <w:bottom w:val="single" w:sz="4" w:space="0" w:color="auto"/>
              <w:right w:val="single" w:sz="4" w:space="0" w:color="auto"/>
            </w:tcBorders>
            <w:noWrap/>
            <w:hideMark/>
          </w:tcPr>
          <w:p w14:paraId="4D6E39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3 614</w:t>
            </w:r>
          </w:p>
        </w:tc>
        <w:tc>
          <w:tcPr>
            <w:tcW w:w="1553" w:type="dxa"/>
            <w:tcBorders>
              <w:top w:val="nil"/>
              <w:left w:val="nil"/>
              <w:bottom w:val="single" w:sz="4" w:space="0" w:color="auto"/>
              <w:right w:val="single" w:sz="4" w:space="0" w:color="auto"/>
            </w:tcBorders>
            <w:noWrap/>
            <w:hideMark/>
          </w:tcPr>
          <w:p w14:paraId="189F2D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6 353</w:t>
            </w:r>
          </w:p>
        </w:tc>
      </w:tr>
      <w:tr w:rsidR="00107665" w:rsidRPr="00631C1C" w14:paraId="4A04994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C25F0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87</w:t>
            </w:r>
          </w:p>
        </w:tc>
        <w:tc>
          <w:tcPr>
            <w:tcW w:w="2431" w:type="dxa"/>
            <w:tcBorders>
              <w:top w:val="nil"/>
              <w:left w:val="nil"/>
              <w:bottom w:val="single" w:sz="4" w:space="0" w:color="auto"/>
              <w:right w:val="single" w:sz="4" w:space="0" w:color="auto"/>
            </w:tcBorders>
            <w:noWrap/>
            <w:hideMark/>
          </w:tcPr>
          <w:p w14:paraId="567B6D2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Чехия</w:t>
            </w:r>
          </w:p>
        </w:tc>
        <w:tc>
          <w:tcPr>
            <w:tcW w:w="1418" w:type="dxa"/>
            <w:tcBorders>
              <w:top w:val="nil"/>
              <w:left w:val="nil"/>
              <w:bottom w:val="single" w:sz="4" w:space="0" w:color="auto"/>
              <w:right w:val="single" w:sz="4" w:space="0" w:color="auto"/>
            </w:tcBorders>
            <w:noWrap/>
            <w:hideMark/>
          </w:tcPr>
          <w:p w14:paraId="5817283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0,344</w:t>
            </w:r>
          </w:p>
        </w:tc>
        <w:tc>
          <w:tcPr>
            <w:tcW w:w="1417" w:type="dxa"/>
            <w:tcBorders>
              <w:top w:val="nil"/>
              <w:left w:val="nil"/>
              <w:bottom w:val="single" w:sz="4" w:space="0" w:color="auto"/>
              <w:right w:val="single" w:sz="4" w:space="0" w:color="auto"/>
            </w:tcBorders>
            <w:noWrap/>
            <w:hideMark/>
          </w:tcPr>
          <w:p w14:paraId="0B6F996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0,3472</w:t>
            </w:r>
          </w:p>
        </w:tc>
        <w:tc>
          <w:tcPr>
            <w:tcW w:w="1073" w:type="dxa"/>
            <w:tcBorders>
              <w:top w:val="nil"/>
              <w:left w:val="nil"/>
              <w:bottom w:val="single" w:sz="4" w:space="0" w:color="auto"/>
              <w:right w:val="single" w:sz="4" w:space="0" w:color="auto"/>
            </w:tcBorders>
            <w:noWrap/>
            <w:hideMark/>
          </w:tcPr>
          <w:p w14:paraId="535CFE2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10 705</w:t>
            </w:r>
          </w:p>
        </w:tc>
        <w:tc>
          <w:tcPr>
            <w:tcW w:w="1053" w:type="dxa"/>
            <w:tcBorders>
              <w:top w:val="nil"/>
              <w:left w:val="nil"/>
              <w:bottom w:val="single" w:sz="4" w:space="0" w:color="auto"/>
              <w:right w:val="single" w:sz="4" w:space="0" w:color="auto"/>
            </w:tcBorders>
            <w:noWrap/>
            <w:hideMark/>
          </w:tcPr>
          <w:p w14:paraId="318FE4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14 129</w:t>
            </w:r>
          </w:p>
        </w:tc>
        <w:tc>
          <w:tcPr>
            <w:tcW w:w="1553" w:type="dxa"/>
            <w:tcBorders>
              <w:top w:val="nil"/>
              <w:left w:val="nil"/>
              <w:bottom w:val="single" w:sz="4" w:space="0" w:color="auto"/>
              <w:right w:val="single" w:sz="4" w:space="0" w:color="auto"/>
            </w:tcBorders>
            <w:noWrap/>
            <w:hideMark/>
          </w:tcPr>
          <w:p w14:paraId="783FFE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24 834</w:t>
            </w:r>
          </w:p>
        </w:tc>
      </w:tr>
      <w:tr w:rsidR="00107665" w:rsidRPr="00631C1C" w14:paraId="55A9E05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D78B3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88</w:t>
            </w:r>
          </w:p>
        </w:tc>
        <w:tc>
          <w:tcPr>
            <w:tcW w:w="2431" w:type="dxa"/>
            <w:tcBorders>
              <w:top w:val="nil"/>
              <w:left w:val="nil"/>
              <w:bottom w:val="single" w:sz="4" w:space="0" w:color="auto"/>
              <w:right w:val="single" w:sz="4" w:space="0" w:color="auto"/>
            </w:tcBorders>
            <w:noWrap/>
            <w:hideMark/>
          </w:tcPr>
          <w:p w14:paraId="0A9B45F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Эстония</w:t>
            </w:r>
          </w:p>
        </w:tc>
        <w:tc>
          <w:tcPr>
            <w:tcW w:w="1418" w:type="dxa"/>
            <w:tcBorders>
              <w:top w:val="nil"/>
              <w:left w:val="nil"/>
              <w:bottom w:val="single" w:sz="4" w:space="0" w:color="auto"/>
              <w:right w:val="single" w:sz="4" w:space="0" w:color="auto"/>
            </w:tcBorders>
            <w:noWrap/>
            <w:hideMark/>
          </w:tcPr>
          <w:p w14:paraId="01D8F24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0,045</w:t>
            </w:r>
          </w:p>
        </w:tc>
        <w:tc>
          <w:tcPr>
            <w:tcW w:w="1417" w:type="dxa"/>
            <w:tcBorders>
              <w:top w:val="nil"/>
              <w:left w:val="nil"/>
              <w:bottom w:val="single" w:sz="4" w:space="0" w:color="auto"/>
              <w:right w:val="single" w:sz="4" w:space="0" w:color="auto"/>
            </w:tcBorders>
            <w:noWrap/>
            <w:hideMark/>
          </w:tcPr>
          <w:p w14:paraId="7AD328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0,0454</w:t>
            </w:r>
          </w:p>
        </w:tc>
        <w:tc>
          <w:tcPr>
            <w:tcW w:w="1073" w:type="dxa"/>
            <w:tcBorders>
              <w:top w:val="nil"/>
              <w:left w:val="nil"/>
              <w:bottom w:val="single" w:sz="4" w:space="0" w:color="auto"/>
              <w:right w:val="single" w:sz="4" w:space="0" w:color="auto"/>
            </w:tcBorders>
            <w:noWrap/>
            <w:hideMark/>
          </w:tcPr>
          <w:p w14:paraId="11C450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1 400</w:t>
            </w:r>
          </w:p>
        </w:tc>
        <w:tc>
          <w:tcPr>
            <w:tcW w:w="1053" w:type="dxa"/>
            <w:tcBorders>
              <w:top w:val="nil"/>
              <w:left w:val="nil"/>
              <w:bottom w:val="single" w:sz="4" w:space="0" w:color="auto"/>
              <w:right w:val="single" w:sz="4" w:space="0" w:color="auto"/>
            </w:tcBorders>
            <w:noWrap/>
            <w:hideMark/>
          </w:tcPr>
          <w:p w14:paraId="3352EA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1 848</w:t>
            </w:r>
          </w:p>
        </w:tc>
        <w:tc>
          <w:tcPr>
            <w:tcW w:w="1553" w:type="dxa"/>
            <w:tcBorders>
              <w:top w:val="nil"/>
              <w:left w:val="nil"/>
              <w:bottom w:val="single" w:sz="4" w:space="0" w:color="auto"/>
              <w:right w:val="single" w:sz="4" w:space="0" w:color="auto"/>
            </w:tcBorders>
            <w:noWrap/>
            <w:hideMark/>
          </w:tcPr>
          <w:p w14:paraId="0EF12F2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3 249</w:t>
            </w:r>
          </w:p>
        </w:tc>
      </w:tr>
      <w:tr w:rsidR="00107665" w:rsidRPr="00631C1C" w14:paraId="753EFE9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10FBA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89</w:t>
            </w:r>
          </w:p>
        </w:tc>
        <w:tc>
          <w:tcPr>
            <w:tcW w:w="2431" w:type="dxa"/>
            <w:tcBorders>
              <w:top w:val="nil"/>
              <w:left w:val="nil"/>
              <w:bottom w:val="single" w:sz="4" w:space="0" w:color="auto"/>
              <w:right w:val="single" w:sz="4" w:space="0" w:color="auto"/>
            </w:tcBorders>
            <w:noWrap/>
            <w:hideMark/>
          </w:tcPr>
          <w:p w14:paraId="03634B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Грузия</w:t>
            </w:r>
          </w:p>
        </w:tc>
        <w:tc>
          <w:tcPr>
            <w:tcW w:w="1418" w:type="dxa"/>
            <w:tcBorders>
              <w:top w:val="nil"/>
              <w:left w:val="nil"/>
              <w:bottom w:val="single" w:sz="4" w:space="0" w:color="auto"/>
              <w:right w:val="single" w:sz="4" w:space="0" w:color="auto"/>
            </w:tcBorders>
            <w:noWrap/>
            <w:hideMark/>
          </w:tcPr>
          <w:p w14:paraId="134679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0,009</w:t>
            </w:r>
          </w:p>
        </w:tc>
        <w:tc>
          <w:tcPr>
            <w:tcW w:w="1417" w:type="dxa"/>
            <w:tcBorders>
              <w:top w:val="nil"/>
              <w:left w:val="nil"/>
              <w:bottom w:val="single" w:sz="4" w:space="0" w:color="auto"/>
              <w:right w:val="single" w:sz="4" w:space="0" w:color="auto"/>
            </w:tcBorders>
            <w:noWrap/>
            <w:hideMark/>
          </w:tcPr>
          <w:p w14:paraId="11BE39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99E93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63855E3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E7D3AA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CC762EC"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CBABBD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90</w:t>
            </w:r>
          </w:p>
        </w:tc>
        <w:tc>
          <w:tcPr>
            <w:tcW w:w="2431" w:type="dxa"/>
            <w:tcBorders>
              <w:top w:val="nil"/>
              <w:left w:val="nil"/>
              <w:bottom w:val="single" w:sz="4" w:space="0" w:color="auto"/>
              <w:right w:val="single" w:sz="4" w:space="0" w:color="auto"/>
            </w:tcBorders>
            <w:noWrap/>
            <w:hideMark/>
          </w:tcPr>
          <w:p w14:paraId="72C58C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Венгрия</w:t>
            </w:r>
          </w:p>
        </w:tc>
        <w:tc>
          <w:tcPr>
            <w:tcW w:w="1418" w:type="dxa"/>
            <w:tcBorders>
              <w:top w:val="nil"/>
              <w:left w:val="nil"/>
              <w:bottom w:val="single" w:sz="4" w:space="0" w:color="auto"/>
              <w:right w:val="single" w:sz="4" w:space="0" w:color="auto"/>
            </w:tcBorders>
            <w:noWrap/>
            <w:hideMark/>
          </w:tcPr>
          <w:p w14:paraId="1FBBA4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0,223</w:t>
            </w:r>
          </w:p>
        </w:tc>
        <w:tc>
          <w:tcPr>
            <w:tcW w:w="1417" w:type="dxa"/>
            <w:tcBorders>
              <w:top w:val="nil"/>
              <w:left w:val="nil"/>
              <w:bottom w:val="single" w:sz="4" w:space="0" w:color="auto"/>
              <w:right w:val="single" w:sz="4" w:space="0" w:color="auto"/>
            </w:tcBorders>
            <w:noWrap/>
            <w:hideMark/>
          </w:tcPr>
          <w:p w14:paraId="7C8FA0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0,2251</w:t>
            </w:r>
          </w:p>
        </w:tc>
        <w:tc>
          <w:tcPr>
            <w:tcW w:w="1073" w:type="dxa"/>
            <w:tcBorders>
              <w:top w:val="nil"/>
              <w:left w:val="nil"/>
              <w:bottom w:val="single" w:sz="4" w:space="0" w:color="auto"/>
              <w:right w:val="single" w:sz="4" w:space="0" w:color="auto"/>
            </w:tcBorders>
            <w:noWrap/>
            <w:hideMark/>
          </w:tcPr>
          <w:p w14:paraId="2D184A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6 940</w:t>
            </w:r>
          </w:p>
        </w:tc>
        <w:tc>
          <w:tcPr>
            <w:tcW w:w="1053" w:type="dxa"/>
            <w:tcBorders>
              <w:top w:val="nil"/>
              <w:left w:val="nil"/>
              <w:bottom w:val="single" w:sz="4" w:space="0" w:color="auto"/>
              <w:right w:val="single" w:sz="4" w:space="0" w:color="auto"/>
            </w:tcBorders>
            <w:noWrap/>
            <w:hideMark/>
          </w:tcPr>
          <w:p w14:paraId="17FBCB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9 159</w:t>
            </w:r>
          </w:p>
        </w:tc>
        <w:tc>
          <w:tcPr>
            <w:tcW w:w="1553" w:type="dxa"/>
            <w:tcBorders>
              <w:top w:val="nil"/>
              <w:left w:val="nil"/>
              <w:bottom w:val="single" w:sz="4" w:space="0" w:color="auto"/>
              <w:right w:val="single" w:sz="4" w:space="0" w:color="auto"/>
            </w:tcBorders>
            <w:noWrap/>
            <w:hideMark/>
          </w:tcPr>
          <w:p w14:paraId="31BA226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16 099</w:t>
            </w:r>
          </w:p>
        </w:tc>
      </w:tr>
      <w:tr w:rsidR="00107665" w:rsidRPr="00631C1C" w14:paraId="00EC2FA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82AE1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91</w:t>
            </w:r>
          </w:p>
        </w:tc>
        <w:tc>
          <w:tcPr>
            <w:tcW w:w="2431" w:type="dxa"/>
            <w:tcBorders>
              <w:top w:val="nil"/>
              <w:left w:val="nil"/>
              <w:bottom w:val="single" w:sz="4" w:space="0" w:color="auto"/>
              <w:right w:val="single" w:sz="4" w:space="0" w:color="auto"/>
            </w:tcBorders>
            <w:noWrap/>
            <w:hideMark/>
          </w:tcPr>
          <w:p w14:paraId="40268A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Латвия</w:t>
            </w:r>
          </w:p>
        </w:tc>
        <w:tc>
          <w:tcPr>
            <w:tcW w:w="1418" w:type="dxa"/>
            <w:tcBorders>
              <w:top w:val="nil"/>
              <w:left w:val="nil"/>
              <w:bottom w:val="single" w:sz="4" w:space="0" w:color="auto"/>
              <w:right w:val="single" w:sz="4" w:space="0" w:color="auto"/>
            </w:tcBorders>
            <w:noWrap/>
            <w:hideMark/>
          </w:tcPr>
          <w:p w14:paraId="218962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0,05</w:t>
            </w:r>
          </w:p>
        </w:tc>
        <w:tc>
          <w:tcPr>
            <w:tcW w:w="1417" w:type="dxa"/>
            <w:tcBorders>
              <w:top w:val="nil"/>
              <w:left w:val="nil"/>
              <w:bottom w:val="single" w:sz="4" w:space="0" w:color="auto"/>
              <w:right w:val="single" w:sz="4" w:space="0" w:color="auto"/>
            </w:tcBorders>
            <w:noWrap/>
            <w:hideMark/>
          </w:tcPr>
          <w:p w14:paraId="2E9727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0,0505</w:t>
            </w:r>
          </w:p>
        </w:tc>
        <w:tc>
          <w:tcPr>
            <w:tcW w:w="1073" w:type="dxa"/>
            <w:tcBorders>
              <w:top w:val="nil"/>
              <w:left w:val="nil"/>
              <w:bottom w:val="single" w:sz="4" w:space="0" w:color="auto"/>
              <w:right w:val="single" w:sz="4" w:space="0" w:color="auto"/>
            </w:tcBorders>
            <w:noWrap/>
            <w:hideMark/>
          </w:tcPr>
          <w:p w14:paraId="77D21B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1 556</w:t>
            </w:r>
          </w:p>
        </w:tc>
        <w:tc>
          <w:tcPr>
            <w:tcW w:w="1053" w:type="dxa"/>
            <w:tcBorders>
              <w:top w:val="nil"/>
              <w:left w:val="nil"/>
              <w:bottom w:val="single" w:sz="4" w:space="0" w:color="auto"/>
              <w:right w:val="single" w:sz="4" w:space="0" w:color="auto"/>
            </w:tcBorders>
            <w:noWrap/>
            <w:hideMark/>
          </w:tcPr>
          <w:p w14:paraId="5280A4C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2 054</w:t>
            </w:r>
          </w:p>
        </w:tc>
        <w:tc>
          <w:tcPr>
            <w:tcW w:w="1553" w:type="dxa"/>
            <w:tcBorders>
              <w:top w:val="nil"/>
              <w:left w:val="nil"/>
              <w:bottom w:val="single" w:sz="4" w:space="0" w:color="auto"/>
              <w:right w:val="single" w:sz="4" w:space="0" w:color="auto"/>
            </w:tcBorders>
            <w:noWrap/>
            <w:hideMark/>
          </w:tcPr>
          <w:p w14:paraId="2C3ED13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3 610</w:t>
            </w:r>
          </w:p>
        </w:tc>
      </w:tr>
      <w:tr w:rsidR="00107665" w:rsidRPr="00631C1C" w14:paraId="674C6D4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FECCDE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92</w:t>
            </w:r>
          </w:p>
        </w:tc>
        <w:tc>
          <w:tcPr>
            <w:tcW w:w="2431" w:type="dxa"/>
            <w:tcBorders>
              <w:top w:val="nil"/>
              <w:left w:val="nil"/>
              <w:bottom w:val="single" w:sz="4" w:space="0" w:color="auto"/>
              <w:right w:val="single" w:sz="4" w:space="0" w:color="auto"/>
            </w:tcBorders>
            <w:noWrap/>
            <w:hideMark/>
          </w:tcPr>
          <w:p w14:paraId="3AA394D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Литва</w:t>
            </w:r>
          </w:p>
        </w:tc>
        <w:tc>
          <w:tcPr>
            <w:tcW w:w="1418" w:type="dxa"/>
            <w:tcBorders>
              <w:top w:val="nil"/>
              <w:left w:val="nil"/>
              <w:bottom w:val="single" w:sz="4" w:space="0" w:color="auto"/>
              <w:right w:val="single" w:sz="4" w:space="0" w:color="auto"/>
            </w:tcBorders>
            <w:noWrap/>
            <w:hideMark/>
          </w:tcPr>
          <w:p w14:paraId="30911E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0,081</w:t>
            </w:r>
          </w:p>
        </w:tc>
        <w:tc>
          <w:tcPr>
            <w:tcW w:w="1417" w:type="dxa"/>
            <w:tcBorders>
              <w:top w:val="nil"/>
              <w:left w:val="nil"/>
              <w:bottom w:val="single" w:sz="4" w:space="0" w:color="auto"/>
              <w:right w:val="single" w:sz="4" w:space="0" w:color="auto"/>
            </w:tcBorders>
            <w:noWrap/>
            <w:hideMark/>
          </w:tcPr>
          <w:p w14:paraId="4A46F3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0,0818</w:t>
            </w:r>
          </w:p>
        </w:tc>
        <w:tc>
          <w:tcPr>
            <w:tcW w:w="1073" w:type="dxa"/>
            <w:tcBorders>
              <w:top w:val="nil"/>
              <w:left w:val="nil"/>
              <w:bottom w:val="single" w:sz="4" w:space="0" w:color="auto"/>
              <w:right w:val="single" w:sz="4" w:space="0" w:color="auto"/>
            </w:tcBorders>
            <w:noWrap/>
            <w:hideMark/>
          </w:tcPr>
          <w:p w14:paraId="1EF5C9C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2 521</w:t>
            </w:r>
          </w:p>
        </w:tc>
        <w:tc>
          <w:tcPr>
            <w:tcW w:w="1053" w:type="dxa"/>
            <w:tcBorders>
              <w:top w:val="nil"/>
              <w:left w:val="nil"/>
              <w:bottom w:val="single" w:sz="4" w:space="0" w:color="auto"/>
              <w:right w:val="single" w:sz="4" w:space="0" w:color="auto"/>
            </w:tcBorders>
            <w:noWrap/>
            <w:hideMark/>
          </w:tcPr>
          <w:p w14:paraId="5649E88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3 327</w:t>
            </w:r>
          </w:p>
        </w:tc>
        <w:tc>
          <w:tcPr>
            <w:tcW w:w="1553" w:type="dxa"/>
            <w:tcBorders>
              <w:top w:val="nil"/>
              <w:left w:val="nil"/>
              <w:bottom w:val="single" w:sz="4" w:space="0" w:color="auto"/>
              <w:right w:val="single" w:sz="4" w:space="0" w:color="auto"/>
            </w:tcBorders>
            <w:noWrap/>
            <w:hideMark/>
          </w:tcPr>
          <w:p w14:paraId="6C6B31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5 848</w:t>
            </w:r>
          </w:p>
        </w:tc>
      </w:tr>
      <w:tr w:rsidR="00107665" w:rsidRPr="00631C1C" w14:paraId="4674002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A0892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93</w:t>
            </w:r>
          </w:p>
        </w:tc>
        <w:tc>
          <w:tcPr>
            <w:tcW w:w="2431" w:type="dxa"/>
            <w:tcBorders>
              <w:top w:val="nil"/>
              <w:left w:val="nil"/>
              <w:bottom w:val="single" w:sz="4" w:space="0" w:color="auto"/>
              <w:right w:val="single" w:sz="4" w:space="0" w:color="auto"/>
            </w:tcBorders>
            <w:noWrap/>
            <w:hideMark/>
          </w:tcPr>
          <w:p w14:paraId="35E77AA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Черногория</w:t>
            </w:r>
          </w:p>
        </w:tc>
        <w:tc>
          <w:tcPr>
            <w:tcW w:w="1418" w:type="dxa"/>
            <w:tcBorders>
              <w:top w:val="nil"/>
              <w:left w:val="nil"/>
              <w:bottom w:val="single" w:sz="4" w:space="0" w:color="auto"/>
              <w:right w:val="single" w:sz="4" w:space="0" w:color="auto"/>
            </w:tcBorders>
            <w:noWrap/>
            <w:hideMark/>
          </w:tcPr>
          <w:p w14:paraId="0C59451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57BC56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F5BC3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E747A6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5897C5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48AB80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B36BD3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94</w:t>
            </w:r>
          </w:p>
        </w:tc>
        <w:tc>
          <w:tcPr>
            <w:tcW w:w="2431" w:type="dxa"/>
            <w:tcBorders>
              <w:top w:val="nil"/>
              <w:left w:val="nil"/>
              <w:bottom w:val="single" w:sz="4" w:space="0" w:color="auto"/>
              <w:right w:val="single" w:sz="4" w:space="0" w:color="auto"/>
            </w:tcBorders>
            <w:noWrap/>
            <w:hideMark/>
          </w:tcPr>
          <w:p w14:paraId="2E06F50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Северная Македония</w:t>
            </w:r>
          </w:p>
        </w:tc>
        <w:tc>
          <w:tcPr>
            <w:tcW w:w="1418" w:type="dxa"/>
            <w:tcBorders>
              <w:top w:val="nil"/>
              <w:left w:val="nil"/>
              <w:bottom w:val="single" w:sz="4" w:space="0" w:color="auto"/>
              <w:right w:val="single" w:sz="4" w:space="0" w:color="auto"/>
            </w:tcBorders>
            <w:noWrap/>
            <w:hideMark/>
          </w:tcPr>
          <w:p w14:paraId="5BF1D6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0,008</w:t>
            </w:r>
          </w:p>
        </w:tc>
        <w:tc>
          <w:tcPr>
            <w:tcW w:w="1417" w:type="dxa"/>
            <w:tcBorders>
              <w:top w:val="nil"/>
              <w:left w:val="nil"/>
              <w:bottom w:val="single" w:sz="4" w:space="0" w:color="auto"/>
              <w:right w:val="single" w:sz="4" w:space="0" w:color="auto"/>
            </w:tcBorders>
            <w:noWrap/>
            <w:hideMark/>
          </w:tcPr>
          <w:p w14:paraId="67AD440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D18A1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4FF6C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5FEA1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833FE6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8C30D5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95</w:t>
            </w:r>
          </w:p>
        </w:tc>
        <w:tc>
          <w:tcPr>
            <w:tcW w:w="2431" w:type="dxa"/>
            <w:tcBorders>
              <w:top w:val="nil"/>
              <w:left w:val="nil"/>
              <w:bottom w:val="single" w:sz="4" w:space="0" w:color="auto"/>
              <w:right w:val="single" w:sz="4" w:space="0" w:color="auto"/>
            </w:tcBorders>
            <w:noWrap/>
            <w:hideMark/>
          </w:tcPr>
          <w:p w14:paraId="1DE43E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Польша</w:t>
            </w:r>
          </w:p>
        </w:tc>
        <w:tc>
          <w:tcPr>
            <w:tcW w:w="1418" w:type="dxa"/>
            <w:tcBorders>
              <w:top w:val="nil"/>
              <w:left w:val="nil"/>
              <w:bottom w:val="single" w:sz="4" w:space="0" w:color="auto"/>
              <w:right w:val="single" w:sz="4" w:space="0" w:color="auto"/>
            </w:tcBorders>
            <w:noWrap/>
            <w:hideMark/>
          </w:tcPr>
          <w:p w14:paraId="58505A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0,831</w:t>
            </w:r>
          </w:p>
        </w:tc>
        <w:tc>
          <w:tcPr>
            <w:tcW w:w="1417" w:type="dxa"/>
            <w:tcBorders>
              <w:top w:val="nil"/>
              <w:left w:val="nil"/>
              <w:bottom w:val="single" w:sz="4" w:space="0" w:color="auto"/>
              <w:right w:val="single" w:sz="4" w:space="0" w:color="auto"/>
            </w:tcBorders>
            <w:noWrap/>
            <w:hideMark/>
          </w:tcPr>
          <w:p w14:paraId="1DAFB9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0,8387</w:t>
            </w:r>
          </w:p>
        </w:tc>
        <w:tc>
          <w:tcPr>
            <w:tcW w:w="1073" w:type="dxa"/>
            <w:tcBorders>
              <w:top w:val="nil"/>
              <w:left w:val="nil"/>
              <w:bottom w:val="single" w:sz="4" w:space="0" w:color="auto"/>
              <w:right w:val="single" w:sz="4" w:space="0" w:color="auto"/>
            </w:tcBorders>
            <w:noWrap/>
            <w:hideMark/>
          </w:tcPr>
          <w:p w14:paraId="7961E1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25 861</w:t>
            </w:r>
          </w:p>
        </w:tc>
        <w:tc>
          <w:tcPr>
            <w:tcW w:w="1053" w:type="dxa"/>
            <w:tcBorders>
              <w:top w:val="nil"/>
              <w:left w:val="nil"/>
              <w:bottom w:val="single" w:sz="4" w:space="0" w:color="auto"/>
              <w:right w:val="single" w:sz="4" w:space="0" w:color="auto"/>
            </w:tcBorders>
            <w:noWrap/>
            <w:hideMark/>
          </w:tcPr>
          <w:p w14:paraId="3B19A51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34 130</w:t>
            </w:r>
          </w:p>
        </w:tc>
        <w:tc>
          <w:tcPr>
            <w:tcW w:w="1553" w:type="dxa"/>
            <w:tcBorders>
              <w:top w:val="nil"/>
              <w:left w:val="nil"/>
              <w:bottom w:val="single" w:sz="4" w:space="0" w:color="auto"/>
              <w:right w:val="single" w:sz="4" w:space="0" w:color="auto"/>
            </w:tcBorders>
            <w:noWrap/>
            <w:hideMark/>
          </w:tcPr>
          <w:p w14:paraId="61E062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59 992</w:t>
            </w:r>
          </w:p>
        </w:tc>
      </w:tr>
      <w:tr w:rsidR="00107665" w:rsidRPr="00631C1C" w14:paraId="76D77E9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DB34E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96</w:t>
            </w:r>
          </w:p>
        </w:tc>
        <w:tc>
          <w:tcPr>
            <w:tcW w:w="2431" w:type="dxa"/>
            <w:tcBorders>
              <w:top w:val="nil"/>
              <w:left w:val="nil"/>
              <w:bottom w:val="single" w:sz="4" w:space="0" w:color="auto"/>
              <w:right w:val="single" w:sz="4" w:space="0" w:color="auto"/>
            </w:tcBorders>
            <w:noWrap/>
            <w:hideMark/>
          </w:tcPr>
          <w:p w14:paraId="62E957A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Республика Молдова</w:t>
            </w:r>
          </w:p>
        </w:tc>
        <w:tc>
          <w:tcPr>
            <w:tcW w:w="1418" w:type="dxa"/>
            <w:tcBorders>
              <w:top w:val="nil"/>
              <w:left w:val="nil"/>
              <w:bottom w:val="single" w:sz="4" w:space="0" w:color="auto"/>
              <w:right w:val="single" w:sz="4" w:space="0" w:color="auto"/>
            </w:tcBorders>
            <w:noWrap/>
            <w:hideMark/>
          </w:tcPr>
          <w:p w14:paraId="2CD5BB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0,006</w:t>
            </w:r>
          </w:p>
        </w:tc>
        <w:tc>
          <w:tcPr>
            <w:tcW w:w="1417" w:type="dxa"/>
            <w:tcBorders>
              <w:top w:val="nil"/>
              <w:left w:val="nil"/>
              <w:bottom w:val="single" w:sz="4" w:space="0" w:color="auto"/>
              <w:right w:val="single" w:sz="4" w:space="0" w:color="auto"/>
            </w:tcBorders>
            <w:noWrap/>
            <w:hideMark/>
          </w:tcPr>
          <w:p w14:paraId="1E8513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250B91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DD8F6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786BB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9FCE86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4209F4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97</w:t>
            </w:r>
          </w:p>
        </w:tc>
        <w:tc>
          <w:tcPr>
            <w:tcW w:w="2431" w:type="dxa"/>
            <w:tcBorders>
              <w:top w:val="nil"/>
              <w:left w:val="nil"/>
              <w:bottom w:val="single" w:sz="4" w:space="0" w:color="auto"/>
              <w:right w:val="single" w:sz="4" w:space="0" w:color="auto"/>
            </w:tcBorders>
            <w:noWrap/>
            <w:hideMark/>
          </w:tcPr>
          <w:p w14:paraId="328A5B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Румыния</w:t>
            </w:r>
          </w:p>
        </w:tc>
        <w:tc>
          <w:tcPr>
            <w:tcW w:w="1418" w:type="dxa"/>
            <w:tcBorders>
              <w:top w:val="nil"/>
              <w:left w:val="nil"/>
              <w:bottom w:val="single" w:sz="4" w:space="0" w:color="auto"/>
              <w:right w:val="single" w:sz="4" w:space="0" w:color="auto"/>
            </w:tcBorders>
            <w:noWrap/>
            <w:hideMark/>
          </w:tcPr>
          <w:p w14:paraId="00D9A48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0,358</w:t>
            </w:r>
          </w:p>
        </w:tc>
        <w:tc>
          <w:tcPr>
            <w:tcW w:w="1417" w:type="dxa"/>
            <w:tcBorders>
              <w:top w:val="nil"/>
              <w:left w:val="nil"/>
              <w:bottom w:val="single" w:sz="4" w:space="0" w:color="auto"/>
              <w:right w:val="single" w:sz="4" w:space="0" w:color="auto"/>
            </w:tcBorders>
            <w:noWrap/>
            <w:hideMark/>
          </w:tcPr>
          <w:p w14:paraId="388958D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0,3613</w:t>
            </w:r>
          </w:p>
        </w:tc>
        <w:tc>
          <w:tcPr>
            <w:tcW w:w="1073" w:type="dxa"/>
            <w:tcBorders>
              <w:top w:val="nil"/>
              <w:left w:val="nil"/>
              <w:bottom w:val="single" w:sz="4" w:space="0" w:color="auto"/>
              <w:right w:val="single" w:sz="4" w:space="0" w:color="auto"/>
            </w:tcBorders>
            <w:noWrap/>
            <w:hideMark/>
          </w:tcPr>
          <w:p w14:paraId="0822C1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11 141</w:t>
            </w:r>
          </w:p>
        </w:tc>
        <w:tc>
          <w:tcPr>
            <w:tcW w:w="1053" w:type="dxa"/>
            <w:tcBorders>
              <w:top w:val="nil"/>
              <w:left w:val="nil"/>
              <w:bottom w:val="single" w:sz="4" w:space="0" w:color="auto"/>
              <w:right w:val="single" w:sz="4" w:space="0" w:color="auto"/>
            </w:tcBorders>
            <w:noWrap/>
            <w:hideMark/>
          </w:tcPr>
          <w:p w14:paraId="387548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14 704</w:t>
            </w:r>
          </w:p>
        </w:tc>
        <w:tc>
          <w:tcPr>
            <w:tcW w:w="1553" w:type="dxa"/>
            <w:tcBorders>
              <w:top w:val="nil"/>
              <w:left w:val="nil"/>
              <w:bottom w:val="single" w:sz="4" w:space="0" w:color="auto"/>
              <w:right w:val="single" w:sz="4" w:space="0" w:color="auto"/>
            </w:tcBorders>
            <w:noWrap/>
            <w:hideMark/>
          </w:tcPr>
          <w:p w14:paraId="066D4B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25 845</w:t>
            </w:r>
          </w:p>
        </w:tc>
      </w:tr>
      <w:tr w:rsidR="00107665" w:rsidRPr="00631C1C" w14:paraId="6744DD2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66C152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98</w:t>
            </w:r>
          </w:p>
        </w:tc>
        <w:tc>
          <w:tcPr>
            <w:tcW w:w="2431" w:type="dxa"/>
            <w:tcBorders>
              <w:top w:val="nil"/>
              <w:left w:val="nil"/>
              <w:bottom w:val="single" w:sz="4" w:space="0" w:color="auto"/>
              <w:right w:val="single" w:sz="4" w:space="0" w:color="auto"/>
            </w:tcBorders>
            <w:noWrap/>
            <w:hideMark/>
          </w:tcPr>
          <w:p w14:paraId="5B7538D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Сербия</w:t>
            </w:r>
          </w:p>
        </w:tc>
        <w:tc>
          <w:tcPr>
            <w:tcW w:w="1418" w:type="dxa"/>
            <w:tcBorders>
              <w:top w:val="nil"/>
              <w:left w:val="nil"/>
              <w:bottom w:val="single" w:sz="4" w:space="0" w:color="auto"/>
              <w:right w:val="single" w:sz="4" w:space="0" w:color="auto"/>
            </w:tcBorders>
            <w:noWrap/>
            <w:hideMark/>
          </w:tcPr>
          <w:p w14:paraId="3B1158C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0,04</w:t>
            </w:r>
          </w:p>
        </w:tc>
        <w:tc>
          <w:tcPr>
            <w:tcW w:w="1417" w:type="dxa"/>
            <w:tcBorders>
              <w:top w:val="nil"/>
              <w:left w:val="nil"/>
              <w:bottom w:val="single" w:sz="4" w:space="0" w:color="auto"/>
              <w:right w:val="single" w:sz="4" w:space="0" w:color="auto"/>
            </w:tcBorders>
            <w:noWrap/>
            <w:hideMark/>
          </w:tcPr>
          <w:p w14:paraId="2386D2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0,0404</w:t>
            </w:r>
          </w:p>
        </w:tc>
        <w:tc>
          <w:tcPr>
            <w:tcW w:w="1073" w:type="dxa"/>
            <w:tcBorders>
              <w:top w:val="nil"/>
              <w:left w:val="nil"/>
              <w:bottom w:val="single" w:sz="4" w:space="0" w:color="auto"/>
              <w:right w:val="single" w:sz="4" w:space="0" w:color="auto"/>
            </w:tcBorders>
            <w:noWrap/>
            <w:hideMark/>
          </w:tcPr>
          <w:p w14:paraId="0637488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1 245</w:t>
            </w:r>
          </w:p>
        </w:tc>
        <w:tc>
          <w:tcPr>
            <w:tcW w:w="1053" w:type="dxa"/>
            <w:tcBorders>
              <w:top w:val="nil"/>
              <w:left w:val="nil"/>
              <w:bottom w:val="single" w:sz="4" w:space="0" w:color="auto"/>
              <w:right w:val="single" w:sz="4" w:space="0" w:color="auto"/>
            </w:tcBorders>
            <w:noWrap/>
            <w:hideMark/>
          </w:tcPr>
          <w:p w14:paraId="11E61A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1 643</w:t>
            </w:r>
          </w:p>
        </w:tc>
        <w:tc>
          <w:tcPr>
            <w:tcW w:w="1553" w:type="dxa"/>
            <w:tcBorders>
              <w:top w:val="nil"/>
              <w:left w:val="nil"/>
              <w:bottom w:val="single" w:sz="4" w:space="0" w:color="auto"/>
              <w:right w:val="single" w:sz="4" w:space="0" w:color="auto"/>
            </w:tcBorders>
            <w:noWrap/>
            <w:hideMark/>
          </w:tcPr>
          <w:p w14:paraId="4381D7E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2 888</w:t>
            </w:r>
          </w:p>
        </w:tc>
      </w:tr>
      <w:tr w:rsidR="00107665" w:rsidRPr="00631C1C" w14:paraId="3FC81DA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7E54DB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99</w:t>
            </w:r>
          </w:p>
        </w:tc>
        <w:tc>
          <w:tcPr>
            <w:tcW w:w="2431" w:type="dxa"/>
            <w:tcBorders>
              <w:top w:val="nil"/>
              <w:left w:val="nil"/>
              <w:bottom w:val="single" w:sz="4" w:space="0" w:color="auto"/>
              <w:right w:val="single" w:sz="4" w:space="0" w:color="auto"/>
            </w:tcBorders>
            <w:noWrap/>
            <w:hideMark/>
          </w:tcPr>
          <w:p w14:paraId="12E3BE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Словакия</w:t>
            </w:r>
          </w:p>
        </w:tc>
        <w:tc>
          <w:tcPr>
            <w:tcW w:w="1418" w:type="dxa"/>
            <w:tcBorders>
              <w:top w:val="nil"/>
              <w:left w:val="nil"/>
              <w:bottom w:val="single" w:sz="4" w:space="0" w:color="auto"/>
              <w:right w:val="single" w:sz="4" w:space="0" w:color="auto"/>
            </w:tcBorders>
            <w:noWrap/>
            <w:hideMark/>
          </w:tcPr>
          <w:p w14:paraId="4614C2B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0,149</w:t>
            </w:r>
          </w:p>
        </w:tc>
        <w:tc>
          <w:tcPr>
            <w:tcW w:w="1417" w:type="dxa"/>
            <w:tcBorders>
              <w:top w:val="nil"/>
              <w:left w:val="nil"/>
              <w:bottom w:val="single" w:sz="4" w:space="0" w:color="auto"/>
              <w:right w:val="single" w:sz="4" w:space="0" w:color="auto"/>
            </w:tcBorders>
            <w:noWrap/>
            <w:hideMark/>
          </w:tcPr>
          <w:p w14:paraId="257F92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0,1504</w:t>
            </w:r>
          </w:p>
        </w:tc>
        <w:tc>
          <w:tcPr>
            <w:tcW w:w="1073" w:type="dxa"/>
            <w:tcBorders>
              <w:top w:val="nil"/>
              <w:left w:val="nil"/>
              <w:bottom w:val="single" w:sz="4" w:space="0" w:color="auto"/>
              <w:right w:val="single" w:sz="4" w:space="0" w:color="auto"/>
            </w:tcBorders>
            <w:noWrap/>
            <w:hideMark/>
          </w:tcPr>
          <w:p w14:paraId="2A23D0B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4 637</w:t>
            </w:r>
          </w:p>
        </w:tc>
        <w:tc>
          <w:tcPr>
            <w:tcW w:w="1053" w:type="dxa"/>
            <w:tcBorders>
              <w:top w:val="nil"/>
              <w:left w:val="nil"/>
              <w:bottom w:val="single" w:sz="4" w:space="0" w:color="auto"/>
              <w:right w:val="single" w:sz="4" w:space="0" w:color="auto"/>
            </w:tcBorders>
            <w:noWrap/>
            <w:hideMark/>
          </w:tcPr>
          <w:p w14:paraId="3B0A56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6 120</w:t>
            </w:r>
          </w:p>
        </w:tc>
        <w:tc>
          <w:tcPr>
            <w:tcW w:w="1553" w:type="dxa"/>
            <w:tcBorders>
              <w:top w:val="nil"/>
              <w:left w:val="nil"/>
              <w:bottom w:val="single" w:sz="4" w:space="0" w:color="auto"/>
              <w:right w:val="single" w:sz="4" w:space="0" w:color="auto"/>
            </w:tcBorders>
            <w:noWrap/>
            <w:hideMark/>
          </w:tcPr>
          <w:p w14:paraId="16A7D5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10 757</w:t>
            </w:r>
          </w:p>
        </w:tc>
      </w:tr>
      <w:tr w:rsidR="00107665" w:rsidRPr="00631C1C" w14:paraId="3805C2D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B2751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100</w:t>
            </w:r>
          </w:p>
        </w:tc>
        <w:tc>
          <w:tcPr>
            <w:tcW w:w="2431" w:type="dxa"/>
            <w:tcBorders>
              <w:top w:val="nil"/>
              <w:left w:val="nil"/>
              <w:bottom w:val="single" w:sz="4" w:space="0" w:color="auto"/>
              <w:right w:val="single" w:sz="4" w:space="0" w:color="auto"/>
            </w:tcBorders>
            <w:noWrap/>
            <w:hideMark/>
          </w:tcPr>
          <w:p w14:paraId="2E6DE1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Словения</w:t>
            </w:r>
          </w:p>
        </w:tc>
        <w:tc>
          <w:tcPr>
            <w:tcW w:w="1418" w:type="dxa"/>
            <w:tcBorders>
              <w:top w:val="nil"/>
              <w:left w:val="nil"/>
              <w:bottom w:val="single" w:sz="4" w:space="0" w:color="auto"/>
              <w:right w:val="single" w:sz="4" w:space="0" w:color="auto"/>
            </w:tcBorders>
            <w:noWrap/>
            <w:hideMark/>
          </w:tcPr>
          <w:p w14:paraId="4870FB9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0,077</w:t>
            </w:r>
          </w:p>
        </w:tc>
        <w:tc>
          <w:tcPr>
            <w:tcW w:w="1417" w:type="dxa"/>
            <w:tcBorders>
              <w:top w:val="nil"/>
              <w:left w:val="nil"/>
              <w:bottom w:val="single" w:sz="4" w:space="0" w:color="auto"/>
              <w:right w:val="single" w:sz="4" w:space="0" w:color="auto"/>
            </w:tcBorders>
            <w:noWrap/>
            <w:hideMark/>
          </w:tcPr>
          <w:p w14:paraId="31708E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0,0777</w:t>
            </w:r>
          </w:p>
        </w:tc>
        <w:tc>
          <w:tcPr>
            <w:tcW w:w="1073" w:type="dxa"/>
            <w:tcBorders>
              <w:top w:val="nil"/>
              <w:left w:val="nil"/>
              <w:bottom w:val="single" w:sz="4" w:space="0" w:color="auto"/>
              <w:right w:val="single" w:sz="4" w:space="0" w:color="auto"/>
            </w:tcBorders>
            <w:noWrap/>
            <w:hideMark/>
          </w:tcPr>
          <w:p w14:paraId="461D320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2 396</w:t>
            </w:r>
          </w:p>
        </w:tc>
        <w:tc>
          <w:tcPr>
            <w:tcW w:w="1053" w:type="dxa"/>
            <w:tcBorders>
              <w:top w:val="nil"/>
              <w:left w:val="nil"/>
              <w:bottom w:val="single" w:sz="4" w:space="0" w:color="auto"/>
              <w:right w:val="single" w:sz="4" w:space="0" w:color="auto"/>
            </w:tcBorders>
            <w:noWrap/>
            <w:hideMark/>
          </w:tcPr>
          <w:p w14:paraId="6914E11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3 163</w:t>
            </w:r>
          </w:p>
        </w:tc>
        <w:tc>
          <w:tcPr>
            <w:tcW w:w="1553" w:type="dxa"/>
            <w:tcBorders>
              <w:top w:val="nil"/>
              <w:left w:val="nil"/>
              <w:bottom w:val="single" w:sz="4" w:space="0" w:color="auto"/>
              <w:right w:val="single" w:sz="4" w:space="0" w:color="auto"/>
            </w:tcBorders>
            <w:noWrap/>
            <w:hideMark/>
          </w:tcPr>
          <w:p w14:paraId="610C82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5 559</w:t>
            </w:r>
          </w:p>
        </w:tc>
      </w:tr>
      <w:tr w:rsidR="00107665" w:rsidRPr="00631C1C" w14:paraId="24147D8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00F6D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101</w:t>
            </w:r>
          </w:p>
        </w:tc>
        <w:tc>
          <w:tcPr>
            <w:tcW w:w="2431" w:type="dxa"/>
            <w:tcBorders>
              <w:top w:val="nil"/>
              <w:left w:val="nil"/>
              <w:bottom w:val="single" w:sz="4" w:space="0" w:color="auto"/>
              <w:right w:val="single" w:sz="4" w:space="0" w:color="auto"/>
            </w:tcBorders>
            <w:noWrap/>
            <w:hideMark/>
          </w:tcPr>
          <w:p w14:paraId="7AEB42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Украина</w:t>
            </w:r>
          </w:p>
        </w:tc>
        <w:tc>
          <w:tcPr>
            <w:tcW w:w="1418" w:type="dxa"/>
            <w:tcBorders>
              <w:top w:val="nil"/>
              <w:left w:val="nil"/>
              <w:bottom w:val="single" w:sz="4" w:space="0" w:color="auto"/>
              <w:right w:val="single" w:sz="4" w:space="0" w:color="auto"/>
            </w:tcBorders>
            <w:noWrap/>
            <w:hideMark/>
          </w:tcPr>
          <w:p w14:paraId="2E712DC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0,074</w:t>
            </w:r>
          </w:p>
        </w:tc>
        <w:tc>
          <w:tcPr>
            <w:tcW w:w="1417" w:type="dxa"/>
            <w:tcBorders>
              <w:top w:val="nil"/>
              <w:left w:val="nil"/>
              <w:bottom w:val="single" w:sz="4" w:space="0" w:color="auto"/>
              <w:right w:val="single" w:sz="4" w:space="0" w:color="auto"/>
            </w:tcBorders>
            <w:noWrap/>
            <w:hideMark/>
          </w:tcPr>
          <w:p w14:paraId="46F5A0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0,0747</w:t>
            </w:r>
          </w:p>
        </w:tc>
        <w:tc>
          <w:tcPr>
            <w:tcW w:w="1073" w:type="dxa"/>
            <w:tcBorders>
              <w:top w:val="nil"/>
              <w:left w:val="nil"/>
              <w:bottom w:val="single" w:sz="4" w:space="0" w:color="auto"/>
              <w:right w:val="single" w:sz="4" w:space="0" w:color="auto"/>
            </w:tcBorders>
            <w:noWrap/>
            <w:hideMark/>
          </w:tcPr>
          <w:p w14:paraId="581868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2 303</w:t>
            </w:r>
          </w:p>
        </w:tc>
        <w:tc>
          <w:tcPr>
            <w:tcW w:w="1053" w:type="dxa"/>
            <w:tcBorders>
              <w:top w:val="nil"/>
              <w:left w:val="nil"/>
              <w:bottom w:val="single" w:sz="4" w:space="0" w:color="auto"/>
              <w:right w:val="single" w:sz="4" w:space="0" w:color="auto"/>
            </w:tcBorders>
            <w:noWrap/>
            <w:hideMark/>
          </w:tcPr>
          <w:p w14:paraId="3B7AC18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3 039</w:t>
            </w:r>
          </w:p>
        </w:tc>
        <w:tc>
          <w:tcPr>
            <w:tcW w:w="1553" w:type="dxa"/>
            <w:tcBorders>
              <w:top w:val="nil"/>
              <w:left w:val="nil"/>
              <w:bottom w:val="single" w:sz="4" w:space="0" w:color="auto"/>
              <w:right w:val="single" w:sz="4" w:space="0" w:color="auto"/>
            </w:tcBorders>
            <w:noWrap/>
            <w:hideMark/>
          </w:tcPr>
          <w:p w14:paraId="6F5ED4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5 342</w:t>
            </w:r>
          </w:p>
        </w:tc>
      </w:tr>
      <w:tr w:rsidR="00107665" w:rsidRPr="00A87A26" w14:paraId="13C138D9" w14:textId="77777777" w:rsidTr="008E43FF">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1206B4D"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r>
              <w:rPr>
                <w:b/>
                <w:bCs/>
                <w:color w:val="000000"/>
                <w:lang w:val="ru-RU"/>
              </w:rPr>
              <w:t>Государства Латинской Америки и Карибского бассейна (26)</w:t>
            </w:r>
          </w:p>
        </w:tc>
      </w:tr>
      <w:tr w:rsidR="00107665" w:rsidRPr="00631C1C" w14:paraId="2D01E62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6AEA8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102</w:t>
            </w:r>
          </w:p>
        </w:tc>
        <w:tc>
          <w:tcPr>
            <w:tcW w:w="2431" w:type="dxa"/>
            <w:tcBorders>
              <w:top w:val="nil"/>
              <w:left w:val="nil"/>
              <w:bottom w:val="single" w:sz="4" w:space="0" w:color="auto"/>
              <w:right w:val="single" w:sz="4" w:space="0" w:color="auto"/>
            </w:tcBorders>
            <w:noWrap/>
            <w:hideMark/>
          </w:tcPr>
          <w:p w14:paraId="25808EB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Антигуа и Барбуда</w:t>
            </w:r>
          </w:p>
        </w:tc>
        <w:tc>
          <w:tcPr>
            <w:tcW w:w="1418" w:type="dxa"/>
            <w:tcBorders>
              <w:top w:val="nil"/>
              <w:left w:val="nil"/>
              <w:bottom w:val="single" w:sz="4" w:space="0" w:color="auto"/>
              <w:right w:val="single" w:sz="4" w:space="0" w:color="auto"/>
            </w:tcBorders>
            <w:noWrap/>
            <w:hideMark/>
          </w:tcPr>
          <w:p w14:paraId="4FF05E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536DA6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096CD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443BA0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554401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FBC1B8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CE639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103</w:t>
            </w:r>
          </w:p>
        </w:tc>
        <w:tc>
          <w:tcPr>
            <w:tcW w:w="2431" w:type="dxa"/>
            <w:tcBorders>
              <w:top w:val="nil"/>
              <w:left w:val="nil"/>
              <w:bottom w:val="single" w:sz="4" w:space="0" w:color="auto"/>
              <w:right w:val="single" w:sz="4" w:space="0" w:color="auto"/>
            </w:tcBorders>
            <w:noWrap/>
            <w:hideMark/>
          </w:tcPr>
          <w:p w14:paraId="6725E455" w14:textId="77777777" w:rsidR="00107665" w:rsidRPr="00246C31"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Аргентина</w:t>
            </w:r>
          </w:p>
        </w:tc>
        <w:tc>
          <w:tcPr>
            <w:tcW w:w="1418" w:type="dxa"/>
            <w:tcBorders>
              <w:top w:val="nil"/>
              <w:left w:val="nil"/>
              <w:bottom w:val="single" w:sz="4" w:space="0" w:color="auto"/>
              <w:right w:val="single" w:sz="4" w:space="0" w:color="auto"/>
            </w:tcBorders>
            <w:noWrap/>
            <w:hideMark/>
          </w:tcPr>
          <w:p w14:paraId="33B56C3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0,49</w:t>
            </w:r>
          </w:p>
        </w:tc>
        <w:tc>
          <w:tcPr>
            <w:tcW w:w="1417" w:type="dxa"/>
            <w:tcBorders>
              <w:top w:val="nil"/>
              <w:left w:val="nil"/>
              <w:bottom w:val="single" w:sz="4" w:space="0" w:color="auto"/>
              <w:right w:val="single" w:sz="4" w:space="0" w:color="auto"/>
            </w:tcBorders>
            <w:noWrap/>
            <w:hideMark/>
          </w:tcPr>
          <w:p w14:paraId="520563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0,4946</w:t>
            </w:r>
          </w:p>
        </w:tc>
        <w:tc>
          <w:tcPr>
            <w:tcW w:w="1073" w:type="dxa"/>
            <w:tcBorders>
              <w:top w:val="nil"/>
              <w:left w:val="nil"/>
              <w:bottom w:val="single" w:sz="4" w:space="0" w:color="auto"/>
              <w:right w:val="single" w:sz="4" w:space="0" w:color="auto"/>
            </w:tcBorders>
            <w:noWrap/>
            <w:hideMark/>
          </w:tcPr>
          <w:p w14:paraId="33D775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15 249</w:t>
            </w:r>
          </w:p>
        </w:tc>
        <w:tc>
          <w:tcPr>
            <w:tcW w:w="1053" w:type="dxa"/>
            <w:tcBorders>
              <w:top w:val="nil"/>
              <w:left w:val="nil"/>
              <w:bottom w:val="single" w:sz="4" w:space="0" w:color="auto"/>
              <w:right w:val="single" w:sz="4" w:space="0" w:color="auto"/>
            </w:tcBorders>
            <w:noWrap/>
            <w:hideMark/>
          </w:tcPr>
          <w:p w14:paraId="6BB655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20 125</w:t>
            </w:r>
          </w:p>
        </w:tc>
        <w:tc>
          <w:tcPr>
            <w:tcW w:w="1553" w:type="dxa"/>
            <w:tcBorders>
              <w:top w:val="nil"/>
              <w:left w:val="nil"/>
              <w:bottom w:val="single" w:sz="4" w:space="0" w:color="auto"/>
              <w:right w:val="single" w:sz="4" w:space="0" w:color="auto"/>
            </w:tcBorders>
            <w:noWrap/>
            <w:hideMark/>
          </w:tcPr>
          <w:p w14:paraId="4CF14A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35 374</w:t>
            </w:r>
          </w:p>
        </w:tc>
      </w:tr>
      <w:tr w:rsidR="00107665" w:rsidRPr="00631C1C" w14:paraId="46FFE64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E79D72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104</w:t>
            </w:r>
          </w:p>
        </w:tc>
        <w:tc>
          <w:tcPr>
            <w:tcW w:w="2431" w:type="dxa"/>
            <w:tcBorders>
              <w:top w:val="nil"/>
              <w:left w:val="nil"/>
              <w:bottom w:val="single" w:sz="4" w:space="0" w:color="auto"/>
              <w:right w:val="single" w:sz="4" w:space="0" w:color="auto"/>
            </w:tcBorders>
            <w:noWrap/>
            <w:hideMark/>
          </w:tcPr>
          <w:p w14:paraId="3340A2DA" w14:textId="77777777" w:rsidR="00107665" w:rsidRPr="00246C31"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Багамские Острова</w:t>
            </w:r>
          </w:p>
        </w:tc>
        <w:tc>
          <w:tcPr>
            <w:tcW w:w="1418" w:type="dxa"/>
            <w:tcBorders>
              <w:top w:val="nil"/>
              <w:left w:val="nil"/>
              <w:bottom w:val="single" w:sz="4" w:space="0" w:color="auto"/>
              <w:right w:val="single" w:sz="4" w:space="0" w:color="auto"/>
            </w:tcBorders>
            <w:noWrap/>
            <w:hideMark/>
          </w:tcPr>
          <w:p w14:paraId="51B4664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0,015</w:t>
            </w:r>
          </w:p>
        </w:tc>
        <w:tc>
          <w:tcPr>
            <w:tcW w:w="1417" w:type="dxa"/>
            <w:tcBorders>
              <w:top w:val="nil"/>
              <w:left w:val="nil"/>
              <w:bottom w:val="single" w:sz="4" w:space="0" w:color="auto"/>
              <w:right w:val="single" w:sz="4" w:space="0" w:color="auto"/>
            </w:tcBorders>
            <w:noWrap/>
            <w:hideMark/>
          </w:tcPr>
          <w:p w14:paraId="10C5816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0,0151</w:t>
            </w:r>
          </w:p>
        </w:tc>
        <w:tc>
          <w:tcPr>
            <w:tcW w:w="1073" w:type="dxa"/>
            <w:tcBorders>
              <w:top w:val="nil"/>
              <w:left w:val="nil"/>
              <w:bottom w:val="single" w:sz="4" w:space="0" w:color="auto"/>
              <w:right w:val="single" w:sz="4" w:space="0" w:color="auto"/>
            </w:tcBorders>
            <w:noWrap/>
            <w:hideMark/>
          </w:tcPr>
          <w:p w14:paraId="0401EF5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467</w:t>
            </w:r>
          </w:p>
        </w:tc>
        <w:tc>
          <w:tcPr>
            <w:tcW w:w="1053" w:type="dxa"/>
            <w:tcBorders>
              <w:top w:val="nil"/>
              <w:left w:val="nil"/>
              <w:bottom w:val="single" w:sz="4" w:space="0" w:color="auto"/>
              <w:right w:val="single" w:sz="4" w:space="0" w:color="auto"/>
            </w:tcBorders>
            <w:noWrap/>
            <w:hideMark/>
          </w:tcPr>
          <w:p w14:paraId="594782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616</w:t>
            </w:r>
          </w:p>
        </w:tc>
        <w:tc>
          <w:tcPr>
            <w:tcW w:w="1553" w:type="dxa"/>
            <w:tcBorders>
              <w:top w:val="nil"/>
              <w:left w:val="nil"/>
              <w:bottom w:val="single" w:sz="4" w:space="0" w:color="auto"/>
              <w:right w:val="single" w:sz="4" w:space="0" w:color="auto"/>
            </w:tcBorders>
            <w:noWrap/>
            <w:hideMark/>
          </w:tcPr>
          <w:p w14:paraId="27641E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1 083</w:t>
            </w:r>
          </w:p>
        </w:tc>
      </w:tr>
      <w:tr w:rsidR="00107665" w:rsidRPr="00631C1C" w14:paraId="19B80B5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2316F1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105</w:t>
            </w:r>
          </w:p>
        </w:tc>
        <w:tc>
          <w:tcPr>
            <w:tcW w:w="2431" w:type="dxa"/>
            <w:tcBorders>
              <w:top w:val="nil"/>
              <w:left w:val="nil"/>
              <w:bottom w:val="single" w:sz="4" w:space="0" w:color="auto"/>
              <w:right w:val="single" w:sz="4" w:space="0" w:color="auto"/>
            </w:tcBorders>
            <w:noWrap/>
            <w:hideMark/>
          </w:tcPr>
          <w:p w14:paraId="1D8045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Белиз</w:t>
            </w:r>
          </w:p>
        </w:tc>
        <w:tc>
          <w:tcPr>
            <w:tcW w:w="1418" w:type="dxa"/>
            <w:tcBorders>
              <w:top w:val="nil"/>
              <w:left w:val="nil"/>
              <w:bottom w:val="single" w:sz="4" w:space="0" w:color="auto"/>
              <w:right w:val="single" w:sz="4" w:space="0" w:color="auto"/>
            </w:tcBorders>
            <w:noWrap/>
            <w:hideMark/>
          </w:tcPr>
          <w:p w14:paraId="5CFE33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1F098E3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CA08A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5DFBA6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2FFC8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DCFE0C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49795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106</w:t>
            </w:r>
          </w:p>
        </w:tc>
        <w:tc>
          <w:tcPr>
            <w:tcW w:w="2431" w:type="dxa"/>
            <w:tcBorders>
              <w:top w:val="nil"/>
              <w:left w:val="nil"/>
              <w:bottom w:val="single" w:sz="4" w:space="0" w:color="auto"/>
              <w:right w:val="single" w:sz="4" w:space="0" w:color="auto"/>
            </w:tcBorders>
            <w:noWrap/>
            <w:hideMark/>
          </w:tcPr>
          <w:p w14:paraId="0654A5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Многонациональное Государство Боливия</w:t>
            </w:r>
          </w:p>
        </w:tc>
        <w:tc>
          <w:tcPr>
            <w:tcW w:w="1418" w:type="dxa"/>
            <w:tcBorders>
              <w:top w:val="nil"/>
              <w:left w:val="nil"/>
              <w:bottom w:val="single" w:sz="4" w:space="0" w:color="auto"/>
              <w:right w:val="single" w:sz="4" w:space="0" w:color="auto"/>
            </w:tcBorders>
            <w:noWrap/>
            <w:hideMark/>
          </w:tcPr>
          <w:p w14:paraId="7863887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0,018</w:t>
            </w:r>
          </w:p>
        </w:tc>
        <w:tc>
          <w:tcPr>
            <w:tcW w:w="1417" w:type="dxa"/>
            <w:tcBorders>
              <w:top w:val="nil"/>
              <w:left w:val="nil"/>
              <w:bottom w:val="single" w:sz="4" w:space="0" w:color="auto"/>
              <w:right w:val="single" w:sz="4" w:space="0" w:color="auto"/>
            </w:tcBorders>
            <w:noWrap/>
            <w:hideMark/>
          </w:tcPr>
          <w:p w14:paraId="1D7697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0,0182</w:t>
            </w:r>
          </w:p>
        </w:tc>
        <w:tc>
          <w:tcPr>
            <w:tcW w:w="1073" w:type="dxa"/>
            <w:tcBorders>
              <w:top w:val="nil"/>
              <w:left w:val="nil"/>
              <w:bottom w:val="single" w:sz="4" w:space="0" w:color="auto"/>
              <w:right w:val="single" w:sz="4" w:space="0" w:color="auto"/>
            </w:tcBorders>
            <w:noWrap/>
            <w:hideMark/>
          </w:tcPr>
          <w:p w14:paraId="69B1BA9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560</w:t>
            </w:r>
          </w:p>
        </w:tc>
        <w:tc>
          <w:tcPr>
            <w:tcW w:w="1053" w:type="dxa"/>
            <w:tcBorders>
              <w:top w:val="nil"/>
              <w:left w:val="nil"/>
              <w:bottom w:val="single" w:sz="4" w:space="0" w:color="auto"/>
              <w:right w:val="single" w:sz="4" w:space="0" w:color="auto"/>
            </w:tcBorders>
            <w:noWrap/>
            <w:hideMark/>
          </w:tcPr>
          <w:p w14:paraId="62514D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739</w:t>
            </w:r>
          </w:p>
        </w:tc>
        <w:tc>
          <w:tcPr>
            <w:tcW w:w="1553" w:type="dxa"/>
            <w:tcBorders>
              <w:top w:val="nil"/>
              <w:left w:val="nil"/>
              <w:bottom w:val="single" w:sz="4" w:space="0" w:color="auto"/>
              <w:right w:val="single" w:sz="4" w:space="0" w:color="auto"/>
            </w:tcBorders>
            <w:noWrap/>
            <w:hideMark/>
          </w:tcPr>
          <w:p w14:paraId="640FD0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1 299</w:t>
            </w:r>
          </w:p>
        </w:tc>
      </w:tr>
      <w:tr w:rsidR="00107665" w:rsidRPr="00631C1C" w14:paraId="22FE5D6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AEF1E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107</w:t>
            </w:r>
          </w:p>
        </w:tc>
        <w:tc>
          <w:tcPr>
            <w:tcW w:w="2431" w:type="dxa"/>
            <w:tcBorders>
              <w:top w:val="nil"/>
              <w:left w:val="nil"/>
              <w:bottom w:val="single" w:sz="4" w:space="0" w:color="auto"/>
              <w:right w:val="single" w:sz="4" w:space="0" w:color="auto"/>
            </w:tcBorders>
            <w:noWrap/>
            <w:hideMark/>
          </w:tcPr>
          <w:p w14:paraId="027A25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Бразилия</w:t>
            </w:r>
          </w:p>
        </w:tc>
        <w:tc>
          <w:tcPr>
            <w:tcW w:w="1418" w:type="dxa"/>
            <w:tcBorders>
              <w:top w:val="nil"/>
              <w:left w:val="nil"/>
              <w:bottom w:val="single" w:sz="4" w:space="0" w:color="auto"/>
              <w:right w:val="single" w:sz="4" w:space="0" w:color="auto"/>
            </w:tcBorders>
            <w:noWrap/>
            <w:hideMark/>
          </w:tcPr>
          <w:p w14:paraId="230EC2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1,411</w:t>
            </w:r>
          </w:p>
        </w:tc>
        <w:tc>
          <w:tcPr>
            <w:tcW w:w="1417" w:type="dxa"/>
            <w:tcBorders>
              <w:top w:val="nil"/>
              <w:left w:val="nil"/>
              <w:bottom w:val="single" w:sz="4" w:space="0" w:color="auto"/>
              <w:right w:val="single" w:sz="4" w:space="0" w:color="auto"/>
            </w:tcBorders>
            <w:noWrap/>
            <w:hideMark/>
          </w:tcPr>
          <w:p w14:paraId="0846BA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1,4241</w:t>
            </w:r>
          </w:p>
        </w:tc>
        <w:tc>
          <w:tcPr>
            <w:tcW w:w="1073" w:type="dxa"/>
            <w:tcBorders>
              <w:top w:val="nil"/>
              <w:left w:val="nil"/>
              <w:bottom w:val="single" w:sz="4" w:space="0" w:color="auto"/>
              <w:right w:val="single" w:sz="4" w:space="0" w:color="auto"/>
            </w:tcBorders>
            <w:noWrap/>
            <w:hideMark/>
          </w:tcPr>
          <w:p w14:paraId="1C6F9EF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43 911</w:t>
            </w:r>
          </w:p>
        </w:tc>
        <w:tc>
          <w:tcPr>
            <w:tcW w:w="1053" w:type="dxa"/>
            <w:tcBorders>
              <w:top w:val="nil"/>
              <w:left w:val="nil"/>
              <w:bottom w:val="single" w:sz="4" w:space="0" w:color="auto"/>
              <w:right w:val="single" w:sz="4" w:space="0" w:color="auto"/>
            </w:tcBorders>
            <w:noWrap/>
            <w:hideMark/>
          </w:tcPr>
          <w:p w14:paraId="013271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57 952</w:t>
            </w:r>
          </w:p>
        </w:tc>
        <w:tc>
          <w:tcPr>
            <w:tcW w:w="1553" w:type="dxa"/>
            <w:tcBorders>
              <w:top w:val="nil"/>
              <w:left w:val="nil"/>
              <w:bottom w:val="single" w:sz="4" w:space="0" w:color="auto"/>
              <w:right w:val="single" w:sz="4" w:space="0" w:color="auto"/>
            </w:tcBorders>
            <w:noWrap/>
            <w:hideMark/>
          </w:tcPr>
          <w:p w14:paraId="073BFA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101 863</w:t>
            </w:r>
          </w:p>
        </w:tc>
      </w:tr>
      <w:tr w:rsidR="00107665" w:rsidRPr="00631C1C" w14:paraId="55DB7D5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35105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108</w:t>
            </w:r>
          </w:p>
        </w:tc>
        <w:tc>
          <w:tcPr>
            <w:tcW w:w="2431" w:type="dxa"/>
            <w:tcBorders>
              <w:top w:val="nil"/>
              <w:left w:val="nil"/>
              <w:bottom w:val="single" w:sz="4" w:space="0" w:color="auto"/>
              <w:right w:val="single" w:sz="4" w:space="0" w:color="auto"/>
            </w:tcBorders>
            <w:noWrap/>
            <w:hideMark/>
          </w:tcPr>
          <w:p w14:paraId="264AFF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Чили</w:t>
            </w:r>
          </w:p>
        </w:tc>
        <w:tc>
          <w:tcPr>
            <w:tcW w:w="1418" w:type="dxa"/>
            <w:tcBorders>
              <w:top w:val="nil"/>
              <w:left w:val="nil"/>
              <w:bottom w:val="single" w:sz="4" w:space="0" w:color="auto"/>
              <w:right w:val="single" w:sz="4" w:space="0" w:color="auto"/>
            </w:tcBorders>
            <w:noWrap/>
            <w:hideMark/>
          </w:tcPr>
          <w:p w14:paraId="263CB1F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0,374</w:t>
            </w:r>
          </w:p>
        </w:tc>
        <w:tc>
          <w:tcPr>
            <w:tcW w:w="1417" w:type="dxa"/>
            <w:tcBorders>
              <w:top w:val="nil"/>
              <w:left w:val="nil"/>
              <w:bottom w:val="single" w:sz="4" w:space="0" w:color="auto"/>
              <w:right w:val="single" w:sz="4" w:space="0" w:color="auto"/>
            </w:tcBorders>
            <w:noWrap/>
            <w:hideMark/>
          </w:tcPr>
          <w:p w14:paraId="018337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0,3775</w:t>
            </w:r>
          </w:p>
        </w:tc>
        <w:tc>
          <w:tcPr>
            <w:tcW w:w="1073" w:type="dxa"/>
            <w:tcBorders>
              <w:top w:val="nil"/>
              <w:left w:val="nil"/>
              <w:bottom w:val="single" w:sz="4" w:space="0" w:color="auto"/>
              <w:right w:val="single" w:sz="4" w:space="0" w:color="auto"/>
            </w:tcBorders>
            <w:noWrap/>
            <w:hideMark/>
          </w:tcPr>
          <w:p w14:paraId="21F3A8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11 639</w:t>
            </w:r>
          </w:p>
        </w:tc>
        <w:tc>
          <w:tcPr>
            <w:tcW w:w="1053" w:type="dxa"/>
            <w:tcBorders>
              <w:top w:val="nil"/>
              <w:left w:val="nil"/>
              <w:bottom w:val="single" w:sz="4" w:space="0" w:color="auto"/>
              <w:right w:val="single" w:sz="4" w:space="0" w:color="auto"/>
            </w:tcBorders>
            <w:noWrap/>
            <w:hideMark/>
          </w:tcPr>
          <w:p w14:paraId="1B8CB94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15 361</w:t>
            </w:r>
          </w:p>
        </w:tc>
        <w:tc>
          <w:tcPr>
            <w:tcW w:w="1553" w:type="dxa"/>
            <w:tcBorders>
              <w:top w:val="nil"/>
              <w:left w:val="nil"/>
              <w:bottom w:val="single" w:sz="4" w:space="0" w:color="auto"/>
              <w:right w:val="single" w:sz="4" w:space="0" w:color="auto"/>
            </w:tcBorders>
            <w:noWrap/>
            <w:hideMark/>
          </w:tcPr>
          <w:p w14:paraId="00ABB2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27 000</w:t>
            </w:r>
          </w:p>
        </w:tc>
      </w:tr>
      <w:tr w:rsidR="00107665" w:rsidRPr="00631C1C" w14:paraId="151C8D8A"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0641E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109</w:t>
            </w:r>
          </w:p>
        </w:tc>
        <w:tc>
          <w:tcPr>
            <w:tcW w:w="2431" w:type="dxa"/>
            <w:tcBorders>
              <w:top w:val="nil"/>
              <w:left w:val="nil"/>
              <w:bottom w:val="single" w:sz="4" w:space="0" w:color="auto"/>
              <w:right w:val="single" w:sz="4" w:space="0" w:color="auto"/>
            </w:tcBorders>
            <w:noWrap/>
            <w:hideMark/>
          </w:tcPr>
          <w:p w14:paraId="7BF09D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Колумбия</w:t>
            </w:r>
          </w:p>
        </w:tc>
        <w:tc>
          <w:tcPr>
            <w:tcW w:w="1418" w:type="dxa"/>
            <w:tcBorders>
              <w:top w:val="nil"/>
              <w:left w:val="nil"/>
              <w:bottom w:val="single" w:sz="4" w:space="0" w:color="auto"/>
              <w:right w:val="single" w:sz="4" w:space="0" w:color="auto"/>
            </w:tcBorders>
            <w:noWrap/>
            <w:hideMark/>
          </w:tcPr>
          <w:p w14:paraId="58E88FB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0,197</w:t>
            </w:r>
          </w:p>
        </w:tc>
        <w:tc>
          <w:tcPr>
            <w:tcW w:w="1417" w:type="dxa"/>
            <w:tcBorders>
              <w:top w:val="nil"/>
              <w:left w:val="nil"/>
              <w:bottom w:val="single" w:sz="4" w:space="0" w:color="auto"/>
              <w:right w:val="single" w:sz="4" w:space="0" w:color="auto"/>
            </w:tcBorders>
            <w:noWrap/>
            <w:hideMark/>
          </w:tcPr>
          <w:p w14:paraId="6CDEB6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0,1988</w:t>
            </w:r>
          </w:p>
        </w:tc>
        <w:tc>
          <w:tcPr>
            <w:tcW w:w="1073" w:type="dxa"/>
            <w:tcBorders>
              <w:top w:val="nil"/>
              <w:left w:val="nil"/>
              <w:bottom w:val="single" w:sz="4" w:space="0" w:color="auto"/>
              <w:right w:val="single" w:sz="4" w:space="0" w:color="auto"/>
            </w:tcBorders>
            <w:noWrap/>
            <w:hideMark/>
          </w:tcPr>
          <w:p w14:paraId="370FF8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6 131</w:t>
            </w:r>
          </w:p>
        </w:tc>
        <w:tc>
          <w:tcPr>
            <w:tcW w:w="1053" w:type="dxa"/>
            <w:tcBorders>
              <w:top w:val="nil"/>
              <w:left w:val="nil"/>
              <w:bottom w:val="single" w:sz="4" w:space="0" w:color="auto"/>
              <w:right w:val="single" w:sz="4" w:space="0" w:color="auto"/>
            </w:tcBorders>
            <w:noWrap/>
            <w:hideMark/>
          </w:tcPr>
          <w:p w14:paraId="7AB2B1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8 091</w:t>
            </w:r>
          </w:p>
        </w:tc>
        <w:tc>
          <w:tcPr>
            <w:tcW w:w="1553" w:type="dxa"/>
            <w:tcBorders>
              <w:top w:val="nil"/>
              <w:left w:val="nil"/>
              <w:bottom w:val="single" w:sz="4" w:space="0" w:color="auto"/>
              <w:right w:val="single" w:sz="4" w:space="0" w:color="auto"/>
            </w:tcBorders>
            <w:noWrap/>
            <w:hideMark/>
          </w:tcPr>
          <w:p w14:paraId="3453FC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14 222</w:t>
            </w:r>
          </w:p>
        </w:tc>
      </w:tr>
      <w:tr w:rsidR="00107665" w:rsidRPr="00631C1C" w14:paraId="4139886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36E99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110</w:t>
            </w:r>
          </w:p>
        </w:tc>
        <w:tc>
          <w:tcPr>
            <w:tcW w:w="2431" w:type="dxa"/>
            <w:tcBorders>
              <w:top w:val="nil"/>
              <w:left w:val="nil"/>
              <w:bottom w:val="single" w:sz="4" w:space="0" w:color="auto"/>
              <w:right w:val="single" w:sz="4" w:space="0" w:color="auto"/>
            </w:tcBorders>
            <w:noWrap/>
            <w:hideMark/>
          </w:tcPr>
          <w:p w14:paraId="4508C60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Коста-Рика</w:t>
            </w:r>
          </w:p>
        </w:tc>
        <w:tc>
          <w:tcPr>
            <w:tcW w:w="1418" w:type="dxa"/>
            <w:tcBorders>
              <w:top w:val="nil"/>
              <w:left w:val="nil"/>
              <w:bottom w:val="single" w:sz="4" w:space="0" w:color="auto"/>
              <w:right w:val="single" w:sz="4" w:space="0" w:color="auto"/>
            </w:tcBorders>
            <w:noWrap/>
            <w:hideMark/>
          </w:tcPr>
          <w:p w14:paraId="7CA1BC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0,063</w:t>
            </w:r>
          </w:p>
        </w:tc>
        <w:tc>
          <w:tcPr>
            <w:tcW w:w="1417" w:type="dxa"/>
            <w:tcBorders>
              <w:top w:val="nil"/>
              <w:left w:val="nil"/>
              <w:bottom w:val="single" w:sz="4" w:space="0" w:color="auto"/>
              <w:right w:val="single" w:sz="4" w:space="0" w:color="auto"/>
            </w:tcBorders>
            <w:noWrap/>
            <w:hideMark/>
          </w:tcPr>
          <w:p w14:paraId="63D40E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0,0636</w:t>
            </w:r>
          </w:p>
        </w:tc>
        <w:tc>
          <w:tcPr>
            <w:tcW w:w="1073" w:type="dxa"/>
            <w:tcBorders>
              <w:top w:val="nil"/>
              <w:left w:val="nil"/>
              <w:bottom w:val="single" w:sz="4" w:space="0" w:color="auto"/>
              <w:right w:val="single" w:sz="4" w:space="0" w:color="auto"/>
            </w:tcBorders>
            <w:noWrap/>
            <w:hideMark/>
          </w:tcPr>
          <w:p w14:paraId="592A5C5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1 961</w:t>
            </w:r>
          </w:p>
        </w:tc>
        <w:tc>
          <w:tcPr>
            <w:tcW w:w="1053" w:type="dxa"/>
            <w:tcBorders>
              <w:top w:val="nil"/>
              <w:left w:val="nil"/>
              <w:bottom w:val="single" w:sz="4" w:space="0" w:color="auto"/>
              <w:right w:val="single" w:sz="4" w:space="0" w:color="auto"/>
            </w:tcBorders>
            <w:noWrap/>
            <w:hideMark/>
          </w:tcPr>
          <w:p w14:paraId="492521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2 588</w:t>
            </w:r>
          </w:p>
        </w:tc>
        <w:tc>
          <w:tcPr>
            <w:tcW w:w="1553" w:type="dxa"/>
            <w:tcBorders>
              <w:top w:val="nil"/>
              <w:left w:val="nil"/>
              <w:bottom w:val="single" w:sz="4" w:space="0" w:color="auto"/>
              <w:right w:val="single" w:sz="4" w:space="0" w:color="auto"/>
            </w:tcBorders>
            <w:noWrap/>
            <w:hideMark/>
          </w:tcPr>
          <w:p w14:paraId="3083895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4 548</w:t>
            </w:r>
          </w:p>
        </w:tc>
      </w:tr>
      <w:tr w:rsidR="00107665" w:rsidRPr="00631C1C" w14:paraId="1315F5E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732CC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111</w:t>
            </w:r>
          </w:p>
        </w:tc>
        <w:tc>
          <w:tcPr>
            <w:tcW w:w="2431" w:type="dxa"/>
            <w:tcBorders>
              <w:top w:val="nil"/>
              <w:left w:val="nil"/>
              <w:bottom w:val="single" w:sz="4" w:space="0" w:color="auto"/>
              <w:right w:val="single" w:sz="4" w:space="0" w:color="auto"/>
            </w:tcBorders>
            <w:noWrap/>
            <w:hideMark/>
          </w:tcPr>
          <w:p w14:paraId="52DD53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Куба</w:t>
            </w:r>
          </w:p>
        </w:tc>
        <w:tc>
          <w:tcPr>
            <w:tcW w:w="1418" w:type="dxa"/>
            <w:tcBorders>
              <w:top w:val="nil"/>
              <w:left w:val="nil"/>
              <w:bottom w:val="single" w:sz="4" w:space="0" w:color="auto"/>
              <w:right w:val="single" w:sz="4" w:space="0" w:color="auto"/>
            </w:tcBorders>
            <w:noWrap/>
            <w:hideMark/>
          </w:tcPr>
          <w:p w14:paraId="0FDC03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0,122</w:t>
            </w:r>
          </w:p>
        </w:tc>
        <w:tc>
          <w:tcPr>
            <w:tcW w:w="1417" w:type="dxa"/>
            <w:tcBorders>
              <w:top w:val="nil"/>
              <w:left w:val="nil"/>
              <w:bottom w:val="single" w:sz="4" w:space="0" w:color="auto"/>
              <w:right w:val="single" w:sz="4" w:space="0" w:color="auto"/>
            </w:tcBorders>
            <w:noWrap/>
            <w:hideMark/>
          </w:tcPr>
          <w:p w14:paraId="068E4BB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0,1231</w:t>
            </w:r>
          </w:p>
        </w:tc>
        <w:tc>
          <w:tcPr>
            <w:tcW w:w="1073" w:type="dxa"/>
            <w:tcBorders>
              <w:top w:val="nil"/>
              <w:left w:val="nil"/>
              <w:bottom w:val="single" w:sz="4" w:space="0" w:color="auto"/>
              <w:right w:val="single" w:sz="4" w:space="0" w:color="auto"/>
            </w:tcBorders>
            <w:noWrap/>
            <w:hideMark/>
          </w:tcPr>
          <w:p w14:paraId="1BFACD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3 797</w:t>
            </w:r>
          </w:p>
        </w:tc>
        <w:tc>
          <w:tcPr>
            <w:tcW w:w="1053" w:type="dxa"/>
            <w:tcBorders>
              <w:top w:val="nil"/>
              <w:left w:val="nil"/>
              <w:bottom w:val="single" w:sz="4" w:space="0" w:color="auto"/>
              <w:right w:val="single" w:sz="4" w:space="0" w:color="auto"/>
            </w:tcBorders>
            <w:noWrap/>
            <w:hideMark/>
          </w:tcPr>
          <w:p w14:paraId="7FB9A9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5 011</w:t>
            </w:r>
          </w:p>
        </w:tc>
        <w:tc>
          <w:tcPr>
            <w:tcW w:w="1553" w:type="dxa"/>
            <w:tcBorders>
              <w:top w:val="nil"/>
              <w:left w:val="nil"/>
              <w:bottom w:val="single" w:sz="4" w:space="0" w:color="auto"/>
              <w:right w:val="single" w:sz="4" w:space="0" w:color="auto"/>
            </w:tcBorders>
            <w:noWrap/>
            <w:hideMark/>
          </w:tcPr>
          <w:p w14:paraId="10972FE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8 807</w:t>
            </w:r>
          </w:p>
        </w:tc>
      </w:tr>
      <w:tr w:rsidR="00107665" w:rsidRPr="00631C1C" w14:paraId="7154AB8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C878D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112</w:t>
            </w:r>
          </w:p>
        </w:tc>
        <w:tc>
          <w:tcPr>
            <w:tcW w:w="2431" w:type="dxa"/>
            <w:tcBorders>
              <w:top w:val="nil"/>
              <w:left w:val="nil"/>
              <w:bottom w:val="single" w:sz="4" w:space="0" w:color="auto"/>
              <w:right w:val="single" w:sz="4" w:space="0" w:color="auto"/>
            </w:tcBorders>
            <w:noWrap/>
            <w:hideMark/>
          </w:tcPr>
          <w:p w14:paraId="074138D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Доминиканская Республика</w:t>
            </w:r>
          </w:p>
        </w:tc>
        <w:tc>
          <w:tcPr>
            <w:tcW w:w="1418" w:type="dxa"/>
            <w:tcBorders>
              <w:top w:val="nil"/>
              <w:left w:val="nil"/>
              <w:bottom w:val="single" w:sz="4" w:space="0" w:color="auto"/>
              <w:right w:val="single" w:sz="4" w:space="0" w:color="auto"/>
            </w:tcBorders>
            <w:noWrap/>
            <w:hideMark/>
          </w:tcPr>
          <w:p w14:paraId="6C2E835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0,069</w:t>
            </w:r>
          </w:p>
        </w:tc>
        <w:tc>
          <w:tcPr>
            <w:tcW w:w="1417" w:type="dxa"/>
            <w:tcBorders>
              <w:top w:val="nil"/>
              <w:left w:val="nil"/>
              <w:bottom w:val="single" w:sz="4" w:space="0" w:color="auto"/>
              <w:right w:val="single" w:sz="4" w:space="0" w:color="auto"/>
            </w:tcBorders>
            <w:noWrap/>
            <w:hideMark/>
          </w:tcPr>
          <w:p w14:paraId="4F71AE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0,0696</w:t>
            </w:r>
          </w:p>
        </w:tc>
        <w:tc>
          <w:tcPr>
            <w:tcW w:w="1073" w:type="dxa"/>
            <w:tcBorders>
              <w:top w:val="nil"/>
              <w:left w:val="nil"/>
              <w:bottom w:val="single" w:sz="4" w:space="0" w:color="auto"/>
              <w:right w:val="single" w:sz="4" w:space="0" w:color="auto"/>
            </w:tcBorders>
            <w:noWrap/>
            <w:hideMark/>
          </w:tcPr>
          <w:p w14:paraId="57499EE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2 147</w:t>
            </w:r>
          </w:p>
        </w:tc>
        <w:tc>
          <w:tcPr>
            <w:tcW w:w="1053" w:type="dxa"/>
            <w:tcBorders>
              <w:top w:val="nil"/>
              <w:left w:val="nil"/>
              <w:bottom w:val="single" w:sz="4" w:space="0" w:color="auto"/>
              <w:right w:val="single" w:sz="4" w:space="0" w:color="auto"/>
            </w:tcBorders>
            <w:noWrap/>
            <w:hideMark/>
          </w:tcPr>
          <w:p w14:paraId="3E6171F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2 834</w:t>
            </w:r>
          </w:p>
        </w:tc>
        <w:tc>
          <w:tcPr>
            <w:tcW w:w="1553" w:type="dxa"/>
            <w:tcBorders>
              <w:top w:val="nil"/>
              <w:left w:val="nil"/>
              <w:bottom w:val="single" w:sz="4" w:space="0" w:color="auto"/>
              <w:right w:val="single" w:sz="4" w:space="0" w:color="auto"/>
            </w:tcBorders>
            <w:noWrap/>
            <w:hideMark/>
          </w:tcPr>
          <w:p w14:paraId="3B5CC7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4 981</w:t>
            </w:r>
          </w:p>
        </w:tc>
      </w:tr>
      <w:tr w:rsidR="00107665" w:rsidRPr="00631C1C" w14:paraId="115AD22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8454C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113</w:t>
            </w:r>
          </w:p>
        </w:tc>
        <w:tc>
          <w:tcPr>
            <w:tcW w:w="2431" w:type="dxa"/>
            <w:tcBorders>
              <w:top w:val="nil"/>
              <w:left w:val="nil"/>
              <w:bottom w:val="single" w:sz="4" w:space="0" w:color="auto"/>
              <w:right w:val="single" w:sz="4" w:space="0" w:color="auto"/>
            </w:tcBorders>
            <w:noWrap/>
            <w:hideMark/>
          </w:tcPr>
          <w:p w14:paraId="7598CC2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Эквадор</w:t>
            </w:r>
          </w:p>
        </w:tc>
        <w:tc>
          <w:tcPr>
            <w:tcW w:w="1418" w:type="dxa"/>
            <w:tcBorders>
              <w:top w:val="nil"/>
              <w:left w:val="nil"/>
              <w:bottom w:val="single" w:sz="4" w:space="0" w:color="auto"/>
              <w:right w:val="single" w:sz="4" w:space="0" w:color="auto"/>
            </w:tcBorders>
            <w:noWrap/>
            <w:hideMark/>
          </w:tcPr>
          <w:p w14:paraId="01DD83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0,065</w:t>
            </w:r>
          </w:p>
        </w:tc>
        <w:tc>
          <w:tcPr>
            <w:tcW w:w="1417" w:type="dxa"/>
            <w:tcBorders>
              <w:top w:val="nil"/>
              <w:left w:val="nil"/>
              <w:bottom w:val="single" w:sz="4" w:space="0" w:color="auto"/>
              <w:right w:val="single" w:sz="4" w:space="0" w:color="auto"/>
            </w:tcBorders>
            <w:noWrap/>
            <w:hideMark/>
          </w:tcPr>
          <w:p w14:paraId="29FB9BD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0,0656</w:t>
            </w:r>
          </w:p>
        </w:tc>
        <w:tc>
          <w:tcPr>
            <w:tcW w:w="1073" w:type="dxa"/>
            <w:tcBorders>
              <w:top w:val="nil"/>
              <w:left w:val="nil"/>
              <w:bottom w:val="single" w:sz="4" w:space="0" w:color="auto"/>
              <w:right w:val="single" w:sz="4" w:space="0" w:color="auto"/>
            </w:tcBorders>
            <w:noWrap/>
            <w:hideMark/>
          </w:tcPr>
          <w:p w14:paraId="349588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2 023</w:t>
            </w:r>
          </w:p>
        </w:tc>
        <w:tc>
          <w:tcPr>
            <w:tcW w:w="1053" w:type="dxa"/>
            <w:tcBorders>
              <w:top w:val="nil"/>
              <w:left w:val="nil"/>
              <w:bottom w:val="single" w:sz="4" w:space="0" w:color="auto"/>
              <w:right w:val="single" w:sz="4" w:space="0" w:color="auto"/>
            </w:tcBorders>
            <w:noWrap/>
            <w:hideMark/>
          </w:tcPr>
          <w:p w14:paraId="679622B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2 670</w:t>
            </w:r>
          </w:p>
        </w:tc>
        <w:tc>
          <w:tcPr>
            <w:tcW w:w="1553" w:type="dxa"/>
            <w:tcBorders>
              <w:top w:val="nil"/>
              <w:left w:val="nil"/>
              <w:bottom w:val="single" w:sz="4" w:space="0" w:color="auto"/>
              <w:right w:val="single" w:sz="4" w:space="0" w:color="auto"/>
            </w:tcBorders>
            <w:noWrap/>
            <w:hideMark/>
          </w:tcPr>
          <w:p w14:paraId="05BF277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4 692</w:t>
            </w:r>
          </w:p>
        </w:tc>
      </w:tr>
      <w:tr w:rsidR="00107665" w:rsidRPr="00631C1C" w14:paraId="3F4E365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43D2A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114</w:t>
            </w:r>
          </w:p>
        </w:tc>
        <w:tc>
          <w:tcPr>
            <w:tcW w:w="2431" w:type="dxa"/>
            <w:tcBorders>
              <w:top w:val="nil"/>
              <w:left w:val="nil"/>
              <w:bottom w:val="single" w:sz="4" w:space="0" w:color="auto"/>
              <w:right w:val="single" w:sz="4" w:space="0" w:color="auto"/>
            </w:tcBorders>
            <w:noWrap/>
            <w:hideMark/>
          </w:tcPr>
          <w:p w14:paraId="19819AF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Сальвадор</w:t>
            </w:r>
          </w:p>
        </w:tc>
        <w:tc>
          <w:tcPr>
            <w:tcW w:w="1418" w:type="dxa"/>
            <w:tcBorders>
              <w:top w:val="nil"/>
              <w:left w:val="nil"/>
              <w:bottom w:val="single" w:sz="4" w:space="0" w:color="auto"/>
              <w:right w:val="single" w:sz="4" w:space="0" w:color="auto"/>
            </w:tcBorders>
            <w:noWrap/>
            <w:hideMark/>
          </w:tcPr>
          <w:p w14:paraId="1C23DD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0,013</w:t>
            </w:r>
          </w:p>
        </w:tc>
        <w:tc>
          <w:tcPr>
            <w:tcW w:w="1417" w:type="dxa"/>
            <w:tcBorders>
              <w:top w:val="nil"/>
              <w:left w:val="nil"/>
              <w:bottom w:val="single" w:sz="4" w:space="0" w:color="auto"/>
              <w:right w:val="single" w:sz="4" w:space="0" w:color="auto"/>
            </w:tcBorders>
            <w:noWrap/>
            <w:hideMark/>
          </w:tcPr>
          <w:p w14:paraId="26EE142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0,0131</w:t>
            </w:r>
          </w:p>
        </w:tc>
        <w:tc>
          <w:tcPr>
            <w:tcW w:w="1073" w:type="dxa"/>
            <w:tcBorders>
              <w:top w:val="nil"/>
              <w:left w:val="nil"/>
              <w:bottom w:val="single" w:sz="4" w:space="0" w:color="auto"/>
              <w:right w:val="single" w:sz="4" w:space="0" w:color="auto"/>
            </w:tcBorders>
            <w:noWrap/>
            <w:hideMark/>
          </w:tcPr>
          <w:p w14:paraId="168766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405</w:t>
            </w:r>
          </w:p>
        </w:tc>
        <w:tc>
          <w:tcPr>
            <w:tcW w:w="1053" w:type="dxa"/>
            <w:tcBorders>
              <w:top w:val="nil"/>
              <w:left w:val="nil"/>
              <w:bottom w:val="single" w:sz="4" w:space="0" w:color="auto"/>
              <w:right w:val="single" w:sz="4" w:space="0" w:color="auto"/>
            </w:tcBorders>
            <w:noWrap/>
            <w:hideMark/>
          </w:tcPr>
          <w:p w14:paraId="6383336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534</w:t>
            </w:r>
          </w:p>
        </w:tc>
        <w:tc>
          <w:tcPr>
            <w:tcW w:w="1553" w:type="dxa"/>
            <w:tcBorders>
              <w:top w:val="nil"/>
              <w:left w:val="nil"/>
              <w:bottom w:val="single" w:sz="4" w:space="0" w:color="auto"/>
              <w:right w:val="single" w:sz="4" w:space="0" w:color="auto"/>
            </w:tcBorders>
            <w:noWrap/>
            <w:hideMark/>
          </w:tcPr>
          <w:p w14:paraId="3B58234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938</w:t>
            </w:r>
          </w:p>
        </w:tc>
      </w:tr>
      <w:tr w:rsidR="00107665" w:rsidRPr="00631C1C" w14:paraId="4A2C3DF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68819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115</w:t>
            </w:r>
          </w:p>
        </w:tc>
        <w:tc>
          <w:tcPr>
            <w:tcW w:w="2431" w:type="dxa"/>
            <w:tcBorders>
              <w:top w:val="nil"/>
              <w:left w:val="nil"/>
              <w:bottom w:val="single" w:sz="4" w:space="0" w:color="auto"/>
              <w:right w:val="single" w:sz="4" w:space="0" w:color="auto"/>
            </w:tcBorders>
            <w:noWrap/>
            <w:hideMark/>
          </w:tcPr>
          <w:p w14:paraId="1E48FD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Гайана</w:t>
            </w:r>
          </w:p>
        </w:tc>
        <w:tc>
          <w:tcPr>
            <w:tcW w:w="1418" w:type="dxa"/>
            <w:tcBorders>
              <w:top w:val="nil"/>
              <w:left w:val="nil"/>
              <w:bottom w:val="single" w:sz="4" w:space="0" w:color="auto"/>
              <w:right w:val="single" w:sz="4" w:space="0" w:color="auto"/>
            </w:tcBorders>
            <w:noWrap/>
            <w:hideMark/>
          </w:tcPr>
          <w:p w14:paraId="7134076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w:t>
            </w:r>
          </w:p>
        </w:tc>
        <w:tc>
          <w:tcPr>
            <w:tcW w:w="1417" w:type="dxa"/>
            <w:tcBorders>
              <w:top w:val="nil"/>
              <w:left w:val="nil"/>
              <w:bottom w:val="single" w:sz="4" w:space="0" w:color="auto"/>
              <w:right w:val="single" w:sz="4" w:space="0" w:color="auto"/>
            </w:tcBorders>
            <w:noWrap/>
            <w:hideMark/>
          </w:tcPr>
          <w:p w14:paraId="740DCE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0,0111</w:t>
            </w:r>
          </w:p>
        </w:tc>
        <w:tc>
          <w:tcPr>
            <w:tcW w:w="1073" w:type="dxa"/>
            <w:tcBorders>
              <w:top w:val="nil"/>
              <w:left w:val="nil"/>
              <w:bottom w:val="single" w:sz="4" w:space="0" w:color="auto"/>
              <w:right w:val="single" w:sz="4" w:space="0" w:color="auto"/>
            </w:tcBorders>
            <w:noWrap/>
            <w:hideMark/>
          </w:tcPr>
          <w:p w14:paraId="50B5A9F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342</w:t>
            </w:r>
          </w:p>
        </w:tc>
        <w:tc>
          <w:tcPr>
            <w:tcW w:w="1053" w:type="dxa"/>
            <w:tcBorders>
              <w:top w:val="nil"/>
              <w:left w:val="nil"/>
              <w:bottom w:val="single" w:sz="4" w:space="0" w:color="auto"/>
              <w:right w:val="single" w:sz="4" w:space="0" w:color="auto"/>
            </w:tcBorders>
            <w:noWrap/>
            <w:hideMark/>
          </w:tcPr>
          <w:p w14:paraId="6446CF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452</w:t>
            </w:r>
          </w:p>
        </w:tc>
        <w:tc>
          <w:tcPr>
            <w:tcW w:w="1553" w:type="dxa"/>
            <w:tcBorders>
              <w:top w:val="nil"/>
              <w:left w:val="nil"/>
              <w:bottom w:val="single" w:sz="4" w:space="0" w:color="auto"/>
              <w:right w:val="single" w:sz="4" w:space="0" w:color="auto"/>
            </w:tcBorders>
            <w:noWrap/>
            <w:hideMark/>
          </w:tcPr>
          <w:p w14:paraId="0B90B9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794</w:t>
            </w:r>
          </w:p>
        </w:tc>
      </w:tr>
      <w:tr w:rsidR="00107665" w:rsidRPr="00631C1C" w14:paraId="746AD24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E5195A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116</w:t>
            </w:r>
          </w:p>
        </w:tc>
        <w:tc>
          <w:tcPr>
            <w:tcW w:w="2431" w:type="dxa"/>
            <w:tcBorders>
              <w:top w:val="nil"/>
              <w:left w:val="nil"/>
              <w:bottom w:val="single" w:sz="4" w:space="0" w:color="auto"/>
              <w:right w:val="single" w:sz="4" w:space="0" w:color="auto"/>
            </w:tcBorders>
            <w:noWrap/>
            <w:hideMark/>
          </w:tcPr>
          <w:p w14:paraId="3AE703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Гондурас</w:t>
            </w:r>
          </w:p>
        </w:tc>
        <w:tc>
          <w:tcPr>
            <w:tcW w:w="1418" w:type="dxa"/>
            <w:tcBorders>
              <w:top w:val="nil"/>
              <w:left w:val="nil"/>
              <w:bottom w:val="single" w:sz="4" w:space="0" w:color="auto"/>
              <w:right w:val="single" w:sz="4" w:space="0" w:color="auto"/>
            </w:tcBorders>
            <w:noWrap/>
            <w:hideMark/>
          </w:tcPr>
          <w:p w14:paraId="4B82264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5B034A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285C98D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035F662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7DDF23B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4F65CF8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11154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117</w:t>
            </w:r>
          </w:p>
        </w:tc>
        <w:tc>
          <w:tcPr>
            <w:tcW w:w="2431" w:type="dxa"/>
            <w:tcBorders>
              <w:top w:val="nil"/>
              <w:left w:val="nil"/>
              <w:bottom w:val="single" w:sz="4" w:space="0" w:color="auto"/>
              <w:right w:val="single" w:sz="4" w:space="0" w:color="auto"/>
            </w:tcBorders>
            <w:noWrap/>
            <w:hideMark/>
          </w:tcPr>
          <w:p w14:paraId="50F669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Ямайка</w:t>
            </w:r>
          </w:p>
        </w:tc>
        <w:tc>
          <w:tcPr>
            <w:tcW w:w="1418" w:type="dxa"/>
            <w:tcBorders>
              <w:top w:val="nil"/>
              <w:left w:val="nil"/>
              <w:bottom w:val="single" w:sz="4" w:space="0" w:color="auto"/>
              <w:right w:val="single" w:sz="4" w:space="0" w:color="auto"/>
            </w:tcBorders>
            <w:noWrap/>
            <w:hideMark/>
          </w:tcPr>
          <w:p w14:paraId="1838E8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5A31C56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26F9D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EFDB6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64EFD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35DABE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FD647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118</w:t>
            </w:r>
          </w:p>
        </w:tc>
        <w:tc>
          <w:tcPr>
            <w:tcW w:w="2431" w:type="dxa"/>
            <w:tcBorders>
              <w:top w:val="nil"/>
              <w:left w:val="nil"/>
              <w:bottom w:val="single" w:sz="4" w:space="0" w:color="auto"/>
              <w:right w:val="single" w:sz="4" w:space="0" w:color="auto"/>
            </w:tcBorders>
            <w:noWrap/>
            <w:hideMark/>
          </w:tcPr>
          <w:p w14:paraId="2A86B51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Мексика</w:t>
            </w:r>
          </w:p>
        </w:tc>
        <w:tc>
          <w:tcPr>
            <w:tcW w:w="1418" w:type="dxa"/>
            <w:tcBorders>
              <w:top w:val="nil"/>
              <w:left w:val="nil"/>
              <w:bottom w:val="single" w:sz="4" w:space="0" w:color="auto"/>
              <w:right w:val="single" w:sz="4" w:space="0" w:color="auto"/>
            </w:tcBorders>
            <w:noWrap/>
            <w:hideMark/>
          </w:tcPr>
          <w:p w14:paraId="0CDD354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1,137</w:t>
            </w:r>
          </w:p>
        </w:tc>
        <w:tc>
          <w:tcPr>
            <w:tcW w:w="1417" w:type="dxa"/>
            <w:tcBorders>
              <w:top w:val="nil"/>
              <w:left w:val="nil"/>
              <w:bottom w:val="single" w:sz="4" w:space="0" w:color="auto"/>
              <w:right w:val="single" w:sz="4" w:space="0" w:color="auto"/>
            </w:tcBorders>
            <w:noWrap/>
            <w:hideMark/>
          </w:tcPr>
          <w:p w14:paraId="1D50BD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1,1476</w:t>
            </w:r>
          </w:p>
        </w:tc>
        <w:tc>
          <w:tcPr>
            <w:tcW w:w="1073" w:type="dxa"/>
            <w:tcBorders>
              <w:top w:val="nil"/>
              <w:left w:val="nil"/>
              <w:bottom w:val="single" w:sz="4" w:space="0" w:color="auto"/>
              <w:right w:val="single" w:sz="4" w:space="0" w:color="auto"/>
            </w:tcBorders>
            <w:noWrap/>
            <w:hideMark/>
          </w:tcPr>
          <w:p w14:paraId="3D84BA3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35 384</w:t>
            </w:r>
          </w:p>
        </w:tc>
        <w:tc>
          <w:tcPr>
            <w:tcW w:w="1053" w:type="dxa"/>
            <w:tcBorders>
              <w:top w:val="nil"/>
              <w:left w:val="nil"/>
              <w:bottom w:val="single" w:sz="4" w:space="0" w:color="auto"/>
              <w:right w:val="single" w:sz="4" w:space="0" w:color="auto"/>
            </w:tcBorders>
            <w:noWrap/>
            <w:hideMark/>
          </w:tcPr>
          <w:p w14:paraId="27E9A5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46 698</w:t>
            </w:r>
          </w:p>
        </w:tc>
        <w:tc>
          <w:tcPr>
            <w:tcW w:w="1553" w:type="dxa"/>
            <w:tcBorders>
              <w:top w:val="nil"/>
              <w:left w:val="nil"/>
              <w:bottom w:val="single" w:sz="4" w:space="0" w:color="auto"/>
              <w:right w:val="single" w:sz="4" w:space="0" w:color="auto"/>
            </w:tcBorders>
            <w:noWrap/>
            <w:hideMark/>
          </w:tcPr>
          <w:p w14:paraId="49739D1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82 082</w:t>
            </w:r>
          </w:p>
        </w:tc>
      </w:tr>
      <w:tr w:rsidR="00107665" w:rsidRPr="00631C1C" w14:paraId="7CE1F0E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B99B4F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119</w:t>
            </w:r>
          </w:p>
        </w:tc>
        <w:tc>
          <w:tcPr>
            <w:tcW w:w="2431" w:type="dxa"/>
            <w:tcBorders>
              <w:top w:val="nil"/>
              <w:left w:val="nil"/>
              <w:bottom w:val="single" w:sz="4" w:space="0" w:color="auto"/>
              <w:right w:val="single" w:sz="4" w:space="0" w:color="auto"/>
            </w:tcBorders>
            <w:noWrap/>
            <w:hideMark/>
          </w:tcPr>
          <w:p w14:paraId="02C0F4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Никарагуа</w:t>
            </w:r>
          </w:p>
        </w:tc>
        <w:tc>
          <w:tcPr>
            <w:tcW w:w="1418" w:type="dxa"/>
            <w:tcBorders>
              <w:top w:val="nil"/>
              <w:left w:val="nil"/>
              <w:bottom w:val="single" w:sz="4" w:space="0" w:color="auto"/>
              <w:right w:val="single" w:sz="4" w:space="0" w:color="auto"/>
            </w:tcBorders>
            <w:noWrap/>
            <w:hideMark/>
          </w:tcPr>
          <w:p w14:paraId="3F651B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24DBCDB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F6FF7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57FFD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A1CC5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5C4904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2E2FB8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lastRenderedPageBreak/>
              <w:t>120</w:t>
            </w:r>
          </w:p>
        </w:tc>
        <w:tc>
          <w:tcPr>
            <w:tcW w:w="2431" w:type="dxa"/>
            <w:tcBorders>
              <w:top w:val="nil"/>
              <w:left w:val="nil"/>
              <w:bottom w:val="single" w:sz="4" w:space="0" w:color="auto"/>
              <w:right w:val="single" w:sz="4" w:space="0" w:color="auto"/>
            </w:tcBorders>
            <w:noWrap/>
            <w:hideMark/>
          </w:tcPr>
          <w:p w14:paraId="58D718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Панама</w:t>
            </w:r>
          </w:p>
        </w:tc>
        <w:tc>
          <w:tcPr>
            <w:tcW w:w="1418" w:type="dxa"/>
            <w:tcBorders>
              <w:top w:val="nil"/>
              <w:left w:val="nil"/>
              <w:bottom w:val="single" w:sz="4" w:space="0" w:color="auto"/>
              <w:right w:val="single" w:sz="4" w:space="0" w:color="auto"/>
            </w:tcBorders>
            <w:noWrap/>
            <w:hideMark/>
          </w:tcPr>
          <w:p w14:paraId="4ED28B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0,086</w:t>
            </w:r>
          </w:p>
        </w:tc>
        <w:tc>
          <w:tcPr>
            <w:tcW w:w="1417" w:type="dxa"/>
            <w:tcBorders>
              <w:top w:val="nil"/>
              <w:left w:val="nil"/>
              <w:bottom w:val="single" w:sz="4" w:space="0" w:color="auto"/>
              <w:right w:val="single" w:sz="4" w:space="0" w:color="auto"/>
            </w:tcBorders>
            <w:noWrap/>
            <w:hideMark/>
          </w:tcPr>
          <w:p w14:paraId="7E40E7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0,0868</w:t>
            </w:r>
          </w:p>
        </w:tc>
        <w:tc>
          <w:tcPr>
            <w:tcW w:w="1073" w:type="dxa"/>
            <w:tcBorders>
              <w:top w:val="nil"/>
              <w:left w:val="nil"/>
              <w:bottom w:val="single" w:sz="4" w:space="0" w:color="auto"/>
              <w:right w:val="single" w:sz="4" w:space="0" w:color="auto"/>
            </w:tcBorders>
            <w:noWrap/>
            <w:hideMark/>
          </w:tcPr>
          <w:p w14:paraId="1AF3AD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2 676</w:t>
            </w:r>
          </w:p>
        </w:tc>
        <w:tc>
          <w:tcPr>
            <w:tcW w:w="1053" w:type="dxa"/>
            <w:tcBorders>
              <w:top w:val="nil"/>
              <w:left w:val="nil"/>
              <w:bottom w:val="single" w:sz="4" w:space="0" w:color="auto"/>
              <w:right w:val="single" w:sz="4" w:space="0" w:color="auto"/>
            </w:tcBorders>
            <w:noWrap/>
            <w:hideMark/>
          </w:tcPr>
          <w:p w14:paraId="1142DE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3 532</w:t>
            </w:r>
          </w:p>
        </w:tc>
        <w:tc>
          <w:tcPr>
            <w:tcW w:w="1553" w:type="dxa"/>
            <w:tcBorders>
              <w:top w:val="nil"/>
              <w:left w:val="nil"/>
              <w:bottom w:val="single" w:sz="4" w:space="0" w:color="auto"/>
              <w:right w:val="single" w:sz="4" w:space="0" w:color="auto"/>
            </w:tcBorders>
            <w:noWrap/>
            <w:hideMark/>
          </w:tcPr>
          <w:p w14:paraId="4D5375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6 209</w:t>
            </w:r>
          </w:p>
        </w:tc>
      </w:tr>
      <w:tr w:rsidR="00107665" w:rsidRPr="00631C1C" w14:paraId="3543BBB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0DFD0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121</w:t>
            </w:r>
          </w:p>
        </w:tc>
        <w:tc>
          <w:tcPr>
            <w:tcW w:w="2431" w:type="dxa"/>
            <w:tcBorders>
              <w:top w:val="nil"/>
              <w:left w:val="nil"/>
              <w:bottom w:val="single" w:sz="4" w:space="0" w:color="auto"/>
              <w:right w:val="single" w:sz="4" w:space="0" w:color="auto"/>
            </w:tcBorders>
            <w:noWrap/>
            <w:hideMark/>
          </w:tcPr>
          <w:p w14:paraId="15566C3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Парагвай</w:t>
            </w:r>
          </w:p>
        </w:tc>
        <w:tc>
          <w:tcPr>
            <w:tcW w:w="1418" w:type="dxa"/>
            <w:tcBorders>
              <w:top w:val="nil"/>
              <w:left w:val="nil"/>
              <w:bottom w:val="single" w:sz="4" w:space="0" w:color="auto"/>
              <w:right w:val="single" w:sz="4" w:space="0" w:color="auto"/>
            </w:tcBorders>
            <w:noWrap/>
            <w:hideMark/>
          </w:tcPr>
          <w:p w14:paraId="2F82909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0,023</w:t>
            </w:r>
          </w:p>
        </w:tc>
        <w:tc>
          <w:tcPr>
            <w:tcW w:w="1417" w:type="dxa"/>
            <w:tcBorders>
              <w:top w:val="nil"/>
              <w:left w:val="nil"/>
              <w:bottom w:val="single" w:sz="4" w:space="0" w:color="auto"/>
              <w:right w:val="single" w:sz="4" w:space="0" w:color="auto"/>
            </w:tcBorders>
            <w:noWrap/>
            <w:hideMark/>
          </w:tcPr>
          <w:p w14:paraId="3EF1A8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0,0232</w:t>
            </w:r>
          </w:p>
        </w:tc>
        <w:tc>
          <w:tcPr>
            <w:tcW w:w="1073" w:type="dxa"/>
            <w:tcBorders>
              <w:top w:val="nil"/>
              <w:left w:val="nil"/>
              <w:bottom w:val="single" w:sz="4" w:space="0" w:color="auto"/>
              <w:right w:val="single" w:sz="4" w:space="0" w:color="auto"/>
            </w:tcBorders>
            <w:noWrap/>
            <w:hideMark/>
          </w:tcPr>
          <w:p w14:paraId="57C9DC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716</w:t>
            </w:r>
          </w:p>
        </w:tc>
        <w:tc>
          <w:tcPr>
            <w:tcW w:w="1053" w:type="dxa"/>
            <w:tcBorders>
              <w:top w:val="nil"/>
              <w:left w:val="nil"/>
              <w:bottom w:val="single" w:sz="4" w:space="0" w:color="auto"/>
              <w:right w:val="single" w:sz="4" w:space="0" w:color="auto"/>
            </w:tcBorders>
            <w:noWrap/>
            <w:hideMark/>
          </w:tcPr>
          <w:p w14:paraId="760D032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945</w:t>
            </w:r>
          </w:p>
        </w:tc>
        <w:tc>
          <w:tcPr>
            <w:tcW w:w="1553" w:type="dxa"/>
            <w:tcBorders>
              <w:top w:val="nil"/>
              <w:left w:val="nil"/>
              <w:bottom w:val="single" w:sz="4" w:space="0" w:color="auto"/>
              <w:right w:val="single" w:sz="4" w:space="0" w:color="auto"/>
            </w:tcBorders>
            <w:noWrap/>
            <w:hideMark/>
          </w:tcPr>
          <w:p w14:paraId="6C3E836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1 660</w:t>
            </w:r>
          </w:p>
        </w:tc>
      </w:tr>
      <w:tr w:rsidR="00107665" w:rsidRPr="00631C1C" w14:paraId="780CB3F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28454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122</w:t>
            </w:r>
          </w:p>
        </w:tc>
        <w:tc>
          <w:tcPr>
            <w:tcW w:w="2431" w:type="dxa"/>
            <w:tcBorders>
              <w:top w:val="nil"/>
              <w:left w:val="nil"/>
              <w:bottom w:val="single" w:sz="4" w:space="0" w:color="auto"/>
              <w:right w:val="single" w:sz="4" w:space="0" w:color="auto"/>
            </w:tcBorders>
            <w:noWrap/>
            <w:hideMark/>
          </w:tcPr>
          <w:p w14:paraId="29B75F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Перу</w:t>
            </w:r>
          </w:p>
        </w:tc>
        <w:tc>
          <w:tcPr>
            <w:tcW w:w="1418" w:type="dxa"/>
            <w:tcBorders>
              <w:top w:val="nil"/>
              <w:left w:val="nil"/>
              <w:bottom w:val="single" w:sz="4" w:space="0" w:color="auto"/>
              <w:right w:val="single" w:sz="4" w:space="0" w:color="auto"/>
            </w:tcBorders>
            <w:noWrap/>
            <w:hideMark/>
          </w:tcPr>
          <w:p w14:paraId="7AE7B3D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0,145</w:t>
            </w:r>
          </w:p>
        </w:tc>
        <w:tc>
          <w:tcPr>
            <w:tcW w:w="1417" w:type="dxa"/>
            <w:tcBorders>
              <w:top w:val="nil"/>
              <w:left w:val="nil"/>
              <w:bottom w:val="single" w:sz="4" w:space="0" w:color="auto"/>
              <w:right w:val="single" w:sz="4" w:space="0" w:color="auto"/>
            </w:tcBorders>
            <w:noWrap/>
            <w:hideMark/>
          </w:tcPr>
          <w:p w14:paraId="25EACD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0,1463</w:t>
            </w:r>
          </w:p>
        </w:tc>
        <w:tc>
          <w:tcPr>
            <w:tcW w:w="1073" w:type="dxa"/>
            <w:tcBorders>
              <w:top w:val="nil"/>
              <w:left w:val="nil"/>
              <w:bottom w:val="single" w:sz="4" w:space="0" w:color="auto"/>
              <w:right w:val="single" w:sz="4" w:space="0" w:color="auto"/>
            </w:tcBorders>
            <w:noWrap/>
            <w:hideMark/>
          </w:tcPr>
          <w:p w14:paraId="3BE2CF8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4 512</w:t>
            </w:r>
          </w:p>
        </w:tc>
        <w:tc>
          <w:tcPr>
            <w:tcW w:w="1053" w:type="dxa"/>
            <w:tcBorders>
              <w:top w:val="nil"/>
              <w:left w:val="nil"/>
              <w:bottom w:val="single" w:sz="4" w:space="0" w:color="auto"/>
              <w:right w:val="single" w:sz="4" w:space="0" w:color="auto"/>
            </w:tcBorders>
            <w:noWrap/>
            <w:hideMark/>
          </w:tcPr>
          <w:p w14:paraId="073F62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5 955</w:t>
            </w:r>
          </w:p>
        </w:tc>
        <w:tc>
          <w:tcPr>
            <w:tcW w:w="1553" w:type="dxa"/>
            <w:tcBorders>
              <w:top w:val="nil"/>
              <w:left w:val="nil"/>
              <w:bottom w:val="single" w:sz="4" w:space="0" w:color="auto"/>
              <w:right w:val="single" w:sz="4" w:space="0" w:color="auto"/>
            </w:tcBorders>
            <w:noWrap/>
            <w:hideMark/>
          </w:tcPr>
          <w:p w14:paraId="25B3A6A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10 468</w:t>
            </w:r>
          </w:p>
        </w:tc>
      </w:tr>
      <w:tr w:rsidR="00107665" w:rsidRPr="00631C1C" w14:paraId="588CACC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A62365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123</w:t>
            </w:r>
          </w:p>
        </w:tc>
        <w:tc>
          <w:tcPr>
            <w:tcW w:w="2431" w:type="dxa"/>
            <w:tcBorders>
              <w:top w:val="nil"/>
              <w:left w:val="nil"/>
              <w:bottom w:val="single" w:sz="4" w:space="0" w:color="auto"/>
              <w:right w:val="single" w:sz="4" w:space="0" w:color="auto"/>
            </w:tcBorders>
            <w:noWrap/>
            <w:hideMark/>
          </w:tcPr>
          <w:p w14:paraId="44CBBF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Сент-Китс и Невис</w:t>
            </w:r>
          </w:p>
        </w:tc>
        <w:tc>
          <w:tcPr>
            <w:tcW w:w="1418" w:type="dxa"/>
            <w:tcBorders>
              <w:top w:val="nil"/>
              <w:left w:val="nil"/>
              <w:bottom w:val="single" w:sz="4" w:space="0" w:color="auto"/>
              <w:right w:val="single" w:sz="4" w:space="0" w:color="auto"/>
            </w:tcBorders>
            <w:noWrap/>
            <w:hideMark/>
          </w:tcPr>
          <w:p w14:paraId="578958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B147E6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C427B8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D89CDC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AA7F5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599D9D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7CC63A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124</w:t>
            </w:r>
          </w:p>
        </w:tc>
        <w:tc>
          <w:tcPr>
            <w:tcW w:w="2431" w:type="dxa"/>
            <w:tcBorders>
              <w:top w:val="nil"/>
              <w:left w:val="nil"/>
              <w:bottom w:val="single" w:sz="4" w:space="0" w:color="auto"/>
              <w:right w:val="single" w:sz="4" w:space="0" w:color="auto"/>
            </w:tcBorders>
            <w:noWrap/>
            <w:hideMark/>
          </w:tcPr>
          <w:p w14:paraId="671885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Сент-Люсия</w:t>
            </w:r>
          </w:p>
        </w:tc>
        <w:tc>
          <w:tcPr>
            <w:tcW w:w="1418" w:type="dxa"/>
            <w:tcBorders>
              <w:top w:val="nil"/>
              <w:left w:val="nil"/>
              <w:bottom w:val="single" w:sz="4" w:space="0" w:color="auto"/>
              <w:right w:val="single" w:sz="4" w:space="0" w:color="auto"/>
            </w:tcBorders>
            <w:noWrap/>
            <w:hideMark/>
          </w:tcPr>
          <w:p w14:paraId="32B79C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48F220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BD9E6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17DCFC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2997E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0A8F95D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A460FE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125</w:t>
            </w:r>
          </w:p>
        </w:tc>
        <w:tc>
          <w:tcPr>
            <w:tcW w:w="2431" w:type="dxa"/>
            <w:tcBorders>
              <w:top w:val="nil"/>
              <w:left w:val="nil"/>
              <w:bottom w:val="single" w:sz="4" w:space="0" w:color="auto"/>
              <w:right w:val="single" w:sz="4" w:space="0" w:color="auto"/>
            </w:tcBorders>
            <w:noWrap/>
            <w:hideMark/>
          </w:tcPr>
          <w:p w14:paraId="0CDCD6C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hyperlink r:id="rId23" w:history="1">
              <w:proofErr w:type="spellStart"/>
              <w:r>
                <w:rPr>
                  <w:color w:val="000000"/>
                </w:rPr>
                <w:t>Сент-Винсент</w:t>
              </w:r>
              <w:proofErr w:type="spellEnd"/>
              <w:r>
                <w:rPr>
                  <w:color w:val="000000"/>
                </w:rPr>
                <w:t xml:space="preserve"> и </w:t>
              </w:r>
              <w:proofErr w:type="spellStart"/>
              <w:r>
                <w:rPr>
                  <w:color w:val="000000"/>
                </w:rPr>
                <w:t>Гренадины</w:t>
              </w:r>
              <w:proofErr w:type="spellEnd"/>
            </w:hyperlink>
          </w:p>
        </w:tc>
        <w:tc>
          <w:tcPr>
            <w:tcW w:w="1418" w:type="dxa"/>
            <w:tcBorders>
              <w:top w:val="nil"/>
              <w:left w:val="nil"/>
              <w:bottom w:val="single" w:sz="4" w:space="0" w:color="auto"/>
              <w:right w:val="single" w:sz="4" w:space="0" w:color="auto"/>
            </w:tcBorders>
            <w:noWrap/>
            <w:vAlign w:val="bottom"/>
            <w:hideMark/>
          </w:tcPr>
          <w:p w14:paraId="0F2768AF"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vAlign w:val="bottom"/>
            <w:hideMark/>
          </w:tcPr>
          <w:p w14:paraId="75E7A862"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vAlign w:val="bottom"/>
            <w:hideMark/>
          </w:tcPr>
          <w:p w14:paraId="5333BB40"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vAlign w:val="bottom"/>
            <w:hideMark/>
          </w:tcPr>
          <w:p w14:paraId="02A365A3"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vAlign w:val="bottom"/>
            <w:hideMark/>
          </w:tcPr>
          <w:p w14:paraId="517EDA75"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B6E0D0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1745A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126</w:t>
            </w:r>
          </w:p>
        </w:tc>
        <w:tc>
          <w:tcPr>
            <w:tcW w:w="2431" w:type="dxa"/>
            <w:tcBorders>
              <w:top w:val="nil"/>
              <w:left w:val="nil"/>
              <w:bottom w:val="single" w:sz="4" w:space="0" w:color="auto"/>
              <w:right w:val="single" w:sz="4" w:space="0" w:color="auto"/>
            </w:tcBorders>
            <w:noWrap/>
            <w:hideMark/>
          </w:tcPr>
          <w:p w14:paraId="27AFBC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Суринам</w:t>
            </w:r>
          </w:p>
        </w:tc>
        <w:tc>
          <w:tcPr>
            <w:tcW w:w="1418" w:type="dxa"/>
            <w:tcBorders>
              <w:top w:val="nil"/>
              <w:left w:val="nil"/>
              <w:bottom w:val="single" w:sz="4" w:space="0" w:color="auto"/>
              <w:right w:val="single" w:sz="4" w:space="0" w:color="auto"/>
            </w:tcBorders>
            <w:noWrap/>
            <w:hideMark/>
          </w:tcPr>
          <w:p w14:paraId="1BCF21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7450D42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BE86A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E59444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19D52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605E8F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7F5E1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127</w:t>
            </w:r>
          </w:p>
        </w:tc>
        <w:tc>
          <w:tcPr>
            <w:tcW w:w="2431" w:type="dxa"/>
            <w:tcBorders>
              <w:top w:val="nil"/>
              <w:left w:val="nil"/>
              <w:bottom w:val="single" w:sz="4" w:space="0" w:color="auto"/>
              <w:right w:val="single" w:sz="4" w:space="0" w:color="auto"/>
            </w:tcBorders>
            <w:noWrap/>
            <w:hideMark/>
          </w:tcPr>
          <w:p w14:paraId="0ED0AC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Уругвай</w:t>
            </w:r>
          </w:p>
        </w:tc>
        <w:tc>
          <w:tcPr>
            <w:tcW w:w="1418" w:type="dxa"/>
            <w:tcBorders>
              <w:top w:val="nil"/>
              <w:left w:val="nil"/>
              <w:bottom w:val="single" w:sz="4" w:space="0" w:color="auto"/>
              <w:right w:val="single" w:sz="4" w:space="0" w:color="auto"/>
            </w:tcBorders>
            <w:noWrap/>
            <w:hideMark/>
          </w:tcPr>
          <w:p w14:paraId="7671A6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0,079</w:t>
            </w:r>
          </w:p>
        </w:tc>
        <w:tc>
          <w:tcPr>
            <w:tcW w:w="1417" w:type="dxa"/>
            <w:tcBorders>
              <w:top w:val="nil"/>
              <w:left w:val="nil"/>
              <w:bottom w:val="single" w:sz="4" w:space="0" w:color="auto"/>
              <w:right w:val="single" w:sz="4" w:space="0" w:color="auto"/>
            </w:tcBorders>
            <w:noWrap/>
            <w:hideMark/>
          </w:tcPr>
          <w:p w14:paraId="0102161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0,0797</w:t>
            </w:r>
          </w:p>
        </w:tc>
        <w:tc>
          <w:tcPr>
            <w:tcW w:w="1073" w:type="dxa"/>
            <w:tcBorders>
              <w:top w:val="nil"/>
              <w:left w:val="nil"/>
              <w:bottom w:val="single" w:sz="4" w:space="0" w:color="auto"/>
              <w:right w:val="single" w:sz="4" w:space="0" w:color="auto"/>
            </w:tcBorders>
            <w:noWrap/>
            <w:hideMark/>
          </w:tcPr>
          <w:p w14:paraId="481684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2 459</w:t>
            </w:r>
          </w:p>
        </w:tc>
        <w:tc>
          <w:tcPr>
            <w:tcW w:w="1053" w:type="dxa"/>
            <w:tcBorders>
              <w:top w:val="nil"/>
              <w:left w:val="nil"/>
              <w:bottom w:val="single" w:sz="4" w:space="0" w:color="auto"/>
              <w:right w:val="single" w:sz="4" w:space="0" w:color="auto"/>
            </w:tcBorders>
            <w:noWrap/>
            <w:hideMark/>
          </w:tcPr>
          <w:p w14:paraId="22EB4C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3 245</w:t>
            </w:r>
          </w:p>
        </w:tc>
        <w:tc>
          <w:tcPr>
            <w:tcW w:w="1553" w:type="dxa"/>
            <w:tcBorders>
              <w:top w:val="nil"/>
              <w:left w:val="nil"/>
              <w:bottom w:val="single" w:sz="4" w:space="0" w:color="auto"/>
              <w:right w:val="single" w:sz="4" w:space="0" w:color="auto"/>
            </w:tcBorders>
            <w:noWrap/>
            <w:hideMark/>
          </w:tcPr>
          <w:p w14:paraId="37F466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5 703</w:t>
            </w:r>
          </w:p>
        </w:tc>
      </w:tr>
      <w:tr w:rsidR="00107665" w:rsidRPr="00A87A26" w14:paraId="28A72758" w14:textId="77777777" w:rsidTr="008E43FF">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1BC67C9C"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r>
              <w:rPr>
                <w:b/>
                <w:bCs/>
                <w:color w:val="000000"/>
                <w:lang w:val="ru-RU"/>
              </w:rPr>
              <w:t>Государства Западной Европы и другие государства (26)</w:t>
            </w:r>
          </w:p>
        </w:tc>
      </w:tr>
      <w:tr w:rsidR="00107665" w:rsidRPr="00631C1C" w14:paraId="6C5238E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F9D17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128</w:t>
            </w:r>
          </w:p>
        </w:tc>
        <w:tc>
          <w:tcPr>
            <w:tcW w:w="2431" w:type="dxa"/>
            <w:tcBorders>
              <w:top w:val="nil"/>
              <w:left w:val="nil"/>
              <w:bottom w:val="single" w:sz="4" w:space="0" w:color="auto"/>
              <w:right w:val="single" w:sz="4" w:space="0" w:color="auto"/>
            </w:tcBorders>
            <w:noWrap/>
            <w:hideMark/>
          </w:tcPr>
          <w:p w14:paraId="388A8E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Австралия</w:t>
            </w:r>
          </w:p>
        </w:tc>
        <w:tc>
          <w:tcPr>
            <w:tcW w:w="1418" w:type="dxa"/>
            <w:tcBorders>
              <w:top w:val="nil"/>
              <w:left w:val="nil"/>
              <w:bottom w:val="single" w:sz="4" w:space="0" w:color="auto"/>
              <w:right w:val="single" w:sz="4" w:space="0" w:color="auto"/>
            </w:tcBorders>
            <w:noWrap/>
            <w:hideMark/>
          </w:tcPr>
          <w:p w14:paraId="367E9F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2,04</w:t>
            </w:r>
          </w:p>
        </w:tc>
        <w:tc>
          <w:tcPr>
            <w:tcW w:w="1417" w:type="dxa"/>
            <w:tcBorders>
              <w:top w:val="nil"/>
              <w:left w:val="nil"/>
              <w:bottom w:val="single" w:sz="4" w:space="0" w:color="auto"/>
              <w:right w:val="single" w:sz="4" w:space="0" w:color="auto"/>
            </w:tcBorders>
            <w:noWrap/>
            <w:hideMark/>
          </w:tcPr>
          <w:p w14:paraId="32C59B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2,0590</w:t>
            </w:r>
          </w:p>
        </w:tc>
        <w:tc>
          <w:tcPr>
            <w:tcW w:w="1073" w:type="dxa"/>
            <w:tcBorders>
              <w:top w:val="nil"/>
              <w:left w:val="nil"/>
              <w:bottom w:val="single" w:sz="4" w:space="0" w:color="auto"/>
              <w:right w:val="single" w:sz="4" w:space="0" w:color="auto"/>
            </w:tcBorders>
            <w:noWrap/>
            <w:hideMark/>
          </w:tcPr>
          <w:p w14:paraId="61DDB73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63 486</w:t>
            </w:r>
          </w:p>
        </w:tc>
        <w:tc>
          <w:tcPr>
            <w:tcW w:w="1053" w:type="dxa"/>
            <w:tcBorders>
              <w:top w:val="nil"/>
              <w:left w:val="nil"/>
              <w:bottom w:val="single" w:sz="4" w:space="0" w:color="auto"/>
              <w:right w:val="single" w:sz="4" w:space="0" w:color="auto"/>
            </w:tcBorders>
            <w:noWrap/>
            <w:hideMark/>
          </w:tcPr>
          <w:p w14:paraId="11CA1AC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83 786</w:t>
            </w:r>
          </w:p>
        </w:tc>
        <w:tc>
          <w:tcPr>
            <w:tcW w:w="1553" w:type="dxa"/>
            <w:tcBorders>
              <w:top w:val="nil"/>
              <w:left w:val="nil"/>
              <w:bottom w:val="single" w:sz="4" w:space="0" w:color="auto"/>
              <w:right w:val="single" w:sz="4" w:space="0" w:color="auto"/>
            </w:tcBorders>
            <w:noWrap/>
            <w:hideMark/>
          </w:tcPr>
          <w:p w14:paraId="117263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147 272</w:t>
            </w:r>
          </w:p>
        </w:tc>
      </w:tr>
      <w:tr w:rsidR="00107665" w:rsidRPr="00631C1C" w14:paraId="639D5D7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95E44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129</w:t>
            </w:r>
          </w:p>
        </w:tc>
        <w:tc>
          <w:tcPr>
            <w:tcW w:w="2431" w:type="dxa"/>
            <w:tcBorders>
              <w:top w:val="nil"/>
              <w:left w:val="nil"/>
              <w:bottom w:val="single" w:sz="4" w:space="0" w:color="auto"/>
              <w:right w:val="single" w:sz="4" w:space="0" w:color="auto"/>
            </w:tcBorders>
            <w:noWrap/>
            <w:hideMark/>
          </w:tcPr>
          <w:p w14:paraId="2084ED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Австрия</w:t>
            </w:r>
          </w:p>
        </w:tc>
        <w:tc>
          <w:tcPr>
            <w:tcW w:w="1418" w:type="dxa"/>
            <w:tcBorders>
              <w:top w:val="nil"/>
              <w:left w:val="nil"/>
              <w:bottom w:val="single" w:sz="4" w:space="0" w:color="auto"/>
              <w:right w:val="single" w:sz="4" w:space="0" w:color="auto"/>
            </w:tcBorders>
            <w:noWrap/>
            <w:hideMark/>
          </w:tcPr>
          <w:p w14:paraId="268B29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0,626</w:t>
            </w:r>
          </w:p>
        </w:tc>
        <w:tc>
          <w:tcPr>
            <w:tcW w:w="1417" w:type="dxa"/>
            <w:tcBorders>
              <w:top w:val="nil"/>
              <w:left w:val="nil"/>
              <w:bottom w:val="single" w:sz="4" w:space="0" w:color="auto"/>
              <w:right w:val="single" w:sz="4" w:space="0" w:color="auto"/>
            </w:tcBorders>
            <w:noWrap/>
            <w:hideMark/>
          </w:tcPr>
          <w:p w14:paraId="43B25B1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0,6318</w:t>
            </w:r>
          </w:p>
        </w:tc>
        <w:tc>
          <w:tcPr>
            <w:tcW w:w="1073" w:type="dxa"/>
            <w:tcBorders>
              <w:top w:val="nil"/>
              <w:left w:val="nil"/>
              <w:bottom w:val="single" w:sz="4" w:space="0" w:color="auto"/>
              <w:right w:val="single" w:sz="4" w:space="0" w:color="auto"/>
            </w:tcBorders>
            <w:noWrap/>
            <w:hideMark/>
          </w:tcPr>
          <w:p w14:paraId="2C5D88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19 481</w:t>
            </w:r>
          </w:p>
        </w:tc>
        <w:tc>
          <w:tcPr>
            <w:tcW w:w="1053" w:type="dxa"/>
            <w:tcBorders>
              <w:top w:val="nil"/>
              <w:left w:val="nil"/>
              <w:bottom w:val="single" w:sz="4" w:space="0" w:color="auto"/>
              <w:right w:val="single" w:sz="4" w:space="0" w:color="auto"/>
            </w:tcBorders>
            <w:noWrap/>
            <w:hideMark/>
          </w:tcPr>
          <w:p w14:paraId="1B3FF1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25 711</w:t>
            </w:r>
          </w:p>
        </w:tc>
        <w:tc>
          <w:tcPr>
            <w:tcW w:w="1553" w:type="dxa"/>
            <w:tcBorders>
              <w:top w:val="nil"/>
              <w:left w:val="nil"/>
              <w:bottom w:val="single" w:sz="4" w:space="0" w:color="auto"/>
              <w:right w:val="single" w:sz="4" w:space="0" w:color="auto"/>
            </w:tcBorders>
            <w:noWrap/>
            <w:hideMark/>
          </w:tcPr>
          <w:p w14:paraId="7F11A96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45 192</w:t>
            </w:r>
          </w:p>
        </w:tc>
      </w:tr>
      <w:tr w:rsidR="00107665" w:rsidRPr="00631C1C" w14:paraId="2BA10C9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7167D5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130</w:t>
            </w:r>
          </w:p>
        </w:tc>
        <w:tc>
          <w:tcPr>
            <w:tcW w:w="2431" w:type="dxa"/>
            <w:tcBorders>
              <w:top w:val="nil"/>
              <w:left w:val="nil"/>
              <w:bottom w:val="single" w:sz="4" w:space="0" w:color="auto"/>
              <w:right w:val="single" w:sz="4" w:space="0" w:color="auto"/>
            </w:tcBorders>
            <w:noWrap/>
            <w:hideMark/>
          </w:tcPr>
          <w:p w14:paraId="24D40CF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Бельгия</w:t>
            </w:r>
          </w:p>
        </w:tc>
        <w:tc>
          <w:tcPr>
            <w:tcW w:w="1418" w:type="dxa"/>
            <w:tcBorders>
              <w:top w:val="nil"/>
              <w:left w:val="nil"/>
              <w:bottom w:val="single" w:sz="4" w:space="0" w:color="auto"/>
              <w:right w:val="single" w:sz="4" w:space="0" w:color="auto"/>
            </w:tcBorders>
            <w:noWrap/>
            <w:hideMark/>
          </w:tcPr>
          <w:p w14:paraId="760116D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0,773</w:t>
            </w:r>
          </w:p>
        </w:tc>
        <w:tc>
          <w:tcPr>
            <w:tcW w:w="1417" w:type="dxa"/>
            <w:tcBorders>
              <w:top w:val="nil"/>
              <w:left w:val="nil"/>
              <w:bottom w:val="single" w:sz="4" w:space="0" w:color="auto"/>
              <w:right w:val="single" w:sz="4" w:space="0" w:color="auto"/>
            </w:tcBorders>
            <w:noWrap/>
            <w:hideMark/>
          </w:tcPr>
          <w:p w14:paraId="22D65D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0,7802</w:t>
            </w:r>
          </w:p>
        </w:tc>
        <w:tc>
          <w:tcPr>
            <w:tcW w:w="1073" w:type="dxa"/>
            <w:tcBorders>
              <w:top w:val="nil"/>
              <w:left w:val="nil"/>
              <w:bottom w:val="single" w:sz="4" w:space="0" w:color="auto"/>
              <w:right w:val="single" w:sz="4" w:space="0" w:color="auto"/>
            </w:tcBorders>
            <w:noWrap/>
            <w:hideMark/>
          </w:tcPr>
          <w:p w14:paraId="14CDA2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24 056</w:t>
            </w:r>
          </w:p>
        </w:tc>
        <w:tc>
          <w:tcPr>
            <w:tcW w:w="1053" w:type="dxa"/>
            <w:tcBorders>
              <w:top w:val="nil"/>
              <w:left w:val="nil"/>
              <w:bottom w:val="single" w:sz="4" w:space="0" w:color="auto"/>
              <w:right w:val="single" w:sz="4" w:space="0" w:color="auto"/>
            </w:tcBorders>
            <w:noWrap/>
            <w:hideMark/>
          </w:tcPr>
          <w:p w14:paraId="2FEE98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31 748</w:t>
            </w:r>
          </w:p>
        </w:tc>
        <w:tc>
          <w:tcPr>
            <w:tcW w:w="1553" w:type="dxa"/>
            <w:tcBorders>
              <w:top w:val="nil"/>
              <w:left w:val="nil"/>
              <w:bottom w:val="single" w:sz="4" w:space="0" w:color="auto"/>
              <w:right w:val="single" w:sz="4" w:space="0" w:color="auto"/>
            </w:tcBorders>
            <w:noWrap/>
            <w:hideMark/>
          </w:tcPr>
          <w:p w14:paraId="6F5BB0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55 804</w:t>
            </w:r>
          </w:p>
        </w:tc>
      </w:tr>
      <w:tr w:rsidR="00107665" w:rsidRPr="00631C1C" w14:paraId="3A95E8F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C6C9EF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131</w:t>
            </w:r>
          </w:p>
        </w:tc>
        <w:tc>
          <w:tcPr>
            <w:tcW w:w="2431" w:type="dxa"/>
            <w:tcBorders>
              <w:top w:val="nil"/>
              <w:left w:val="nil"/>
              <w:bottom w:val="single" w:sz="4" w:space="0" w:color="auto"/>
              <w:right w:val="single" w:sz="4" w:space="0" w:color="auto"/>
            </w:tcBorders>
            <w:noWrap/>
            <w:hideMark/>
          </w:tcPr>
          <w:p w14:paraId="4E1A9C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Канада</w:t>
            </w:r>
          </w:p>
        </w:tc>
        <w:tc>
          <w:tcPr>
            <w:tcW w:w="1418" w:type="dxa"/>
            <w:tcBorders>
              <w:top w:val="nil"/>
              <w:left w:val="nil"/>
              <w:bottom w:val="single" w:sz="4" w:space="0" w:color="auto"/>
              <w:right w:val="single" w:sz="4" w:space="0" w:color="auto"/>
            </w:tcBorders>
            <w:noWrap/>
            <w:hideMark/>
          </w:tcPr>
          <w:p w14:paraId="6DF4C9F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2,543</w:t>
            </w:r>
          </w:p>
        </w:tc>
        <w:tc>
          <w:tcPr>
            <w:tcW w:w="1417" w:type="dxa"/>
            <w:tcBorders>
              <w:top w:val="nil"/>
              <w:left w:val="nil"/>
              <w:bottom w:val="single" w:sz="4" w:space="0" w:color="auto"/>
              <w:right w:val="single" w:sz="4" w:space="0" w:color="auto"/>
            </w:tcBorders>
            <w:noWrap/>
            <w:hideMark/>
          </w:tcPr>
          <w:p w14:paraId="62F566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2,5667</w:t>
            </w:r>
          </w:p>
        </w:tc>
        <w:tc>
          <w:tcPr>
            <w:tcW w:w="1073" w:type="dxa"/>
            <w:tcBorders>
              <w:top w:val="nil"/>
              <w:left w:val="nil"/>
              <w:bottom w:val="single" w:sz="4" w:space="0" w:color="auto"/>
              <w:right w:val="single" w:sz="4" w:space="0" w:color="auto"/>
            </w:tcBorders>
            <w:noWrap/>
            <w:hideMark/>
          </w:tcPr>
          <w:p w14:paraId="7B5F49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79 140</w:t>
            </w:r>
          </w:p>
        </w:tc>
        <w:tc>
          <w:tcPr>
            <w:tcW w:w="1053" w:type="dxa"/>
            <w:tcBorders>
              <w:top w:val="nil"/>
              <w:left w:val="nil"/>
              <w:bottom w:val="single" w:sz="4" w:space="0" w:color="auto"/>
              <w:right w:val="single" w:sz="4" w:space="0" w:color="auto"/>
            </w:tcBorders>
            <w:noWrap/>
            <w:hideMark/>
          </w:tcPr>
          <w:p w14:paraId="1192FD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104 445</w:t>
            </w:r>
          </w:p>
        </w:tc>
        <w:tc>
          <w:tcPr>
            <w:tcW w:w="1553" w:type="dxa"/>
            <w:tcBorders>
              <w:top w:val="nil"/>
              <w:left w:val="nil"/>
              <w:bottom w:val="single" w:sz="4" w:space="0" w:color="auto"/>
              <w:right w:val="single" w:sz="4" w:space="0" w:color="auto"/>
            </w:tcBorders>
            <w:noWrap/>
            <w:hideMark/>
          </w:tcPr>
          <w:p w14:paraId="4F102CD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183 584</w:t>
            </w:r>
          </w:p>
        </w:tc>
      </w:tr>
      <w:tr w:rsidR="00107665" w:rsidRPr="00631C1C" w14:paraId="676DA56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16F4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132</w:t>
            </w:r>
          </w:p>
        </w:tc>
        <w:tc>
          <w:tcPr>
            <w:tcW w:w="2431" w:type="dxa"/>
            <w:tcBorders>
              <w:top w:val="nil"/>
              <w:left w:val="nil"/>
              <w:bottom w:val="single" w:sz="4" w:space="0" w:color="auto"/>
              <w:right w:val="single" w:sz="4" w:space="0" w:color="auto"/>
            </w:tcBorders>
            <w:noWrap/>
            <w:hideMark/>
          </w:tcPr>
          <w:p w14:paraId="1FB1384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Дания</w:t>
            </w:r>
          </w:p>
        </w:tc>
        <w:tc>
          <w:tcPr>
            <w:tcW w:w="1418" w:type="dxa"/>
            <w:tcBorders>
              <w:top w:val="nil"/>
              <w:left w:val="nil"/>
              <w:bottom w:val="single" w:sz="4" w:space="0" w:color="auto"/>
              <w:right w:val="single" w:sz="4" w:space="0" w:color="auto"/>
            </w:tcBorders>
            <w:noWrap/>
            <w:hideMark/>
          </w:tcPr>
          <w:p w14:paraId="6CC952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0,531</w:t>
            </w:r>
          </w:p>
        </w:tc>
        <w:tc>
          <w:tcPr>
            <w:tcW w:w="1417" w:type="dxa"/>
            <w:tcBorders>
              <w:top w:val="nil"/>
              <w:left w:val="nil"/>
              <w:bottom w:val="single" w:sz="4" w:space="0" w:color="auto"/>
              <w:right w:val="single" w:sz="4" w:space="0" w:color="auto"/>
            </w:tcBorders>
            <w:noWrap/>
            <w:hideMark/>
          </w:tcPr>
          <w:p w14:paraId="025C22D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0,5359</w:t>
            </w:r>
          </w:p>
        </w:tc>
        <w:tc>
          <w:tcPr>
            <w:tcW w:w="1073" w:type="dxa"/>
            <w:tcBorders>
              <w:top w:val="nil"/>
              <w:left w:val="nil"/>
              <w:bottom w:val="single" w:sz="4" w:space="0" w:color="auto"/>
              <w:right w:val="single" w:sz="4" w:space="0" w:color="auto"/>
            </w:tcBorders>
            <w:noWrap/>
            <w:hideMark/>
          </w:tcPr>
          <w:p w14:paraId="23B185B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16 525</w:t>
            </w:r>
          </w:p>
        </w:tc>
        <w:tc>
          <w:tcPr>
            <w:tcW w:w="1053" w:type="dxa"/>
            <w:tcBorders>
              <w:top w:val="nil"/>
              <w:left w:val="nil"/>
              <w:bottom w:val="single" w:sz="4" w:space="0" w:color="auto"/>
              <w:right w:val="single" w:sz="4" w:space="0" w:color="auto"/>
            </w:tcBorders>
            <w:noWrap/>
            <w:hideMark/>
          </w:tcPr>
          <w:p w14:paraId="6C63C8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21 809</w:t>
            </w:r>
          </w:p>
        </w:tc>
        <w:tc>
          <w:tcPr>
            <w:tcW w:w="1553" w:type="dxa"/>
            <w:tcBorders>
              <w:top w:val="nil"/>
              <w:left w:val="nil"/>
              <w:bottom w:val="single" w:sz="4" w:space="0" w:color="auto"/>
              <w:right w:val="single" w:sz="4" w:space="0" w:color="auto"/>
            </w:tcBorders>
            <w:noWrap/>
            <w:hideMark/>
          </w:tcPr>
          <w:p w14:paraId="4B00594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38 334</w:t>
            </w:r>
          </w:p>
        </w:tc>
      </w:tr>
      <w:tr w:rsidR="00107665" w:rsidRPr="00631C1C" w14:paraId="37A56B3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46E30A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133</w:t>
            </w:r>
          </w:p>
        </w:tc>
        <w:tc>
          <w:tcPr>
            <w:tcW w:w="2431" w:type="dxa"/>
            <w:tcBorders>
              <w:top w:val="nil"/>
              <w:left w:val="nil"/>
              <w:bottom w:val="single" w:sz="4" w:space="0" w:color="auto"/>
              <w:right w:val="single" w:sz="4" w:space="0" w:color="auto"/>
            </w:tcBorders>
            <w:noWrap/>
            <w:hideMark/>
          </w:tcPr>
          <w:p w14:paraId="424CB2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Европейский союз</w:t>
            </w:r>
          </w:p>
        </w:tc>
        <w:tc>
          <w:tcPr>
            <w:tcW w:w="1418" w:type="dxa"/>
            <w:tcBorders>
              <w:top w:val="nil"/>
              <w:left w:val="nil"/>
              <w:bottom w:val="single" w:sz="4" w:space="0" w:color="auto"/>
              <w:right w:val="single" w:sz="4" w:space="0" w:color="auto"/>
            </w:tcBorders>
            <w:noWrap/>
            <w:hideMark/>
          </w:tcPr>
          <w:p w14:paraId="1359AE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w:t>
            </w:r>
          </w:p>
        </w:tc>
        <w:tc>
          <w:tcPr>
            <w:tcW w:w="1417" w:type="dxa"/>
            <w:tcBorders>
              <w:top w:val="nil"/>
              <w:left w:val="nil"/>
              <w:bottom w:val="single" w:sz="4" w:space="0" w:color="auto"/>
              <w:right w:val="single" w:sz="4" w:space="0" w:color="auto"/>
            </w:tcBorders>
            <w:noWrap/>
            <w:hideMark/>
          </w:tcPr>
          <w:p w14:paraId="72832F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2,5000</w:t>
            </w:r>
          </w:p>
        </w:tc>
        <w:tc>
          <w:tcPr>
            <w:tcW w:w="1073" w:type="dxa"/>
            <w:tcBorders>
              <w:top w:val="nil"/>
              <w:left w:val="nil"/>
              <w:bottom w:val="single" w:sz="4" w:space="0" w:color="auto"/>
              <w:right w:val="single" w:sz="4" w:space="0" w:color="auto"/>
            </w:tcBorders>
            <w:noWrap/>
            <w:hideMark/>
          </w:tcPr>
          <w:p w14:paraId="2DD37B6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77 084</w:t>
            </w:r>
          </w:p>
        </w:tc>
        <w:tc>
          <w:tcPr>
            <w:tcW w:w="1053" w:type="dxa"/>
            <w:tcBorders>
              <w:top w:val="nil"/>
              <w:left w:val="nil"/>
              <w:bottom w:val="single" w:sz="4" w:space="0" w:color="auto"/>
              <w:right w:val="single" w:sz="4" w:space="0" w:color="auto"/>
            </w:tcBorders>
            <w:noWrap/>
            <w:hideMark/>
          </w:tcPr>
          <w:p w14:paraId="25312D0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101 732</w:t>
            </w:r>
          </w:p>
        </w:tc>
        <w:tc>
          <w:tcPr>
            <w:tcW w:w="1553" w:type="dxa"/>
            <w:tcBorders>
              <w:top w:val="nil"/>
              <w:left w:val="nil"/>
              <w:bottom w:val="single" w:sz="4" w:space="0" w:color="auto"/>
              <w:right w:val="single" w:sz="4" w:space="0" w:color="auto"/>
            </w:tcBorders>
            <w:noWrap/>
            <w:hideMark/>
          </w:tcPr>
          <w:p w14:paraId="6A9A2C6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178 816</w:t>
            </w:r>
          </w:p>
        </w:tc>
      </w:tr>
      <w:tr w:rsidR="00107665" w:rsidRPr="00631C1C" w14:paraId="1872D7B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00EFEF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134</w:t>
            </w:r>
          </w:p>
        </w:tc>
        <w:tc>
          <w:tcPr>
            <w:tcW w:w="2431" w:type="dxa"/>
            <w:tcBorders>
              <w:top w:val="nil"/>
              <w:left w:val="nil"/>
              <w:bottom w:val="single" w:sz="4" w:space="0" w:color="auto"/>
              <w:right w:val="single" w:sz="4" w:space="0" w:color="auto"/>
            </w:tcBorders>
            <w:noWrap/>
            <w:hideMark/>
          </w:tcPr>
          <w:p w14:paraId="3A58F9D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Финляндия</w:t>
            </w:r>
          </w:p>
        </w:tc>
        <w:tc>
          <w:tcPr>
            <w:tcW w:w="1418" w:type="dxa"/>
            <w:tcBorders>
              <w:top w:val="nil"/>
              <w:left w:val="nil"/>
              <w:bottom w:val="single" w:sz="4" w:space="0" w:color="auto"/>
              <w:right w:val="single" w:sz="4" w:space="0" w:color="auto"/>
            </w:tcBorders>
            <w:noWrap/>
            <w:hideMark/>
          </w:tcPr>
          <w:p w14:paraId="027677D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0,386</w:t>
            </w:r>
          </w:p>
        </w:tc>
        <w:tc>
          <w:tcPr>
            <w:tcW w:w="1417" w:type="dxa"/>
            <w:tcBorders>
              <w:top w:val="nil"/>
              <w:left w:val="nil"/>
              <w:bottom w:val="single" w:sz="4" w:space="0" w:color="auto"/>
              <w:right w:val="single" w:sz="4" w:space="0" w:color="auto"/>
            </w:tcBorders>
            <w:noWrap/>
            <w:hideMark/>
          </w:tcPr>
          <w:p w14:paraId="15E043C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0,3896</w:t>
            </w:r>
          </w:p>
        </w:tc>
        <w:tc>
          <w:tcPr>
            <w:tcW w:w="1073" w:type="dxa"/>
            <w:tcBorders>
              <w:top w:val="nil"/>
              <w:left w:val="nil"/>
              <w:bottom w:val="single" w:sz="4" w:space="0" w:color="auto"/>
              <w:right w:val="single" w:sz="4" w:space="0" w:color="auto"/>
            </w:tcBorders>
            <w:noWrap/>
            <w:hideMark/>
          </w:tcPr>
          <w:p w14:paraId="5796015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12 013</w:t>
            </w:r>
          </w:p>
        </w:tc>
        <w:tc>
          <w:tcPr>
            <w:tcW w:w="1053" w:type="dxa"/>
            <w:tcBorders>
              <w:top w:val="nil"/>
              <w:left w:val="nil"/>
              <w:bottom w:val="single" w:sz="4" w:space="0" w:color="auto"/>
              <w:right w:val="single" w:sz="4" w:space="0" w:color="auto"/>
            </w:tcBorders>
            <w:noWrap/>
            <w:hideMark/>
          </w:tcPr>
          <w:p w14:paraId="30BF41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15 854</w:t>
            </w:r>
          </w:p>
        </w:tc>
        <w:tc>
          <w:tcPr>
            <w:tcW w:w="1553" w:type="dxa"/>
            <w:tcBorders>
              <w:top w:val="nil"/>
              <w:left w:val="nil"/>
              <w:bottom w:val="single" w:sz="4" w:space="0" w:color="auto"/>
              <w:right w:val="single" w:sz="4" w:space="0" w:color="auto"/>
            </w:tcBorders>
            <w:noWrap/>
            <w:hideMark/>
          </w:tcPr>
          <w:p w14:paraId="34360B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27 866</w:t>
            </w:r>
          </w:p>
        </w:tc>
      </w:tr>
      <w:tr w:rsidR="00107665" w:rsidRPr="00631C1C" w14:paraId="662ED9A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C934B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135</w:t>
            </w:r>
          </w:p>
        </w:tc>
        <w:tc>
          <w:tcPr>
            <w:tcW w:w="2431" w:type="dxa"/>
            <w:tcBorders>
              <w:top w:val="nil"/>
              <w:left w:val="nil"/>
              <w:bottom w:val="single" w:sz="4" w:space="0" w:color="auto"/>
              <w:right w:val="single" w:sz="4" w:space="0" w:color="auto"/>
            </w:tcBorders>
            <w:noWrap/>
            <w:hideMark/>
          </w:tcPr>
          <w:p w14:paraId="29F7DF5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Франция</w:t>
            </w:r>
          </w:p>
        </w:tc>
        <w:tc>
          <w:tcPr>
            <w:tcW w:w="1418" w:type="dxa"/>
            <w:tcBorders>
              <w:top w:val="nil"/>
              <w:left w:val="nil"/>
              <w:bottom w:val="single" w:sz="4" w:space="0" w:color="auto"/>
              <w:right w:val="single" w:sz="4" w:space="0" w:color="auto"/>
            </w:tcBorders>
            <w:noWrap/>
            <w:hideMark/>
          </w:tcPr>
          <w:p w14:paraId="253EFEE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3,858</w:t>
            </w:r>
          </w:p>
        </w:tc>
        <w:tc>
          <w:tcPr>
            <w:tcW w:w="1417" w:type="dxa"/>
            <w:tcBorders>
              <w:top w:val="nil"/>
              <w:left w:val="nil"/>
              <w:bottom w:val="single" w:sz="4" w:space="0" w:color="auto"/>
              <w:right w:val="single" w:sz="4" w:space="0" w:color="auto"/>
            </w:tcBorders>
            <w:noWrap/>
            <w:hideMark/>
          </w:tcPr>
          <w:p w14:paraId="7CC644B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3,8939</w:t>
            </w:r>
          </w:p>
        </w:tc>
        <w:tc>
          <w:tcPr>
            <w:tcW w:w="1073" w:type="dxa"/>
            <w:tcBorders>
              <w:top w:val="nil"/>
              <w:left w:val="nil"/>
              <w:bottom w:val="single" w:sz="4" w:space="0" w:color="auto"/>
              <w:right w:val="single" w:sz="4" w:space="0" w:color="auto"/>
            </w:tcBorders>
            <w:noWrap/>
            <w:hideMark/>
          </w:tcPr>
          <w:p w14:paraId="5D4684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120 063</w:t>
            </w:r>
          </w:p>
        </w:tc>
        <w:tc>
          <w:tcPr>
            <w:tcW w:w="1053" w:type="dxa"/>
            <w:tcBorders>
              <w:top w:val="nil"/>
              <w:left w:val="nil"/>
              <w:bottom w:val="single" w:sz="4" w:space="0" w:color="auto"/>
              <w:right w:val="single" w:sz="4" w:space="0" w:color="auto"/>
            </w:tcBorders>
            <w:noWrap/>
            <w:hideMark/>
          </w:tcPr>
          <w:p w14:paraId="754BB9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158 454</w:t>
            </w:r>
          </w:p>
        </w:tc>
        <w:tc>
          <w:tcPr>
            <w:tcW w:w="1553" w:type="dxa"/>
            <w:tcBorders>
              <w:top w:val="nil"/>
              <w:left w:val="nil"/>
              <w:bottom w:val="single" w:sz="4" w:space="0" w:color="auto"/>
              <w:right w:val="single" w:sz="4" w:space="0" w:color="auto"/>
            </w:tcBorders>
            <w:noWrap/>
            <w:hideMark/>
          </w:tcPr>
          <w:p w14:paraId="75129D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278 517</w:t>
            </w:r>
          </w:p>
        </w:tc>
      </w:tr>
      <w:tr w:rsidR="00107665" w:rsidRPr="00631C1C" w14:paraId="7E47041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E61DC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136</w:t>
            </w:r>
          </w:p>
        </w:tc>
        <w:tc>
          <w:tcPr>
            <w:tcW w:w="2431" w:type="dxa"/>
            <w:tcBorders>
              <w:top w:val="nil"/>
              <w:left w:val="nil"/>
              <w:bottom w:val="single" w:sz="4" w:space="0" w:color="auto"/>
              <w:right w:val="single" w:sz="4" w:space="0" w:color="auto"/>
            </w:tcBorders>
            <w:noWrap/>
            <w:hideMark/>
          </w:tcPr>
          <w:p w14:paraId="7B4691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Германия</w:t>
            </w:r>
          </w:p>
        </w:tc>
        <w:tc>
          <w:tcPr>
            <w:tcW w:w="1418" w:type="dxa"/>
            <w:tcBorders>
              <w:top w:val="nil"/>
              <w:left w:val="nil"/>
              <w:bottom w:val="single" w:sz="4" w:space="0" w:color="auto"/>
              <w:right w:val="single" w:sz="4" w:space="0" w:color="auto"/>
            </w:tcBorders>
            <w:noWrap/>
            <w:hideMark/>
          </w:tcPr>
          <w:p w14:paraId="5D4474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5,692</w:t>
            </w:r>
          </w:p>
        </w:tc>
        <w:tc>
          <w:tcPr>
            <w:tcW w:w="1417" w:type="dxa"/>
            <w:tcBorders>
              <w:top w:val="nil"/>
              <w:left w:val="nil"/>
              <w:bottom w:val="single" w:sz="4" w:space="0" w:color="auto"/>
              <w:right w:val="single" w:sz="4" w:space="0" w:color="auto"/>
            </w:tcBorders>
            <w:noWrap/>
            <w:hideMark/>
          </w:tcPr>
          <w:p w14:paraId="2624347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5,7450</w:t>
            </w:r>
          </w:p>
        </w:tc>
        <w:tc>
          <w:tcPr>
            <w:tcW w:w="1073" w:type="dxa"/>
            <w:tcBorders>
              <w:top w:val="nil"/>
              <w:left w:val="nil"/>
              <w:bottom w:val="single" w:sz="4" w:space="0" w:color="auto"/>
              <w:right w:val="single" w:sz="4" w:space="0" w:color="auto"/>
            </w:tcBorders>
            <w:noWrap/>
            <w:hideMark/>
          </w:tcPr>
          <w:p w14:paraId="55FE9A9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177 138</w:t>
            </w:r>
          </w:p>
        </w:tc>
        <w:tc>
          <w:tcPr>
            <w:tcW w:w="1053" w:type="dxa"/>
            <w:tcBorders>
              <w:top w:val="nil"/>
              <w:left w:val="nil"/>
              <w:bottom w:val="single" w:sz="4" w:space="0" w:color="auto"/>
              <w:right w:val="single" w:sz="4" w:space="0" w:color="auto"/>
            </w:tcBorders>
            <w:noWrap/>
            <w:hideMark/>
          </w:tcPr>
          <w:p w14:paraId="237D84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233 779</w:t>
            </w:r>
          </w:p>
        </w:tc>
        <w:tc>
          <w:tcPr>
            <w:tcW w:w="1553" w:type="dxa"/>
            <w:tcBorders>
              <w:top w:val="nil"/>
              <w:left w:val="nil"/>
              <w:bottom w:val="single" w:sz="4" w:space="0" w:color="auto"/>
              <w:right w:val="single" w:sz="4" w:space="0" w:color="auto"/>
            </w:tcBorders>
            <w:noWrap/>
            <w:hideMark/>
          </w:tcPr>
          <w:p w14:paraId="214C11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410 917</w:t>
            </w:r>
          </w:p>
        </w:tc>
      </w:tr>
      <w:tr w:rsidR="00107665" w:rsidRPr="00631C1C" w14:paraId="245693BC"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5746B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137</w:t>
            </w:r>
          </w:p>
        </w:tc>
        <w:tc>
          <w:tcPr>
            <w:tcW w:w="2431" w:type="dxa"/>
            <w:tcBorders>
              <w:top w:val="nil"/>
              <w:left w:val="nil"/>
              <w:bottom w:val="single" w:sz="4" w:space="0" w:color="auto"/>
              <w:right w:val="single" w:sz="4" w:space="0" w:color="auto"/>
            </w:tcBorders>
            <w:noWrap/>
            <w:hideMark/>
          </w:tcPr>
          <w:p w14:paraId="5E3F829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Греция</w:t>
            </w:r>
          </w:p>
        </w:tc>
        <w:tc>
          <w:tcPr>
            <w:tcW w:w="1418" w:type="dxa"/>
            <w:tcBorders>
              <w:top w:val="nil"/>
              <w:left w:val="nil"/>
              <w:bottom w:val="single" w:sz="4" w:space="0" w:color="auto"/>
              <w:right w:val="single" w:sz="4" w:space="0" w:color="auto"/>
            </w:tcBorders>
            <w:noWrap/>
            <w:hideMark/>
          </w:tcPr>
          <w:p w14:paraId="4582E4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0,28</w:t>
            </w:r>
          </w:p>
        </w:tc>
        <w:tc>
          <w:tcPr>
            <w:tcW w:w="1417" w:type="dxa"/>
            <w:tcBorders>
              <w:top w:val="nil"/>
              <w:left w:val="nil"/>
              <w:bottom w:val="single" w:sz="4" w:space="0" w:color="auto"/>
              <w:right w:val="single" w:sz="4" w:space="0" w:color="auto"/>
            </w:tcBorders>
            <w:noWrap/>
            <w:hideMark/>
          </w:tcPr>
          <w:p w14:paraId="497A76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0,2826</w:t>
            </w:r>
          </w:p>
        </w:tc>
        <w:tc>
          <w:tcPr>
            <w:tcW w:w="1073" w:type="dxa"/>
            <w:tcBorders>
              <w:top w:val="nil"/>
              <w:left w:val="nil"/>
              <w:bottom w:val="single" w:sz="4" w:space="0" w:color="auto"/>
              <w:right w:val="single" w:sz="4" w:space="0" w:color="auto"/>
            </w:tcBorders>
            <w:noWrap/>
            <w:hideMark/>
          </w:tcPr>
          <w:p w14:paraId="7A1E79B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8 714</w:t>
            </w:r>
          </w:p>
        </w:tc>
        <w:tc>
          <w:tcPr>
            <w:tcW w:w="1053" w:type="dxa"/>
            <w:tcBorders>
              <w:top w:val="nil"/>
              <w:left w:val="nil"/>
              <w:bottom w:val="single" w:sz="4" w:space="0" w:color="auto"/>
              <w:right w:val="single" w:sz="4" w:space="0" w:color="auto"/>
            </w:tcBorders>
            <w:noWrap/>
            <w:hideMark/>
          </w:tcPr>
          <w:p w14:paraId="7E2FF8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11 500</w:t>
            </w:r>
          </w:p>
        </w:tc>
        <w:tc>
          <w:tcPr>
            <w:tcW w:w="1553" w:type="dxa"/>
            <w:tcBorders>
              <w:top w:val="nil"/>
              <w:left w:val="nil"/>
              <w:bottom w:val="single" w:sz="4" w:space="0" w:color="auto"/>
              <w:right w:val="single" w:sz="4" w:space="0" w:color="auto"/>
            </w:tcBorders>
            <w:noWrap/>
            <w:hideMark/>
          </w:tcPr>
          <w:p w14:paraId="115C7D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20 214</w:t>
            </w:r>
          </w:p>
        </w:tc>
      </w:tr>
      <w:tr w:rsidR="00107665" w:rsidRPr="00631C1C" w14:paraId="62B9064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86E49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138</w:t>
            </w:r>
          </w:p>
        </w:tc>
        <w:tc>
          <w:tcPr>
            <w:tcW w:w="2431" w:type="dxa"/>
            <w:tcBorders>
              <w:top w:val="nil"/>
              <w:left w:val="nil"/>
              <w:bottom w:val="single" w:sz="4" w:space="0" w:color="auto"/>
              <w:right w:val="single" w:sz="4" w:space="0" w:color="auto"/>
            </w:tcBorders>
            <w:noWrap/>
            <w:hideMark/>
          </w:tcPr>
          <w:p w14:paraId="29F707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Исландия</w:t>
            </w:r>
          </w:p>
        </w:tc>
        <w:tc>
          <w:tcPr>
            <w:tcW w:w="1418" w:type="dxa"/>
            <w:tcBorders>
              <w:top w:val="nil"/>
              <w:left w:val="nil"/>
              <w:bottom w:val="single" w:sz="4" w:space="0" w:color="auto"/>
              <w:right w:val="single" w:sz="4" w:space="0" w:color="auto"/>
            </w:tcBorders>
            <w:noWrap/>
            <w:hideMark/>
          </w:tcPr>
          <w:p w14:paraId="04EB1E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0,035</w:t>
            </w:r>
          </w:p>
        </w:tc>
        <w:tc>
          <w:tcPr>
            <w:tcW w:w="1417" w:type="dxa"/>
            <w:tcBorders>
              <w:top w:val="nil"/>
              <w:left w:val="nil"/>
              <w:bottom w:val="single" w:sz="4" w:space="0" w:color="auto"/>
              <w:right w:val="single" w:sz="4" w:space="0" w:color="auto"/>
            </w:tcBorders>
            <w:noWrap/>
            <w:hideMark/>
          </w:tcPr>
          <w:p w14:paraId="4B0F03C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0,0353</w:t>
            </w:r>
          </w:p>
        </w:tc>
        <w:tc>
          <w:tcPr>
            <w:tcW w:w="1073" w:type="dxa"/>
            <w:tcBorders>
              <w:top w:val="nil"/>
              <w:left w:val="nil"/>
              <w:bottom w:val="single" w:sz="4" w:space="0" w:color="auto"/>
              <w:right w:val="single" w:sz="4" w:space="0" w:color="auto"/>
            </w:tcBorders>
            <w:noWrap/>
            <w:hideMark/>
          </w:tcPr>
          <w:p w14:paraId="1A0FD4C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1 089</w:t>
            </w:r>
          </w:p>
        </w:tc>
        <w:tc>
          <w:tcPr>
            <w:tcW w:w="1053" w:type="dxa"/>
            <w:tcBorders>
              <w:top w:val="nil"/>
              <w:left w:val="nil"/>
              <w:bottom w:val="single" w:sz="4" w:space="0" w:color="auto"/>
              <w:right w:val="single" w:sz="4" w:space="0" w:color="auto"/>
            </w:tcBorders>
            <w:noWrap/>
            <w:hideMark/>
          </w:tcPr>
          <w:p w14:paraId="6C62FC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1 438</w:t>
            </w:r>
          </w:p>
        </w:tc>
        <w:tc>
          <w:tcPr>
            <w:tcW w:w="1553" w:type="dxa"/>
            <w:tcBorders>
              <w:top w:val="nil"/>
              <w:left w:val="nil"/>
              <w:bottom w:val="single" w:sz="4" w:space="0" w:color="auto"/>
              <w:right w:val="single" w:sz="4" w:space="0" w:color="auto"/>
            </w:tcBorders>
            <w:noWrap/>
            <w:hideMark/>
          </w:tcPr>
          <w:p w14:paraId="2C7A16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2 527</w:t>
            </w:r>
          </w:p>
        </w:tc>
      </w:tr>
      <w:tr w:rsidR="00107665" w:rsidRPr="00631C1C" w14:paraId="0347936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F322A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139</w:t>
            </w:r>
          </w:p>
        </w:tc>
        <w:tc>
          <w:tcPr>
            <w:tcW w:w="2431" w:type="dxa"/>
            <w:tcBorders>
              <w:top w:val="nil"/>
              <w:left w:val="nil"/>
              <w:bottom w:val="single" w:sz="4" w:space="0" w:color="auto"/>
              <w:right w:val="single" w:sz="4" w:space="0" w:color="auto"/>
            </w:tcBorders>
            <w:noWrap/>
            <w:hideMark/>
          </w:tcPr>
          <w:p w14:paraId="729C361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Ирландия</w:t>
            </w:r>
          </w:p>
        </w:tc>
        <w:tc>
          <w:tcPr>
            <w:tcW w:w="1418" w:type="dxa"/>
            <w:tcBorders>
              <w:top w:val="nil"/>
              <w:left w:val="nil"/>
              <w:bottom w:val="single" w:sz="4" w:space="0" w:color="auto"/>
              <w:right w:val="single" w:sz="4" w:space="0" w:color="auto"/>
            </w:tcBorders>
            <w:noWrap/>
            <w:hideMark/>
          </w:tcPr>
          <w:p w14:paraId="6DD40B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0,472</w:t>
            </w:r>
          </w:p>
        </w:tc>
        <w:tc>
          <w:tcPr>
            <w:tcW w:w="1417" w:type="dxa"/>
            <w:tcBorders>
              <w:top w:val="nil"/>
              <w:left w:val="nil"/>
              <w:bottom w:val="single" w:sz="4" w:space="0" w:color="auto"/>
              <w:right w:val="single" w:sz="4" w:space="0" w:color="auto"/>
            </w:tcBorders>
            <w:noWrap/>
            <w:hideMark/>
          </w:tcPr>
          <w:p w14:paraId="7AC2D8B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0,4764</w:t>
            </w:r>
          </w:p>
        </w:tc>
        <w:tc>
          <w:tcPr>
            <w:tcW w:w="1073" w:type="dxa"/>
            <w:tcBorders>
              <w:top w:val="nil"/>
              <w:left w:val="nil"/>
              <w:bottom w:val="single" w:sz="4" w:space="0" w:color="auto"/>
              <w:right w:val="single" w:sz="4" w:space="0" w:color="auto"/>
            </w:tcBorders>
            <w:noWrap/>
            <w:hideMark/>
          </w:tcPr>
          <w:p w14:paraId="20020BC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14 689</w:t>
            </w:r>
          </w:p>
        </w:tc>
        <w:tc>
          <w:tcPr>
            <w:tcW w:w="1053" w:type="dxa"/>
            <w:tcBorders>
              <w:top w:val="nil"/>
              <w:left w:val="nil"/>
              <w:bottom w:val="single" w:sz="4" w:space="0" w:color="auto"/>
              <w:right w:val="single" w:sz="4" w:space="0" w:color="auto"/>
            </w:tcBorders>
            <w:noWrap/>
            <w:hideMark/>
          </w:tcPr>
          <w:p w14:paraId="0989A20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19 386</w:t>
            </w:r>
          </w:p>
        </w:tc>
        <w:tc>
          <w:tcPr>
            <w:tcW w:w="1553" w:type="dxa"/>
            <w:tcBorders>
              <w:top w:val="nil"/>
              <w:left w:val="nil"/>
              <w:bottom w:val="single" w:sz="4" w:space="0" w:color="auto"/>
              <w:right w:val="single" w:sz="4" w:space="0" w:color="auto"/>
            </w:tcBorders>
            <w:noWrap/>
            <w:hideMark/>
          </w:tcPr>
          <w:p w14:paraId="001A12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34 075</w:t>
            </w:r>
          </w:p>
        </w:tc>
      </w:tr>
      <w:tr w:rsidR="00107665" w:rsidRPr="00631C1C" w14:paraId="50B2202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BEEB5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140</w:t>
            </w:r>
          </w:p>
        </w:tc>
        <w:tc>
          <w:tcPr>
            <w:tcW w:w="2431" w:type="dxa"/>
            <w:tcBorders>
              <w:top w:val="nil"/>
              <w:left w:val="nil"/>
              <w:bottom w:val="single" w:sz="4" w:space="0" w:color="auto"/>
              <w:right w:val="single" w:sz="4" w:space="0" w:color="auto"/>
            </w:tcBorders>
            <w:noWrap/>
            <w:hideMark/>
          </w:tcPr>
          <w:p w14:paraId="3FC44A5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Италия</w:t>
            </w:r>
          </w:p>
        </w:tc>
        <w:tc>
          <w:tcPr>
            <w:tcW w:w="1418" w:type="dxa"/>
            <w:tcBorders>
              <w:top w:val="nil"/>
              <w:left w:val="nil"/>
              <w:bottom w:val="single" w:sz="4" w:space="0" w:color="auto"/>
              <w:right w:val="single" w:sz="4" w:space="0" w:color="auto"/>
            </w:tcBorders>
            <w:noWrap/>
            <w:hideMark/>
          </w:tcPr>
          <w:p w14:paraId="686424C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2,813</w:t>
            </w:r>
          </w:p>
        </w:tc>
        <w:tc>
          <w:tcPr>
            <w:tcW w:w="1417" w:type="dxa"/>
            <w:tcBorders>
              <w:top w:val="nil"/>
              <w:left w:val="nil"/>
              <w:bottom w:val="single" w:sz="4" w:space="0" w:color="auto"/>
              <w:right w:val="single" w:sz="4" w:space="0" w:color="auto"/>
            </w:tcBorders>
            <w:noWrap/>
            <w:hideMark/>
          </w:tcPr>
          <w:p w14:paraId="64E48D5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2,8392</w:t>
            </w:r>
          </w:p>
        </w:tc>
        <w:tc>
          <w:tcPr>
            <w:tcW w:w="1073" w:type="dxa"/>
            <w:tcBorders>
              <w:top w:val="nil"/>
              <w:left w:val="nil"/>
              <w:bottom w:val="single" w:sz="4" w:space="0" w:color="auto"/>
              <w:right w:val="single" w:sz="4" w:space="0" w:color="auto"/>
            </w:tcBorders>
            <w:noWrap/>
            <w:hideMark/>
          </w:tcPr>
          <w:p w14:paraId="2F0FE7C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87 542</w:t>
            </w:r>
          </w:p>
        </w:tc>
        <w:tc>
          <w:tcPr>
            <w:tcW w:w="1053" w:type="dxa"/>
            <w:tcBorders>
              <w:top w:val="nil"/>
              <w:left w:val="nil"/>
              <w:bottom w:val="single" w:sz="4" w:space="0" w:color="auto"/>
              <w:right w:val="single" w:sz="4" w:space="0" w:color="auto"/>
            </w:tcBorders>
            <w:noWrap/>
            <w:hideMark/>
          </w:tcPr>
          <w:p w14:paraId="103C74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115 534</w:t>
            </w:r>
          </w:p>
        </w:tc>
        <w:tc>
          <w:tcPr>
            <w:tcW w:w="1553" w:type="dxa"/>
            <w:tcBorders>
              <w:top w:val="nil"/>
              <w:left w:val="nil"/>
              <w:bottom w:val="single" w:sz="4" w:space="0" w:color="auto"/>
              <w:right w:val="single" w:sz="4" w:space="0" w:color="auto"/>
            </w:tcBorders>
            <w:noWrap/>
            <w:hideMark/>
          </w:tcPr>
          <w:p w14:paraId="7A3EA7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203 076</w:t>
            </w:r>
          </w:p>
        </w:tc>
      </w:tr>
      <w:tr w:rsidR="00107665" w:rsidRPr="00631C1C" w14:paraId="485936B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C87A5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141</w:t>
            </w:r>
          </w:p>
        </w:tc>
        <w:tc>
          <w:tcPr>
            <w:tcW w:w="2431" w:type="dxa"/>
            <w:tcBorders>
              <w:top w:val="nil"/>
              <w:left w:val="nil"/>
              <w:bottom w:val="single" w:sz="4" w:space="0" w:color="auto"/>
              <w:right w:val="single" w:sz="4" w:space="0" w:color="auto"/>
            </w:tcBorders>
            <w:noWrap/>
            <w:hideMark/>
          </w:tcPr>
          <w:p w14:paraId="5AE0125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Лихтенштейн</w:t>
            </w:r>
          </w:p>
        </w:tc>
        <w:tc>
          <w:tcPr>
            <w:tcW w:w="1418" w:type="dxa"/>
            <w:tcBorders>
              <w:top w:val="nil"/>
              <w:left w:val="nil"/>
              <w:bottom w:val="single" w:sz="4" w:space="0" w:color="auto"/>
              <w:right w:val="single" w:sz="4" w:space="0" w:color="auto"/>
            </w:tcBorders>
            <w:noWrap/>
            <w:hideMark/>
          </w:tcPr>
          <w:p w14:paraId="612D665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0,009</w:t>
            </w:r>
          </w:p>
        </w:tc>
        <w:tc>
          <w:tcPr>
            <w:tcW w:w="1417" w:type="dxa"/>
            <w:tcBorders>
              <w:top w:val="nil"/>
              <w:left w:val="nil"/>
              <w:bottom w:val="single" w:sz="4" w:space="0" w:color="auto"/>
              <w:right w:val="single" w:sz="4" w:space="0" w:color="auto"/>
            </w:tcBorders>
            <w:noWrap/>
            <w:hideMark/>
          </w:tcPr>
          <w:p w14:paraId="25BC92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E4BBE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ACB306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00D46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73CCC6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195D9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142</w:t>
            </w:r>
          </w:p>
        </w:tc>
        <w:tc>
          <w:tcPr>
            <w:tcW w:w="2431" w:type="dxa"/>
            <w:tcBorders>
              <w:top w:val="nil"/>
              <w:left w:val="nil"/>
              <w:bottom w:val="single" w:sz="4" w:space="0" w:color="auto"/>
              <w:right w:val="single" w:sz="4" w:space="0" w:color="auto"/>
            </w:tcBorders>
            <w:noWrap/>
            <w:hideMark/>
          </w:tcPr>
          <w:p w14:paraId="0CC548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Люксембург</w:t>
            </w:r>
          </w:p>
        </w:tc>
        <w:tc>
          <w:tcPr>
            <w:tcW w:w="1418" w:type="dxa"/>
            <w:tcBorders>
              <w:top w:val="nil"/>
              <w:left w:val="nil"/>
              <w:bottom w:val="single" w:sz="4" w:space="0" w:color="auto"/>
              <w:right w:val="single" w:sz="4" w:space="0" w:color="auto"/>
            </w:tcBorders>
            <w:noWrap/>
            <w:hideMark/>
          </w:tcPr>
          <w:p w14:paraId="0773C5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0,073</w:t>
            </w:r>
          </w:p>
        </w:tc>
        <w:tc>
          <w:tcPr>
            <w:tcW w:w="1417" w:type="dxa"/>
            <w:tcBorders>
              <w:top w:val="nil"/>
              <w:left w:val="nil"/>
              <w:bottom w:val="single" w:sz="4" w:space="0" w:color="auto"/>
              <w:right w:val="single" w:sz="4" w:space="0" w:color="auto"/>
            </w:tcBorders>
            <w:noWrap/>
            <w:hideMark/>
          </w:tcPr>
          <w:p w14:paraId="7F6CD8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0,0737</w:t>
            </w:r>
          </w:p>
        </w:tc>
        <w:tc>
          <w:tcPr>
            <w:tcW w:w="1073" w:type="dxa"/>
            <w:tcBorders>
              <w:top w:val="nil"/>
              <w:left w:val="nil"/>
              <w:bottom w:val="single" w:sz="4" w:space="0" w:color="auto"/>
              <w:right w:val="single" w:sz="4" w:space="0" w:color="auto"/>
            </w:tcBorders>
            <w:noWrap/>
            <w:hideMark/>
          </w:tcPr>
          <w:p w14:paraId="0DC0630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2 272</w:t>
            </w:r>
          </w:p>
        </w:tc>
        <w:tc>
          <w:tcPr>
            <w:tcW w:w="1053" w:type="dxa"/>
            <w:tcBorders>
              <w:top w:val="nil"/>
              <w:left w:val="nil"/>
              <w:bottom w:val="single" w:sz="4" w:space="0" w:color="auto"/>
              <w:right w:val="single" w:sz="4" w:space="0" w:color="auto"/>
            </w:tcBorders>
            <w:noWrap/>
            <w:hideMark/>
          </w:tcPr>
          <w:p w14:paraId="28A2B2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2 998</w:t>
            </w:r>
          </w:p>
        </w:tc>
        <w:tc>
          <w:tcPr>
            <w:tcW w:w="1553" w:type="dxa"/>
            <w:tcBorders>
              <w:top w:val="nil"/>
              <w:left w:val="nil"/>
              <w:bottom w:val="single" w:sz="4" w:space="0" w:color="auto"/>
              <w:right w:val="single" w:sz="4" w:space="0" w:color="auto"/>
            </w:tcBorders>
            <w:noWrap/>
            <w:hideMark/>
          </w:tcPr>
          <w:p w14:paraId="04B4CD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5 270</w:t>
            </w:r>
          </w:p>
        </w:tc>
      </w:tr>
      <w:tr w:rsidR="00107665" w:rsidRPr="00631C1C" w14:paraId="75A98F9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27AF6B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143</w:t>
            </w:r>
          </w:p>
        </w:tc>
        <w:tc>
          <w:tcPr>
            <w:tcW w:w="2431" w:type="dxa"/>
            <w:tcBorders>
              <w:top w:val="nil"/>
              <w:left w:val="nil"/>
              <w:bottom w:val="single" w:sz="4" w:space="0" w:color="auto"/>
              <w:right w:val="single" w:sz="4" w:space="0" w:color="auto"/>
            </w:tcBorders>
            <w:noWrap/>
            <w:hideMark/>
          </w:tcPr>
          <w:p w14:paraId="2256CB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Мальта</w:t>
            </w:r>
          </w:p>
        </w:tc>
        <w:tc>
          <w:tcPr>
            <w:tcW w:w="1418" w:type="dxa"/>
            <w:tcBorders>
              <w:top w:val="nil"/>
              <w:left w:val="nil"/>
              <w:bottom w:val="single" w:sz="4" w:space="0" w:color="auto"/>
              <w:right w:val="single" w:sz="4" w:space="0" w:color="auto"/>
            </w:tcBorders>
            <w:noWrap/>
            <w:hideMark/>
          </w:tcPr>
          <w:p w14:paraId="76CEA5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w:t>
            </w:r>
          </w:p>
        </w:tc>
        <w:tc>
          <w:tcPr>
            <w:tcW w:w="1417" w:type="dxa"/>
            <w:tcBorders>
              <w:top w:val="nil"/>
              <w:left w:val="nil"/>
              <w:bottom w:val="single" w:sz="4" w:space="0" w:color="auto"/>
              <w:right w:val="single" w:sz="4" w:space="0" w:color="auto"/>
            </w:tcBorders>
            <w:noWrap/>
            <w:hideMark/>
          </w:tcPr>
          <w:p w14:paraId="70AEDF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0,0202</w:t>
            </w:r>
          </w:p>
        </w:tc>
        <w:tc>
          <w:tcPr>
            <w:tcW w:w="1073" w:type="dxa"/>
            <w:tcBorders>
              <w:top w:val="nil"/>
              <w:left w:val="nil"/>
              <w:bottom w:val="single" w:sz="4" w:space="0" w:color="auto"/>
              <w:right w:val="single" w:sz="4" w:space="0" w:color="auto"/>
            </w:tcBorders>
            <w:noWrap/>
            <w:hideMark/>
          </w:tcPr>
          <w:p w14:paraId="7FBF76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622</w:t>
            </w:r>
          </w:p>
        </w:tc>
        <w:tc>
          <w:tcPr>
            <w:tcW w:w="1053" w:type="dxa"/>
            <w:tcBorders>
              <w:top w:val="nil"/>
              <w:left w:val="nil"/>
              <w:bottom w:val="single" w:sz="4" w:space="0" w:color="auto"/>
              <w:right w:val="single" w:sz="4" w:space="0" w:color="auto"/>
            </w:tcBorders>
            <w:noWrap/>
            <w:hideMark/>
          </w:tcPr>
          <w:p w14:paraId="6F40547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821</w:t>
            </w:r>
          </w:p>
        </w:tc>
        <w:tc>
          <w:tcPr>
            <w:tcW w:w="1553" w:type="dxa"/>
            <w:tcBorders>
              <w:top w:val="nil"/>
              <w:left w:val="nil"/>
              <w:bottom w:val="single" w:sz="4" w:space="0" w:color="auto"/>
              <w:right w:val="single" w:sz="4" w:space="0" w:color="auto"/>
            </w:tcBorders>
            <w:noWrap/>
            <w:hideMark/>
          </w:tcPr>
          <w:p w14:paraId="11F4C15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1 444</w:t>
            </w:r>
          </w:p>
        </w:tc>
      </w:tr>
      <w:tr w:rsidR="00107665" w:rsidRPr="00631C1C" w14:paraId="017A407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4F6E9D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144</w:t>
            </w:r>
          </w:p>
        </w:tc>
        <w:tc>
          <w:tcPr>
            <w:tcW w:w="2431" w:type="dxa"/>
            <w:tcBorders>
              <w:top w:val="nil"/>
              <w:left w:val="nil"/>
              <w:bottom w:val="single" w:sz="4" w:space="0" w:color="auto"/>
              <w:right w:val="single" w:sz="4" w:space="0" w:color="auto"/>
            </w:tcBorders>
            <w:noWrap/>
            <w:hideMark/>
          </w:tcPr>
          <w:p w14:paraId="0F7621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Монако</w:t>
            </w:r>
          </w:p>
        </w:tc>
        <w:tc>
          <w:tcPr>
            <w:tcW w:w="1418" w:type="dxa"/>
            <w:tcBorders>
              <w:top w:val="nil"/>
              <w:left w:val="nil"/>
              <w:bottom w:val="single" w:sz="4" w:space="0" w:color="auto"/>
              <w:right w:val="single" w:sz="4" w:space="0" w:color="auto"/>
            </w:tcBorders>
            <w:noWrap/>
            <w:hideMark/>
          </w:tcPr>
          <w:p w14:paraId="41DE7C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w:t>
            </w:r>
          </w:p>
        </w:tc>
        <w:tc>
          <w:tcPr>
            <w:tcW w:w="1417" w:type="dxa"/>
            <w:tcBorders>
              <w:top w:val="nil"/>
              <w:left w:val="nil"/>
              <w:bottom w:val="single" w:sz="4" w:space="0" w:color="auto"/>
              <w:right w:val="single" w:sz="4" w:space="0" w:color="auto"/>
            </w:tcBorders>
            <w:noWrap/>
            <w:hideMark/>
          </w:tcPr>
          <w:p w14:paraId="0F5990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0,0111</w:t>
            </w:r>
          </w:p>
        </w:tc>
        <w:tc>
          <w:tcPr>
            <w:tcW w:w="1073" w:type="dxa"/>
            <w:tcBorders>
              <w:top w:val="nil"/>
              <w:left w:val="nil"/>
              <w:bottom w:val="single" w:sz="4" w:space="0" w:color="auto"/>
              <w:right w:val="single" w:sz="4" w:space="0" w:color="auto"/>
            </w:tcBorders>
            <w:noWrap/>
            <w:hideMark/>
          </w:tcPr>
          <w:p w14:paraId="79F87D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342</w:t>
            </w:r>
          </w:p>
        </w:tc>
        <w:tc>
          <w:tcPr>
            <w:tcW w:w="1053" w:type="dxa"/>
            <w:tcBorders>
              <w:top w:val="nil"/>
              <w:left w:val="nil"/>
              <w:bottom w:val="single" w:sz="4" w:space="0" w:color="auto"/>
              <w:right w:val="single" w:sz="4" w:space="0" w:color="auto"/>
            </w:tcBorders>
            <w:noWrap/>
            <w:hideMark/>
          </w:tcPr>
          <w:p w14:paraId="4CF14AC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452</w:t>
            </w:r>
          </w:p>
        </w:tc>
        <w:tc>
          <w:tcPr>
            <w:tcW w:w="1553" w:type="dxa"/>
            <w:tcBorders>
              <w:top w:val="nil"/>
              <w:left w:val="nil"/>
              <w:bottom w:val="single" w:sz="4" w:space="0" w:color="auto"/>
              <w:right w:val="single" w:sz="4" w:space="0" w:color="auto"/>
            </w:tcBorders>
            <w:noWrap/>
            <w:hideMark/>
          </w:tcPr>
          <w:p w14:paraId="5FCE1E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794</w:t>
            </w:r>
          </w:p>
        </w:tc>
      </w:tr>
      <w:tr w:rsidR="00107665" w:rsidRPr="00631C1C" w14:paraId="3C29B4C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A07C24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145</w:t>
            </w:r>
          </w:p>
        </w:tc>
        <w:tc>
          <w:tcPr>
            <w:tcW w:w="2431" w:type="dxa"/>
            <w:tcBorders>
              <w:top w:val="nil"/>
              <w:left w:val="nil"/>
              <w:bottom w:val="single" w:sz="4" w:space="0" w:color="auto"/>
              <w:right w:val="single" w:sz="4" w:space="0" w:color="auto"/>
            </w:tcBorders>
            <w:noWrap/>
            <w:hideMark/>
          </w:tcPr>
          <w:p w14:paraId="26B464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Королевство Нидерландов</w:t>
            </w:r>
          </w:p>
        </w:tc>
        <w:tc>
          <w:tcPr>
            <w:tcW w:w="1418" w:type="dxa"/>
            <w:tcBorders>
              <w:top w:val="nil"/>
              <w:left w:val="nil"/>
              <w:bottom w:val="single" w:sz="4" w:space="0" w:color="auto"/>
              <w:right w:val="single" w:sz="4" w:space="0" w:color="auto"/>
            </w:tcBorders>
            <w:noWrap/>
            <w:hideMark/>
          </w:tcPr>
          <w:p w14:paraId="71823CD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1,298</w:t>
            </w:r>
          </w:p>
        </w:tc>
        <w:tc>
          <w:tcPr>
            <w:tcW w:w="1417" w:type="dxa"/>
            <w:tcBorders>
              <w:top w:val="nil"/>
              <w:left w:val="nil"/>
              <w:bottom w:val="single" w:sz="4" w:space="0" w:color="auto"/>
              <w:right w:val="single" w:sz="4" w:space="0" w:color="auto"/>
            </w:tcBorders>
            <w:noWrap/>
            <w:hideMark/>
          </w:tcPr>
          <w:p w14:paraId="2C6569E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1,3101</w:t>
            </w:r>
          </w:p>
        </w:tc>
        <w:tc>
          <w:tcPr>
            <w:tcW w:w="1073" w:type="dxa"/>
            <w:tcBorders>
              <w:top w:val="nil"/>
              <w:left w:val="nil"/>
              <w:bottom w:val="single" w:sz="4" w:space="0" w:color="auto"/>
              <w:right w:val="single" w:sz="4" w:space="0" w:color="auto"/>
            </w:tcBorders>
            <w:noWrap/>
            <w:hideMark/>
          </w:tcPr>
          <w:p w14:paraId="499CED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40 394</w:t>
            </w:r>
          </w:p>
        </w:tc>
        <w:tc>
          <w:tcPr>
            <w:tcW w:w="1053" w:type="dxa"/>
            <w:tcBorders>
              <w:top w:val="nil"/>
              <w:left w:val="nil"/>
              <w:bottom w:val="single" w:sz="4" w:space="0" w:color="auto"/>
              <w:right w:val="single" w:sz="4" w:space="0" w:color="auto"/>
            </w:tcBorders>
            <w:noWrap/>
            <w:hideMark/>
          </w:tcPr>
          <w:p w14:paraId="244005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53 311</w:t>
            </w:r>
          </w:p>
        </w:tc>
        <w:tc>
          <w:tcPr>
            <w:tcW w:w="1553" w:type="dxa"/>
            <w:tcBorders>
              <w:top w:val="nil"/>
              <w:left w:val="nil"/>
              <w:bottom w:val="single" w:sz="4" w:space="0" w:color="auto"/>
              <w:right w:val="single" w:sz="4" w:space="0" w:color="auto"/>
            </w:tcBorders>
            <w:noWrap/>
            <w:hideMark/>
          </w:tcPr>
          <w:p w14:paraId="472045F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93 705</w:t>
            </w:r>
          </w:p>
        </w:tc>
      </w:tr>
      <w:tr w:rsidR="00107665" w:rsidRPr="00631C1C" w14:paraId="0353FB7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70832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146</w:t>
            </w:r>
          </w:p>
        </w:tc>
        <w:tc>
          <w:tcPr>
            <w:tcW w:w="2431" w:type="dxa"/>
            <w:tcBorders>
              <w:top w:val="nil"/>
              <w:left w:val="nil"/>
              <w:bottom w:val="single" w:sz="4" w:space="0" w:color="auto"/>
              <w:right w:val="single" w:sz="4" w:space="0" w:color="auto"/>
            </w:tcBorders>
            <w:noWrap/>
            <w:hideMark/>
          </w:tcPr>
          <w:p w14:paraId="008BB85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Норвегия</w:t>
            </w:r>
          </w:p>
        </w:tc>
        <w:tc>
          <w:tcPr>
            <w:tcW w:w="1418" w:type="dxa"/>
            <w:tcBorders>
              <w:top w:val="nil"/>
              <w:left w:val="nil"/>
              <w:bottom w:val="single" w:sz="4" w:space="0" w:color="auto"/>
              <w:right w:val="single" w:sz="4" w:space="0" w:color="auto"/>
            </w:tcBorders>
            <w:noWrap/>
            <w:hideMark/>
          </w:tcPr>
          <w:p w14:paraId="0B2A9CC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0,653</w:t>
            </w:r>
          </w:p>
        </w:tc>
        <w:tc>
          <w:tcPr>
            <w:tcW w:w="1417" w:type="dxa"/>
            <w:tcBorders>
              <w:top w:val="nil"/>
              <w:left w:val="nil"/>
              <w:bottom w:val="single" w:sz="4" w:space="0" w:color="auto"/>
              <w:right w:val="single" w:sz="4" w:space="0" w:color="auto"/>
            </w:tcBorders>
            <w:noWrap/>
            <w:hideMark/>
          </w:tcPr>
          <w:p w14:paraId="7CCD04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0,6591</w:t>
            </w:r>
          </w:p>
        </w:tc>
        <w:tc>
          <w:tcPr>
            <w:tcW w:w="1073" w:type="dxa"/>
            <w:tcBorders>
              <w:top w:val="nil"/>
              <w:left w:val="nil"/>
              <w:bottom w:val="single" w:sz="4" w:space="0" w:color="auto"/>
              <w:right w:val="single" w:sz="4" w:space="0" w:color="auto"/>
            </w:tcBorders>
            <w:noWrap/>
            <w:hideMark/>
          </w:tcPr>
          <w:p w14:paraId="60415D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20 322</w:t>
            </w:r>
          </w:p>
        </w:tc>
        <w:tc>
          <w:tcPr>
            <w:tcW w:w="1053" w:type="dxa"/>
            <w:tcBorders>
              <w:top w:val="nil"/>
              <w:left w:val="nil"/>
              <w:bottom w:val="single" w:sz="4" w:space="0" w:color="auto"/>
              <w:right w:val="single" w:sz="4" w:space="0" w:color="auto"/>
            </w:tcBorders>
            <w:noWrap/>
            <w:hideMark/>
          </w:tcPr>
          <w:p w14:paraId="46A1894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26 820</w:t>
            </w:r>
          </w:p>
        </w:tc>
        <w:tc>
          <w:tcPr>
            <w:tcW w:w="1553" w:type="dxa"/>
            <w:tcBorders>
              <w:top w:val="nil"/>
              <w:left w:val="nil"/>
              <w:bottom w:val="single" w:sz="4" w:space="0" w:color="auto"/>
              <w:right w:val="single" w:sz="4" w:space="0" w:color="auto"/>
            </w:tcBorders>
            <w:noWrap/>
            <w:hideMark/>
          </w:tcPr>
          <w:p w14:paraId="3E1D410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47 141</w:t>
            </w:r>
          </w:p>
        </w:tc>
      </w:tr>
      <w:tr w:rsidR="00107665" w:rsidRPr="00631C1C" w14:paraId="1081BBD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7E2C2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147</w:t>
            </w:r>
          </w:p>
        </w:tc>
        <w:tc>
          <w:tcPr>
            <w:tcW w:w="2431" w:type="dxa"/>
            <w:tcBorders>
              <w:top w:val="nil"/>
              <w:left w:val="nil"/>
              <w:bottom w:val="single" w:sz="4" w:space="0" w:color="auto"/>
              <w:right w:val="single" w:sz="4" w:space="0" w:color="auto"/>
            </w:tcBorders>
            <w:noWrap/>
            <w:hideMark/>
          </w:tcPr>
          <w:p w14:paraId="615AB9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Португалия</w:t>
            </w:r>
          </w:p>
        </w:tc>
        <w:tc>
          <w:tcPr>
            <w:tcW w:w="1418" w:type="dxa"/>
            <w:tcBorders>
              <w:top w:val="nil"/>
              <w:left w:val="nil"/>
              <w:bottom w:val="single" w:sz="4" w:space="0" w:color="auto"/>
              <w:right w:val="single" w:sz="4" w:space="0" w:color="auto"/>
            </w:tcBorders>
            <w:noWrap/>
            <w:hideMark/>
          </w:tcPr>
          <w:p w14:paraId="707E23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0,328</w:t>
            </w:r>
          </w:p>
        </w:tc>
        <w:tc>
          <w:tcPr>
            <w:tcW w:w="1417" w:type="dxa"/>
            <w:tcBorders>
              <w:top w:val="nil"/>
              <w:left w:val="nil"/>
              <w:bottom w:val="single" w:sz="4" w:space="0" w:color="auto"/>
              <w:right w:val="single" w:sz="4" w:space="0" w:color="auto"/>
            </w:tcBorders>
            <w:noWrap/>
            <w:hideMark/>
          </w:tcPr>
          <w:p w14:paraId="322C60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0,3311</w:t>
            </w:r>
          </w:p>
        </w:tc>
        <w:tc>
          <w:tcPr>
            <w:tcW w:w="1073" w:type="dxa"/>
            <w:tcBorders>
              <w:top w:val="nil"/>
              <w:left w:val="nil"/>
              <w:bottom w:val="single" w:sz="4" w:space="0" w:color="auto"/>
              <w:right w:val="single" w:sz="4" w:space="0" w:color="auto"/>
            </w:tcBorders>
            <w:noWrap/>
            <w:hideMark/>
          </w:tcPr>
          <w:p w14:paraId="6B8472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10 208</w:t>
            </w:r>
          </w:p>
        </w:tc>
        <w:tc>
          <w:tcPr>
            <w:tcW w:w="1053" w:type="dxa"/>
            <w:tcBorders>
              <w:top w:val="nil"/>
              <w:left w:val="nil"/>
              <w:bottom w:val="single" w:sz="4" w:space="0" w:color="auto"/>
              <w:right w:val="single" w:sz="4" w:space="0" w:color="auto"/>
            </w:tcBorders>
            <w:noWrap/>
            <w:hideMark/>
          </w:tcPr>
          <w:p w14:paraId="533812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13 471</w:t>
            </w:r>
          </w:p>
        </w:tc>
        <w:tc>
          <w:tcPr>
            <w:tcW w:w="1553" w:type="dxa"/>
            <w:tcBorders>
              <w:top w:val="nil"/>
              <w:left w:val="nil"/>
              <w:bottom w:val="single" w:sz="4" w:space="0" w:color="auto"/>
              <w:right w:val="single" w:sz="4" w:space="0" w:color="auto"/>
            </w:tcBorders>
            <w:noWrap/>
            <w:hideMark/>
          </w:tcPr>
          <w:p w14:paraId="293926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23 679</w:t>
            </w:r>
          </w:p>
        </w:tc>
      </w:tr>
      <w:tr w:rsidR="00107665" w:rsidRPr="00631C1C" w14:paraId="355FB06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C0F085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148</w:t>
            </w:r>
          </w:p>
        </w:tc>
        <w:tc>
          <w:tcPr>
            <w:tcW w:w="2431" w:type="dxa"/>
            <w:tcBorders>
              <w:top w:val="nil"/>
              <w:left w:val="nil"/>
              <w:bottom w:val="single" w:sz="4" w:space="0" w:color="auto"/>
              <w:right w:val="single" w:sz="4" w:space="0" w:color="auto"/>
            </w:tcBorders>
            <w:noWrap/>
            <w:hideMark/>
          </w:tcPr>
          <w:p w14:paraId="47BF82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Испания</w:t>
            </w:r>
          </w:p>
        </w:tc>
        <w:tc>
          <w:tcPr>
            <w:tcW w:w="1418" w:type="dxa"/>
            <w:tcBorders>
              <w:top w:val="nil"/>
              <w:left w:val="nil"/>
              <w:bottom w:val="single" w:sz="4" w:space="0" w:color="auto"/>
              <w:right w:val="single" w:sz="4" w:space="0" w:color="auto"/>
            </w:tcBorders>
            <w:noWrap/>
            <w:hideMark/>
          </w:tcPr>
          <w:p w14:paraId="190583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1,895</w:t>
            </w:r>
          </w:p>
        </w:tc>
        <w:tc>
          <w:tcPr>
            <w:tcW w:w="1417" w:type="dxa"/>
            <w:tcBorders>
              <w:top w:val="nil"/>
              <w:left w:val="nil"/>
              <w:bottom w:val="single" w:sz="4" w:space="0" w:color="auto"/>
              <w:right w:val="single" w:sz="4" w:space="0" w:color="auto"/>
            </w:tcBorders>
            <w:noWrap/>
            <w:hideMark/>
          </w:tcPr>
          <w:p w14:paraId="0398CF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1,9126</w:t>
            </w:r>
          </w:p>
        </w:tc>
        <w:tc>
          <w:tcPr>
            <w:tcW w:w="1073" w:type="dxa"/>
            <w:tcBorders>
              <w:top w:val="nil"/>
              <w:left w:val="nil"/>
              <w:bottom w:val="single" w:sz="4" w:space="0" w:color="auto"/>
              <w:right w:val="single" w:sz="4" w:space="0" w:color="auto"/>
            </w:tcBorders>
            <w:noWrap/>
            <w:hideMark/>
          </w:tcPr>
          <w:p w14:paraId="185F0FF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58 973</w:t>
            </w:r>
          </w:p>
        </w:tc>
        <w:tc>
          <w:tcPr>
            <w:tcW w:w="1053" w:type="dxa"/>
            <w:tcBorders>
              <w:top w:val="nil"/>
              <w:left w:val="nil"/>
              <w:bottom w:val="single" w:sz="4" w:space="0" w:color="auto"/>
              <w:right w:val="single" w:sz="4" w:space="0" w:color="auto"/>
            </w:tcBorders>
            <w:noWrap/>
            <w:hideMark/>
          </w:tcPr>
          <w:p w14:paraId="11F3617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77 831</w:t>
            </w:r>
          </w:p>
        </w:tc>
        <w:tc>
          <w:tcPr>
            <w:tcW w:w="1553" w:type="dxa"/>
            <w:tcBorders>
              <w:top w:val="nil"/>
              <w:left w:val="nil"/>
              <w:bottom w:val="single" w:sz="4" w:space="0" w:color="auto"/>
              <w:right w:val="single" w:sz="4" w:space="0" w:color="auto"/>
            </w:tcBorders>
            <w:noWrap/>
            <w:hideMark/>
          </w:tcPr>
          <w:p w14:paraId="40EF3F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136 804</w:t>
            </w:r>
          </w:p>
        </w:tc>
      </w:tr>
      <w:tr w:rsidR="00107665" w:rsidRPr="00631C1C" w14:paraId="0B213CE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2FF276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149</w:t>
            </w:r>
          </w:p>
        </w:tc>
        <w:tc>
          <w:tcPr>
            <w:tcW w:w="2431" w:type="dxa"/>
            <w:tcBorders>
              <w:top w:val="nil"/>
              <w:left w:val="nil"/>
              <w:bottom w:val="single" w:sz="4" w:space="0" w:color="auto"/>
              <w:right w:val="single" w:sz="4" w:space="0" w:color="auto"/>
            </w:tcBorders>
            <w:noWrap/>
            <w:hideMark/>
          </w:tcPr>
          <w:p w14:paraId="019849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Швеция</w:t>
            </w:r>
          </w:p>
        </w:tc>
        <w:tc>
          <w:tcPr>
            <w:tcW w:w="1418" w:type="dxa"/>
            <w:tcBorders>
              <w:top w:val="nil"/>
              <w:left w:val="nil"/>
              <w:bottom w:val="single" w:sz="4" w:space="0" w:color="auto"/>
              <w:right w:val="single" w:sz="4" w:space="0" w:color="auto"/>
            </w:tcBorders>
            <w:noWrap/>
            <w:hideMark/>
          </w:tcPr>
          <w:p w14:paraId="4A45C9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0,822</w:t>
            </w:r>
          </w:p>
        </w:tc>
        <w:tc>
          <w:tcPr>
            <w:tcW w:w="1417" w:type="dxa"/>
            <w:tcBorders>
              <w:top w:val="nil"/>
              <w:left w:val="nil"/>
              <w:bottom w:val="single" w:sz="4" w:space="0" w:color="auto"/>
              <w:right w:val="single" w:sz="4" w:space="0" w:color="auto"/>
            </w:tcBorders>
            <w:noWrap/>
            <w:hideMark/>
          </w:tcPr>
          <w:p w14:paraId="725859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0,8297</w:t>
            </w:r>
          </w:p>
        </w:tc>
        <w:tc>
          <w:tcPr>
            <w:tcW w:w="1073" w:type="dxa"/>
            <w:tcBorders>
              <w:top w:val="nil"/>
              <w:left w:val="nil"/>
              <w:bottom w:val="single" w:sz="4" w:space="0" w:color="auto"/>
              <w:right w:val="single" w:sz="4" w:space="0" w:color="auto"/>
            </w:tcBorders>
            <w:noWrap/>
            <w:hideMark/>
          </w:tcPr>
          <w:p w14:paraId="42736D3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25 581</w:t>
            </w:r>
          </w:p>
        </w:tc>
        <w:tc>
          <w:tcPr>
            <w:tcW w:w="1053" w:type="dxa"/>
            <w:tcBorders>
              <w:top w:val="nil"/>
              <w:left w:val="nil"/>
              <w:bottom w:val="single" w:sz="4" w:space="0" w:color="auto"/>
              <w:right w:val="single" w:sz="4" w:space="0" w:color="auto"/>
            </w:tcBorders>
            <w:noWrap/>
            <w:hideMark/>
          </w:tcPr>
          <w:p w14:paraId="613207B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33 761</w:t>
            </w:r>
          </w:p>
        </w:tc>
        <w:tc>
          <w:tcPr>
            <w:tcW w:w="1553" w:type="dxa"/>
            <w:tcBorders>
              <w:top w:val="nil"/>
              <w:left w:val="nil"/>
              <w:bottom w:val="single" w:sz="4" w:space="0" w:color="auto"/>
              <w:right w:val="single" w:sz="4" w:space="0" w:color="auto"/>
            </w:tcBorders>
            <w:noWrap/>
            <w:hideMark/>
          </w:tcPr>
          <w:p w14:paraId="575FA3F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59 342</w:t>
            </w:r>
          </w:p>
        </w:tc>
      </w:tr>
      <w:tr w:rsidR="00107665" w:rsidRPr="00631C1C" w14:paraId="2037761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52B2AE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150</w:t>
            </w:r>
          </w:p>
        </w:tc>
        <w:tc>
          <w:tcPr>
            <w:tcW w:w="2431" w:type="dxa"/>
            <w:tcBorders>
              <w:top w:val="nil"/>
              <w:left w:val="nil"/>
              <w:bottom w:val="single" w:sz="4" w:space="0" w:color="auto"/>
              <w:right w:val="single" w:sz="4" w:space="0" w:color="auto"/>
            </w:tcBorders>
            <w:noWrap/>
            <w:hideMark/>
          </w:tcPr>
          <w:p w14:paraId="341A0C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Швейцария</w:t>
            </w:r>
          </w:p>
        </w:tc>
        <w:tc>
          <w:tcPr>
            <w:tcW w:w="1418" w:type="dxa"/>
            <w:tcBorders>
              <w:top w:val="nil"/>
              <w:left w:val="nil"/>
              <w:bottom w:val="single" w:sz="4" w:space="0" w:color="auto"/>
              <w:right w:val="single" w:sz="4" w:space="0" w:color="auto"/>
            </w:tcBorders>
            <w:noWrap/>
            <w:hideMark/>
          </w:tcPr>
          <w:p w14:paraId="66520A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1,029</w:t>
            </w:r>
          </w:p>
        </w:tc>
        <w:tc>
          <w:tcPr>
            <w:tcW w:w="1417" w:type="dxa"/>
            <w:tcBorders>
              <w:top w:val="nil"/>
              <w:left w:val="nil"/>
              <w:bottom w:val="single" w:sz="4" w:space="0" w:color="auto"/>
              <w:right w:val="single" w:sz="4" w:space="0" w:color="auto"/>
            </w:tcBorders>
            <w:noWrap/>
            <w:hideMark/>
          </w:tcPr>
          <w:p w14:paraId="74789F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1,0386</w:t>
            </w:r>
          </w:p>
        </w:tc>
        <w:tc>
          <w:tcPr>
            <w:tcW w:w="1073" w:type="dxa"/>
            <w:tcBorders>
              <w:top w:val="nil"/>
              <w:left w:val="nil"/>
              <w:bottom w:val="single" w:sz="4" w:space="0" w:color="auto"/>
              <w:right w:val="single" w:sz="4" w:space="0" w:color="auto"/>
            </w:tcBorders>
            <w:noWrap/>
            <w:hideMark/>
          </w:tcPr>
          <w:p w14:paraId="529C0B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32 023</w:t>
            </w:r>
          </w:p>
        </w:tc>
        <w:tc>
          <w:tcPr>
            <w:tcW w:w="1053" w:type="dxa"/>
            <w:tcBorders>
              <w:top w:val="nil"/>
              <w:left w:val="nil"/>
              <w:bottom w:val="single" w:sz="4" w:space="0" w:color="auto"/>
              <w:right w:val="single" w:sz="4" w:space="0" w:color="auto"/>
            </w:tcBorders>
            <w:noWrap/>
            <w:hideMark/>
          </w:tcPr>
          <w:p w14:paraId="476F6DF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42 263</w:t>
            </w:r>
          </w:p>
        </w:tc>
        <w:tc>
          <w:tcPr>
            <w:tcW w:w="1553" w:type="dxa"/>
            <w:tcBorders>
              <w:top w:val="nil"/>
              <w:left w:val="nil"/>
              <w:bottom w:val="single" w:sz="4" w:space="0" w:color="auto"/>
              <w:right w:val="single" w:sz="4" w:space="0" w:color="auto"/>
            </w:tcBorders>
            <w:noWrap/>
            <w:hideMark/>
          </w:tcPr>
          <w:p w14:paraId="18DAE2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74 286</w:t>
            </w:r>
          </w:p>
        </w:tc>
      </w:tr>
      <w:tr w:rsidR="00107665" w:rsidRPr="00631C1C" w14:paraId="3234CC3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ABA4FB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151</w:t>
            </w:r>
          </w:p>
        </w:tc>
        <w:tc>
          <w:tcPr>
            <w:tcW w:w="2431" w:type="dxa"/>
            <w:tcBorders>
              <w:top w:val="nil"/>
              <w:left w:val="nil"/>
              <w:bottom w:val="single" w:sz="4" w:space="0" w:color="auto"/>
              <w:right w:val="single" w:sz="4" w:space="0" w:color="auto"/>
            </w:tcBorders>
            <w:noWrap/>
            <w:hideMark/>
          </w:tcPr>
          <w:p w14:paraId="2891B1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Турция</w:t>
            </w:r>
          </w:p>
        </w:tc>
        <w:tc>
          <w:tcPr>
            <w:tcW w:w="1418" w:type="dxa"/>
            <w:tcBorders>
              <w:top w:val="nil"/>
              <w:left w:val="nil"/>
              <w:bottom w:val="single" w:sz="4" w:space="0" w:color="auto"/>
              <w:right w:val="single" w:sz="4" w:space="0" w:color="auto"/>
            </w:tcBorders>
            <w:noWrap/>
            <w:hideMark/>
          </w:tcPr>
          <w:p w14:paraId="7841D3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0,685</w:t>
            </w:r>
          </w:p>
        </w:tc>
        <w:tc>
          <w:tcPr>
            <w:tcW w:w="1417" w:type="dxa"/>
            <w:tcBorders>
              <w:top w:val="nil"/>
              <w:left w:val="nil"/>
              <w:bottom w:val="single" w:sz="4" w:space="0" w:color="auto"/>
              <w:right w:val="single" w:sz="4" w:space="0" w:color="auto"/>
            </w:tcBorders>
            <w:noWrap/>
            <w:hideMark/>
          </w:tcPr>
          <w:p w14:paraId="105614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0,6914</w:t>
            </w:r>
          </w:p>
        </w:tc>
        <w:tc>
          <w:tcPr>
            <w:tcW w:w="1073" w:type="dxa"/>
            <w:tcBorders>
              <w:top w:val="nil"/>
              <w:left w:val="nil"/>
              <w:bottom w:val="single" w:sz="4" w:space="0" w:color="auto"/>
              <w:right w:val="single" w:sz="4" w:space="0" w:color="auto"/>
            </w:tcBorders>
            <w:noWrap/>
            <w:hideMark/>
          </w:tcPr>
          <w:p w14:paraId="51505B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21 318</w:t>
            </w:r>
          </w:p>
        </w:tc>
        <w:tc>
          <w:tcPr>
            <w:tcW w:w="1053" w:type="dxa"/>
            <w:tcBorders>
              <w:top w:val="nil"/>
              <w:left w:val="nil"/>
              <w:bottom w:val="single" w:sz="4" w:space="0" w:color="auto"/>
              <w:right w:val="single" w:sz="4" w:space="0" w:color="auto"/>
            </w:tcBorders>
            <w:noWrap/>
            <w:hideMark/>
          </w:tcPr>
          <w:p w14:paraId="12D18D4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28 134</w:t>
            </w:r>
          </w:p>
        </w:tc>
        <w:tc>
          <w:tcPr>
            <w:tcW w:w="1553" w:type="dxa"/>
            <w:tcBorders>
              <w:top w:val="nil"/>
              <w:left w:val="nil"/>
              <w:bottom w:val="single" w:sz="4" w:space="0" w:color="auto"/>
              <w:right w:val="single" w:sz="4" w:space="0" w:color="auto"/>
            </w:tcBorders>
            <w:noWrap/>
            <w:hideMark/>
          </w:tcPr>
          <w:p w14:paraId="0C263E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49 452</w:t>
            </w:r>
          </w:p>
        </w:tc>
      </w:tr>
      <w:tr w:rsidR="00107665" w:rsidRPr="00631C1C" w14:paraId="311A3E7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E8A0D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152</w:t>
            </w:r>
          </w:p>
        </w:tc>
        <w:tc>
          <w:tcPr>
            <w:tcW w:w="2431" w:type="dxa"/>
            <w:tcBorders>
              <w:top w:val="nil"/>
              <w:left w:val="nil"/>
              <w:bottom w:val="single" w:sz="4" w:space="0" w:color="auto"/>
              <w:right w:val="single" w:sz="4" w:space="0" w:color="auto"/>
            </w:tcBorders>
            <w:noWrap/>
            <w:hideMark/>
          </w:tcPr>
          <w:p w14:paraId="01460C2E"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Pr>
                <w:color w:val="000000"/>
                <w:lang w:val="ru-RU"/>
              </w:rPr>
              <w:t>Соединенное Королевство Великобритании и Северной Ирландии</w:t>
            </w:r>
          </w:p>
        </w:tc>
        <w:tc>
          <w:tcPr>
            <w:tcW w:w="1418" w:type="dxa"/>
            <w:tcBorders>
              <w:top w:val="nil"/>
              <w:left w:val="nil"/>
              <w:bottom w:val="single" w:sz="4" w:space="0" w:color="auto"/>
              <w:right w:val="single" w:sz="4" w:space="0" w:color="auto"/>
            </w:tcBorders>
            <w:noWrap/>
            <w:vAlign w:val="bottom"/>
            <w:hideMark/>
          </w:tcPr>
          <w:p w14:paraId="774DFF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3,991</w:t>
            </w:r>
          </w:p>
        </w:tc>
        <w:tc>
          <w:tcPr>
            <w:tcW w:w="1417" w:type="dxa"/>
            <w:tcBorders>
              <w:top w:val="nil"/>
              <w:left w:val="nil"/>
              <w:bottom w:val="single" w:sz="4" w:space="0" w:color="auto"/>
              <w:right w:val="single" w:sz="4" w:space="0" w:color="auto"/>
            </w:tcBorders>
            <w:noWrap/>
            <w:vAlign w:val="bottom"/>
            <w:hideMark/>
          </w:tcPr>
          <w:p w14:paraId="065293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4,0282</w:t>
            </w:r>
          </w:p>
        </w:tc>
        <w:tc>
          <w:tcPr>
            <w:tcW w:w="1073" w:type="dxa"/>
            <w:tcBorders>
              <w:top w:val="nil"/>
              <w:left w:val="nil"/>
              <w:bottom w:val="single" w:sz="4" w:space="0" w:color="auto"/>
              <w:right w:val="single" w:sz="4" w:space="0" w:color="auto"/>
            </w:tcBorders>
            <w:noWrap/>
            <w:vAlign w:val="bottom"/>
            <w:hideMark/>
          </w:tcPr>
          <w:p w14:paraId="28EFA1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124 202</w:t>
            </w:r>
          </w:p>
        </w:tc>
        <w:tc>
          <w:tcPr>
            <w:tcW w:w="1053" w:type="dxa"/>
            <w:tcBorders>
              <w:top w:val="nil"/>
              <w:left w:val="nil"/>
              <w:bottom w:val="single" w:sz="4" w:space="0" w:color="auto"/>
              <w:right w:val="single" w:sz="4" w:space="0" w:color="auto"/>
            </w:tcBorders>
            <w:noWrap/>
            <w:vAlign w:val="bottom"/>
            <w:hideMark/>
          </w:tcPr>
          <w:p w14:paraId="0C12CB7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163 917</w:t>
            </w:r>
          </w:p>
        </w:tc>
        <w:tc>
          <w:tcPr>
            <w:tcW w:w="1553" w:type="dxa"/>
            <w:tcBorders>
              <w:top w:val="nil"/>
              <w:left w:val="nil"/>
              <w:bottom w:val="single" w:sz="4" w:space="0" w:color="auto"/>
              <w:right w:val="single" w:sz="4" w:space="0" w:color="auto"/>
            </w:tcBorders>
            <w:noWrap/>
            <w:vAlign w:val="bottom"/>
            <w:hideMark/>
          </w:tcPr>
          <w:p w14:paraId="48138D2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288 119</w:t>
            </w:r>
          </w:p>
        </w:tc>
      </w:tr>
      <w:tr w:rsidR="00107665" w:rsidRPr="00631C1C" w14:paraId="3A83622D" w14:textId="77777777" w:rsidTr="00213E9B">
        <w:trPr>
          <w:trHeight w:val="300"/>
          <w:jc w:val="right"/>
        </w:trPr>
        <w:tc>
          <w:tcPr>
            <w:tcW w:w="541" w:type="dxa"/>
            <w:tcBorders>
              <w:top w:val="nil"/>
              <w:left w:val="single" w:sz="4" w:space="0" w:color="auto"/>
              <w:bottom w:val="single" w:sz="4" w:space="0" w:color="auto"/>
              <w:right w:val="single" w:sz="4" w:space="0" w:color="auto"/>
            </w:tcBorders>
            <w:noWrap/>
            <w:hideMark/>
          </w:tcPr>
          <w:p w14:paraId="56DA87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153</w:t>
            </w:r>
          </w:p>
        </w:tc>
        <w:tc>
          <w:tcPr>
            <w:tcW w:w="2431" w:type="dxa"/>
            <w:tcBorders>
              <w:top w:val="nil"/>
              <w:left w:val="nil"/>
              <w:bottom w:val="single" w:sz="4" w:space="0" w:color="auto"/>
              <w:right w:val="single" w:sz="4" w:space="0" w:color="auto"/>
            </w:tcBorders>
            <w:noWrap/>
            <w:hideMark/>
          </w:tcPr>
          <w:p w14:paraId="1882F1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Соединенные Штаты Америки</w:t>
            </w:r>
          </w:p>
        </w:tc>
        <w:tc>
          <w:tcPr>
            <w:tcW w:w="1418" w:type="dxa"/>
            <w:tcBorders>
              <w:top w:val="nil"/>
              <w:left w:val="nil"/>
              <w:bottom w:val="single" w:sz="4" w:space="0" w:color="auto"/>
              <w:right w:val="single" w:sz="4" w:space="0" w:color="auto"/>
            </w:tcBorders>
            <w:noWrap/>
            <w:vAlign w:val="bottom"/>
            <w:hideMark/>
          </w:tcPr>
          <w:p w14:paraId="726DDF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22</w:t>
            </w:r>
          </w:p>
        </w:tc>
        <w:tc>
          <w:tcPr>
            <w:tcW w:w="1417" w:type="dxa"/>
            <w:tcBorders>
              <w:top w:val="nil"/>
              <w:left w:val="nil"/>
              <w:bottom w:val="single" w:sz="4" w:space="0" w:color="auto"/>
              <w:right w:val="single" w:sz="4" w:space="0" w:color="auto"/>
            </w:tcBorders>
            <w:noWrap/>
            <w:vAlign w:val="bottom"/>
            <w:hideMark/>
          </w:tcPr>
          <w:p w14:paraId="7C2A7E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22,0000</w:t>
            </w:r>
          </w:p>
        </w:tc>
        <w:tc>
          <w:tcPr>
            <w:tcW w:w="1073" w:type="dxa"/>
            <w:tcBorders>
              <w:top w:val="nil"/>
              <w:left w:val="nil"/>
              <w:bottom w:val="single" w:sz="4" w:space="0" w:color="auto"/>
              <w:right w:val="single" w:sz="4" w:space="0" w:color="auto"/>
            </w:tcBorders>
            <w:noWrap/>
            <w:vAlign w:val="bottom"/>
            <w:hideMark/>
          </w:tcPr>
          <w:p w14:paraId="0545185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678 337</w:t>
            </w:r>
          </w:p>
        </w:tc>
        <w:tc>
          <w:tcPr>
            <w:tcW w:w="1053" w:type="dxa"/>
            <w:tcBorders>
              <w:top w:val="nil"/>
              <w:left w:val="nil"/>
              <w:bottom w:val="single" w:sz="4" w:space="0" w:color="auto"/>
              <w:right w:val="single" w:sz="4" w:space="0" w:color="auto"/>
            </w:tcBorders>
            <w:noWrap/>
            <w:vAlign w:val="bottom"/>
            <w:hideMark/>
          </w:tcPr>
          <w:p w14:paraId="46C2F7C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895 240</w:t>
            </w:r>
          </w:p>
        </w:tc>
        <w:tc>
          <w:tcPr>
            <w:tcW w:w="1553" w:type="dxa"/>
            <w:tcBorders>
              <w:top w:val="nil"/>
              <w:left w:val="nil"/>
              <w:bottom w:val="single" w:sz="4" w:space="0" w:color="auto"/>
              <w:right w:val="single" w:sz="4" w:space="0" w:color="auto"/>
            </w:tcBorders>
            <w:noWrap/>
            <w:vAlign w:val="bottom"/>
            <w:hideMark/>
          </w:tcPr>
          <w:p w14:paraId="40A9508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1 573 577</w:t>
            </w:r>
          </w:p>
        </w:tc>
      </w:tr>
      <w:tr w:rsidR="00107665" w:rsidRPr="00631C1C" w14:paraId="6E583D7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D5A19F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sidRPr="00631C1C">
              <w:rPr>
                <w:color w:val="000000"/>
                <w:szCs w:val="18"/>
              </w:rPr>
              <w:t> </w:t>
            </w:r>
          </w:p>
        </w:tc>
        <w:tc>
          <w:tcPr>
            <w:tcW w:w="2431" w:type="dxa"/>
            <w:tcBorders>
              <w:top w:val="nil"/>
              <w:left w:val="nil"/>
              <w:bottom w:val="single" w:sz="4" w:space="0" w:color="auto"/>
              <w:right w:val="single" w:sz="4" w:space="0" w:color="auto"/>
            </w:tcBorders>
            <w:shd w:val="clear" w:color="000000" w:fill="DBB731"/>
            <w:noWrap/>
            <w:hideMark/>
          </w:tcPr>
          <w:p w14:paraId="64A3B6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Начисленные взносы, всего</w:t>
            </w:r>
          </w:p>
        </w:tc>
        <w:tc>
          <w:tcPr>
            <w:tcW w:w="1418" w:type="dxa"/>
            <w:tcBorders>
              <w:top w:val="nil"/>
              <w:left w:val="nil"/>
              <w:bottom w:val="single" w:sz="4" w:space="0" w:color="auto"/>
              <w:right w:val="single" w:sz="4" w:space="0" w:color="auto"/>
            </w:tcBorders>
            <w:shd w:val="clear" w:color="000000" w:fill="DBB731"/>
            <w:noWrap/>
            <w:vAlign w:val="bottom"/>
            <w:hideMark/>
          </w:tcPr>
          <w:p w14:paraId="77ABC9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1417" w:type="dxa"/>
            <w:tcBorders>
              <w:top w:val="nil"/>
              <w:left w:val="nil"/>
              <w:bottom w:val="single" w:sz="4" w:space="0" w:color="auto"/>
              <w:right w:val="single" w:sz="4" w:space="0" w:color="auto"/>
            </w:tcBorders>
            <w:shd w:val="clear" w:color="000000" w:fill="DBB731"/>
            <w:noWrap/>
            <w:vAlign w:val="bottom"/>
            <w:hideMark/>
          </w:tcPr>
          <w:p w14:paraId="146C85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100</w:t>
            </w:r>
          </w:p>
        </w:tc>
        <w:tc>
          <w:tcPr>
            <w:tcW w:w="1073" w:type="dxa"/>
            <w:tcBorders>
              <w:top w:val="nil"/>
              <w:left w:val="nil"/>
              <w:bottom w:val="single" w:sz="4" w:space="0" w:color="auto"/>
              <w:right w:val="single" w:sz="4" w:space="0" w:color="auto"/>
            </w:tcBorders>
            <w:shd w:val="clear" w:color="000000" w:fill="DBB731"/>
            <w:noWrap/>
            <w:vAlign w:val="bottom"/>
            <w:hideMark/>
          </w:tcPr>
          <w:p w14:paraId="2238DB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3 083 350</w:t>
            </w:r>
          </w:p>
        </w:tc>
        <w:tc>
          <w:tcPr>
            <w:tcW w:w="1053" w:type="dxa"/>
            <w:tcBorders>
              <w:top w:val="nil"/>
              <w:left w:val="nil"/>
              <w:bottom w:val="single" w:sz="4" w:space="0" w:color="auto"/>
              <w:right w:val="single" w:sz="4" w:space="0" w:color="auto"/>
            </w:tcBorders>
            <w:shd w:val="clear" w:color="000000" w:fill="DBB731"/>
            <w:noWrap/>
            <w:vAlign w:val="bottom"/>
            <w:hideMark/>
          </w:tcPr>
          <w:p w14:paraId="7A54208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4 069 275</w:t>
            </w:r>
          </w:p>
        </w:tc>
        <w:tc>
          <w:tcPr>
            <w:tcW w:w="1553" w:type="dxa"/>
            <w:tcBorders>
              <w:top w:val="nil"/>
              <w:left w:val="nil"/>
              <w:bottom w:val="single" w:sz="4" w:space="0" w:color="auto"/>
              <w:right w:val="single" w:sz="4" w:space="0" w:color="auto"/>
            </w:tcBorders>
            <w:shd w:val="clear" w:color="000000" w:fill="DBB731"/>
            <w:noWrap/>
            <w:vAlign w:val="bottom"/>
            <w:hideMark/>
          </w:tcPr>
          <w:p w14:paraId="0870E6F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7 152 625</w:t>
            </w:r>
          </w:p>
        </w:tc>
      </w:tr>
      <w:tr w:rsidR="00107665" w:rsidRPr="00631C1C" w14:paraId="19D2CAB6" w14:textId="77777777" w:rsidTr="008110A8">
        <w:trPr>
          <w:trHeight w:val="300"/>
          <w:jc w:val="right"/>
        </w:trPr>
        <w:tc>
          <w:tcPr>
            <w:tcW w:w="541" w:type="dxa"/>
            <w:tcBorders>
              <w:top w:val="single" w:sz="4" w:space="0" w:color="auto"/>
              <w:left w:val="single" w:sz="4" w:space="0" w:color="auto"/>
              <w:bottom w:val="single" w:sz="12" w:space="0" w:color="auto"/>
              <w:right w:val="single" w:sz="4" w:space="0" w:color="auto"/>
            </w:tcBorders>
            <w:noWrap/>
            <w:hideMark/>
          </w:tcPr>
          <w:p w14:paraId="4A3A9B2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sidRPr="00631C1C">
              <w:rPr>
                <w:color w:val="000000"/>
                <w:szCs w:val="18"/>
              </w:rPr>
              <w:t> </w:t>
            </w:r>
          </w:p>
        </w:tc>
        <w:tc>
          <w:tcPr>
            <w:tcW w:w="2431" w:type="dxa"/>
            <w:tcBorders>
              <w:top w:val="single" w:sz="4" w:space="0" w:color="auto"/>
              <w:left w:val="nil"/>
              <w:bottom w:val="single" w:sz="12" w:space="0" w:color="auto"/>
              <w:right w:val="single" w:sz="4" w:space="0" w:color="auto"/>
            </w:tcBorders>
            <w:shd w:val="clear" w:color="000000" w:fill="DBB731"/>
            <w:noWrap/>
            <w:hideMark/>
          </w:tcPr>
          <w:p w14:paraId="455F0581"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r>
              <w:rPr>
                <w:b/>
                <w:bCs/>
                <w:color w:val="000000"/>
                <w:lang w:val="ru-RU"/>
              </w:rPr>
              <w:t>Утвержденный бюджет, всего (включая взнос принимающей страны*)</w:t>
            </w:r>
          </w:p>
        </w:tc>
        <w:tc>
          <w:tcPr>
            <w:tcW w:w="1418" w:type="dxa"/>
            <w:tcBorders>
              <w:top w:val="single" w:sz="4" w:space="0" w:color="auto"/>
              <w:left w:val="nil"/>
              <w:bottom w:val="single" w:sz="12" w:space="0" w:color="auto"/>
              <w:right w:val="single" w:sz="4" w:space="0" w:color="auto"/>
            </w:tcBorders>
            <w:shd w:val="clear" w:color="000000" w:fill="DBB731"/>
            <w:noWrap/>
            <w:vAlign w:val="bottom"/>
            <w:hideMark/>
          </w:tcPr>
          <w:p w14:paraId="6962F3A3"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p>
        </w:tc>
        <w:tc>
          <w:tcPr>
            <w:tcW w:w="1417" w:type="dxa"/>
            <w:tcBorders>
              <w:top w:val="single" w:sz="4" w:space="0" w:color="auto"/>
              <w:left w:val="nil"/>
              <w:bottom w:val="single" w:sz="12" w:space="0" w:color="auto"/>
              <w:right w:val="single" w:sz="4" w:space="0" w:color="auto"/>
            </w:tcBorders>
            <w:shd w:val="clear" w:color="000000" w:fill="DBB731"/>
            <w:noWrap/>
            <w:vAlign w:val="bottom"/>
            <w:hideMark/>
          </w:tcPr>
          <w:p w14:paraId="1429A2E3"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p>
        </w:tc>
        <w:tc>
          <w:tcPr>
            <w:tcW w:w="1073" w:type="dxa"/>
            <w:tcBorders>
              <w:top w:val="single" w:sz="4" w:space="0" w:color="auto"/>
              <w:left w:val="nil"/>
              <w:bottom w:val="single" w:sz="12" w:space="0" w:color="auto"/>
              <w:right w:val="single" w:sz="4" w:space="0" w:color="auto"/>
            </w:tcBorders>
            <w:shd w:val="clear" w:color="000000" w:fill="DBB731"/>
            <w:noWrap/>
            <w:vAlign w:val="bottom"/>
            <w:hideMark/>
          </w:tcPr>
          <w:p w14:paraId="1C5A9C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3 727 934</w:t>
            </w:r>
          </w:p>
        </w:tc>
        <w:tc>
          <w:tcPr>
            <w:tcW w:w="1053" w:type="dxa"/>
            <w:tcBorders>
              <w:top w:val="single" w:sz="4" w:space="0" w:color="auto"/>
              <w:left w:val="nil"/>
              <w:bottom w:val="single" w:sz="12" w:space="0" w:color="auto"/>
              <w:right w:val="single" w:sz="4" w:space="0" w:color="auto"/>
            </w:tcBorders>
            <w:shd w:val="clear" w:color="000000" w:fill="DBB731"/>
            <w:noWrap/>
            <w:vAlign w:val="bottom"/>
            <w:hideMark/>
          </w:tcPr>
          <w:p w14:paraId="5B3E69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4 703 619</w:t>
            </w:r>
          </w:p>
        </w:tc>
        <w:tc>
          <w:tcPr>
            <w:tcW w:w="1553" w:type="dxa"/>
            <w:tcBorders>
              <w:top w:val="single" w:sz="4" w:space="0" w:color="auto"/>
              <w:left w:val="nil"/>
              <w:bottom w:val="single" w:sz="12" w:space="0" w:color="auto"/>
              <w:right w:val="single" w:sz="4" w:space="0" w:color="auto"/>
            </w:tcBorders>
            <w:shd w:val="clear" w:color="000000" w:fill="DBB731"/>
            <w:noWrap/>
            <w:vAlign w:val="bottom"/>
            <w:hideMark/>
          </w:tcPr>
          <w:p w14:paraId="04610A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8 431 553</w:t>
            </w:r>
          </w:p>
        </w:tc>
      </w:tr>
    </w:tbl>
    <w:p w14:paraId="46B767F5" w14:textId="77777777" w:rsidR="00107665" w:rsidRPr="00213E9B" w:rsidRDefault="00107665" w:rsidP="008110A8">
      <w:pPr>
        <w:tabs>
          <w:tab w:val="clear" w:pos="1247"/>
          <w:tab w:val="clear" w:pos="1814"/>
          <w:tab w:val="clear" w:pos="2381"/>
          <w:tab w:val="clear" w:pos="2948"/>
          <w:tab w:val="clear" w:pos="3515"/>
        </w:tabs>
        <w:spacing w:before="40"/>
        <w:ind w:left="1247"/>
        <w:rPr>
          <w:rFonts w:asciiTheme="majorBidi" w:hAnsiTheme="majorBidi" w:cstheme="majorBidi"/>
          <w:sz w:val="16"/>
          <w:szCs w:val="16"/>
        </w:rPr>
      </w:pPr>
      <w:r>
        <w:rPr>
          <w:lang w:val="ru-RU"/>
        </w:rPr>
        <w:tab/>
      </w:r>
      <w:r w:rsidRPr="00213E9B">
        <w:rPr>
          <w:sz w:val="18"/>
          <w:szCs w:val="18"/>
          <w:lang w:val="ru-RU"/>
        </w:rPr>
        <w:t>* Включает сметный взнос принимающей страны (Швейцария) в Общий целевой фонд в долл. США.</w:t>
      </w:r>
    </w:p>
    <w:p w14:paraId="051BF28E" w14:textId="77777777" w:rsidR="00107665" w:rsidRPr="00631C1C" w:rsidRDefault="00107665" w:rsidP="008110A8">
      <w:pPr>
        <w:tabs>
          <w:tab w:val="clear" w:pos="1247"/>
          <w:tab w:val="clear" w:pos="1814"/>
          <w:tab w:val="clear" w:pos="2381"/>
          <w:tab w:val="clear" w:pos="2948"/>
          <w:tab w:val="clear" w:pos="3515"/>
        </w:tabs>
        <w:rPr>
          <w:rFonts w:asciiTheme="majorBidi" w:hAnsiTheme="majorBidi" w:cstheme="majorBidi"/>
        </w:rPr>
      </w:pPr>
      <w:r w:rsidRPr="00631C1C">
        <w:rPr>
          <w:rFonts w:asciiTheme="majorBidi" w:hAnsiTheme="majorBidi" w:cstheme="majorBidi"/>
        </w:rPr>
        <w:br w:type="page"/>
      </w:r>
    </w:p>
    <w:p w14:paraId="1C34EF2E" w14:textId="3A486A8B" w:rsidR="00107665" w:rsidRPr="00107665" w:rsidRDefault="00107665" w:rsidP="00DD470C">
      <w:pPr>
        <w:pStyle w:val="Titletable"/>
        <w:tabs>
          <w:tab w:val="clear" w:pos="624"/>
          <w:tab w:val="clear" w:pos="1247"/>
          <w:tab w:val="clear" w:pos="1871"/>
          <w:tab w:val="clear" w:pos="2495"/>
          <w:tab w:val="clear" w:pos="3119"/>
          <w:tab w:val="clear" w:pos="3742"/>
          <w:tab w:val="clear" w:pos="4366"/>
          <w:tab w:val="clear" w:pos="4990"/>
        </w:tabs>
        <w:rPr>
          <w:rFonts w:asciiTheme="majorBidi" w:hAnsiTheme="majorBidi" w:cstheme="majorBidi"/>
          <w:b w:val="0"/>
          <w:bCs w:val="0"/>
          <w:lang w:val="ru-RU"/>
        </w:rPr>
      </w:pPr>
      <w:r w:rsidRPr="00DD470C">
        <w:rPr>
          <w:b w:val="0"/>
          <w:bCs w:val="0"/>
          <w:lang w:val="ru-RU"/>
        </w:rPr>
        <w:lastRenderedPageBreak/>
        <w:t>Таблица 3</w:t>
      </w:r>
      <w:r>
        <w:rPr>
          <w:lang w:val="ru-RU"/>
        </w:rPr>
        <w:t xml:space="preserve"> </w:t>
      </w:r>
      <w:r w:rsidR="00DD470C">
        <w:rPr>
          <w:lang w:val="ru-RU"/>
        </w:rPr>
        <w:br/>
      </w:r>
      <w:r>
        <w:rPr>
          <w:lang w:val="ru-RU"/>
        </w:rPr>
        <w:t>Ориентировочное штатное расписание секретариата на двухгодичный период 2026</w:t>
      </w:r>
      <w:r w:rsidR="00AD32CF">
        <w:rPr>
          <w:lang w:val="ru-RU"/>
        </w:rPr>
        <w:noBreakHyphen/>
      </w:r>
      <w:r>
        <w:rPr>
          <w:lang w:val="ru-RU"/>
        </w:rPr>
        <w:t>2027</w:t>
      </w:r>
      <w:r w:rsidR="00AD32CF">
        <w:rPr>
          <w:lang w:val="ru-RU"/>
        </w:rPr>
        <w:t> </w:t>
      </w:r>
      <w:r>
        <w:rPr>
          <w:lang w:val="ru-RU"/>
        </w:rPr>
        <w:t>годов</w:t>
      </w:r>
    </w:p>
    <w:tbl>
      <w:tblPr>
        <w:tblW w:w="8307" w:type="dxa"/>
        <w:jc w:val="right"/>
        <w:tblLayout w:type="fixed"/>
        <w:tblLook w:val="04A0" w:firstRow="1" w:lastRow="0" w:firstColumn="1" w:lastColumn="0" w:noHBand="0" w:noVBand="1"/>
      </w:tblPr>
      <w:tblGrid>
        <w:gridCol w:w="2410"/>
        <w:gridCol w:w="1198"/>
        <w:gridCol w:w="1426"/>
        <w:gridCol w:w="1842"/>
        <w:gridCol w:w="1431"/>
      </w:tblGrid>
      <w:tr w:rsidR="00107665" w:rsidRPr="00AD32CF" w14:paraId="10617B68" w14:textId="77777777" w:rsidTr="00F457EE">
        <w:trPr>
          <w:trHeight w:val="316"/>
          <w:jc w:val="right"/>
        </w:trPr>
        <w:tc>
          <w:tcPr>
            <w:tcW w:w="2410" w:type="dxa"/>
            <w:tcBorders>
              <w:top w:val="single" w:sz="4" w:space="0" w:color="auto"/>
              <w:left w:val="nil"/>
              <w:bottom w:val="single" w:sz="12" w:space="0" w:color="auto"/>
              <w:right w:val="nil"/>
            </w:tcBorders>
            <w:noWrap/>
            <w:vAlign w:val="bottom"/>
            <w:hideMark/>
          </w:tcPr>
          <w:p w14:paraId="35C87707" w14:textId="77777777" w:rsidR="00107665" w:rsidRPr="00AD32CF" w:rsidRDefault="00107665" w:rsidP="00DD470C">
            <w:pPr>
              <w:tabs>
                <w:tab w:val="clear" w:pos="1247"/>
                <w:tab w:val="clear" w:pos="1814"/>
                <w:tab w:val="clear" w:pos="2381"/>
                <w:tab w:val="clear" w:pos="2948"/>
                <w:tab w:val="clear" w:pos="3515"/>
              </w:tabs>
              <w:spacing w:before="40" w:after="40"/>
              <w:jc w:val="center"/>
              <w:rPr>
                <w:i/>
                <w:iCs/>
                <w:sz w:val="18"/>
                <w:szCs w:val="18"/>
              </w:rPr>
            </w:pPr>
            <w:r w:rsidRPr="00AD32CF">
              <w:rPr>
                <w:i/>
                <w:iCs/>
                <w:color w:val="000000"/>
                <w:sz w:val="18"/>
                <w:szCs w:val="18"/>
                <w:lang w:val="ru-RU"/>
              </w:rPr>
              <w:t>Категория и уровень сотрудников</w:t>
            </w:r>
          </w:p>
        </w:tc>
        <w:tc>
          <w:tcPr>
            <w:tcW w:w="1198" w:type="dxa"/>
            <w:tcBorders>
              <w:top w:val="single" w:sz="4" w:space="0" w:color="auto"/>
              <w:left w:val="nil"/>
              <w:bottom w:val="single" w:sz="12" w:space="0" w:color="auto"/>
              <w:right w:val="nil"/>
            </w:tcBorders>
            <w:vAlign w:val="bottom"/>
            <w:hideMark/>
          </w:tcPr>
          <w:p w14:paraId="668B0DAC" w14:textId="77777777" w:rsidR="00107665" w:rsidRPr="00AD32CF" w:rsidRDefault="00107665" w:rsidP="00DD470C">
            <w:pPr>
              <w:tabs>
                <w:tab w:val="clear" w:pos="1247"/>
                <w:tab w:val="clear" w:pos="1814"/>
                <w:tab w:val="clear" w:pos="2381"/>
                <w:tab w:val="clear" w:pos="2948"/>
                <w:tab w:val="clear" w:pos="3515"/>
              </w:tabs>
              <w:spacing w:before="40" w:after="40"/>
              <w:jc w:val="right"/>
              <w:rPr>
                <w:i/>
                <w:iCs/>
                <w:sz w:val="18"/>
                <w:szCs w:val="18"/>
              </w:rPr>
            </w:pPr>
            <w:r w:rsidRPr="00AD32CF">
              <w:rPr>
                <w:i/>
                <w:iCs/>
                <w:color w:val="000000"/>
                <w:sz w:val="18"/>
                <w:szCs w:val="18"/>
                <w:lang w:val="ru-RU"/>
              </w:rPr>
              <w:t>Общий целевой фонд</w:t>
            </w:r>
          </w:p>
        </w:tc>
        <w:tc>
          <w:tcPr>
            <w:tcW w:w="1426" w:type="dxa"/>
            <w:tcBorders>
              <w:top w:val="single" w:sz="4" w:space="0" w:color="auto"/>
              <w:left w:val="nil"/>
              <w:bottom w:val="single" w:sz="12" w:space="0" w:color="auto"/>
              <w:right w:val="nil"/>
            </w:tcBorders>
            <w:vAlign w:val="bottom"/>
            <w:hideMark/>
          </w:tcPr>
          <w:p w14:paraId="7F988048" w14:textId="77777777" w:rsidR="00107665" w:rsidRPr="00AD32CF" w:rsidRDefault="00107665" w:rsidP="00DD470C">
            <w:pPr>
              <w:tabs>
                <w:tab w:val="clear" w:pos="1247"/>
                <w:tab w:val="clear" w:pos="1814"/>
                <w:tab w:val="clear" w:pos="2381"/>
                <w:tab w:val="clear" w:pos="2948"/>
                <w:tab w:val="clear" w:pos="3515"/>
              </w:tabs>
              <w:spacing w:before="40" w:after="40"/>
              <w:jc w:val="right"/>
              <w:rPr>
                <w:i/>
                <w:iCs/>
                <w:sz w:val="18"/>
                <w:szCs w:val="18"/>
              </w:rPr>
            </w:pPr>
            <w:r w:rsidRPr="00AD32CF">
              <w:rPr>
                <w:i/>
                <w:iCs/>
                <w:color w:val="000000"/>
                <w:sz w:val="18"/>
                <w:szCs w:val="18"/>
                <w:lang w:val="ru-RU"/>
              </w:rPr>
              <w:t>Специальный целевой фонд</w:t>
            </w:r>
          </w:p>
        </w:tc>
        <w:tc>
          <w:tcPr>
            <w:tcW w:w="1842" w:type="dxa"/>
            <w:tcBorders>
              <w:top w:val="single" w:sz="4" w:space="0" w:color="auto"/>
              <w:left w:val="nil"/>
              <w:bottom w:val="single" w:sz="12" w:space="0" w:color="auto"/>
              <w:right w:val="nil"/>
            </w:tcBorders>
            <w:vAlign w:val="bottom"/>
            <w:hideMark/>
          </w:tcPr>
          <w:p w14:paraId="187E5394" w14:textId="77777777" w:rsidR="00107665" w:rsidRPr="00AD32CF" w:rsidRDefault="00107665" w:rsidP="00DD470C">
            <w:pPr>
              <w:tabs>
                <w:tab w:val="clear" w:pos="1247"/>
                <w:tab w:val="clear" w:pos="1814"/>
                <w:tab w:val="clear" w:pos="2381"/>
                <w:tab w:val="clear" w:pos="2948"/>
                <w:tab w:val="clear" w:pos="3515"/>
              </w:tabs>
              <w:spacing w:before="40" w:after="40"/>
              <w:jc w:val="right"/>
              <w:rPr>
                <w:i/>
                <w:iCs/>
                <w:sz w:val="18"/>
                <w:szCs w:val="18"/>
                <w:lang w:val="ru-RU"/>
              </w:rPr>
            </w:pPr>
            <w:r w:rsidRPr="00AD32CF">
              <w:rPr>
                <w:i/>
                <w:iCs/>
                <w:color w:val="000000"/>
                <w:sz w:val="18"/>
                <w:szCs w:val="18"/>
                <w:lang w:val="ru-RU"/>
              </w:rPr>
              <w:t>Расходы на вспомогательное обслуживание программ, ЮНЕП</w:t>
            </w:r>
          </w:p>
        </w:tc>
        <w:tc>
          <w:tcPr>
            <w:tcW w:w="1431" w:type="dxa"/>
            <w:tcBorders>
              <w:top w:val="single" w:sz="4" w:space="0" w:color="auto"/>
              <w:left w:val="nil"/>
              <w:bottom w:val="single" w:sz="12" w:space="0" w:color="auto"/>
              <w:right w:val="nil"/>
            </w:tcBorders>
            <w:noWrap/>
            <w:vAlign w:val="bottom"/>
            <w:hideMark/>
          </w:tcPr>
          <w:p w14:paraId="41590D56" w14:textId="77777777" w:rsidR="00107665" w:rsidRPr="00AD32CF" w:rsidRDefault="00107665" w:rsidP="00DD470C">
            <w:pPr>
              <w:tabs>
                <w:tab w:val="clear" w:pos="1247"/>
                <w:tab w:val="clear" w:pos="1814"/>
                <w:tab w:val="clear" w:pos="2381"/>
                <w:tab w:val="clear" w:pos="2948"/>
                <w:tab w:val="clear" w:pos="3515"/>
              </w:tabs>
              <w:spacing w:before="40" w:after="40"/>
              <w:jc w:val="right"/>
              <w:rPr>
                <w:i/>
                <w:iCs/>
                <w:sz w:val="18"/>
                <w:szCs w:val="18"/>
              </w:rPr>
            </w:pPr>
            <w:r w:rsidRPr="00AD32CF">
              <w:rPr>
                <w:i/>
                <w:iCs/>
                <w:color w:val="000000"/>
                <w:sz w:val="18"/>
                <w:szCs w:val="18"/>
                <w:lang w:val="ru-RU"/>
              </w:rPr>
              <w:t>Всего</w:t>
            </w:r>
          </w:p>
        </w:tc>
      </w:tr>
      <w:tr w:rsidR="00107665" w:rsidRPr="00AD32CF" w14:paraId="3EBA2299" w14:textId="77777777" w:rsidTr="008E43FF">
        <w:trPr>
          <w:trHeight w:val="313"/>
          <w:jc w:val="right"/>
        </w:trPr>
        <w:tc>
          <w:tcPr>
            <w:tcW w:w="8307" w:type="dxa"/>
            <w:gridSpan w:val="5"/>
            <w:tcBorders>
              <w:top w:val="single" w:sz="12" w:space="0" w:color="auto"/>
              <w:left w:val="nil"/>
              <w:bottom w:val="nil"/>
              <w:right w:val="nil"/>
            </w:tcBorders>
            <w:noWrap/>
            <w:vAlign w:val="center"/>
            <w:hideMark/>
          </w:tcPr>
          <w:p w14:paraId="06C7EC1F"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A.</w:t>
            </w:r>
            <w:r w:rsidRPr="00AD32CF">
              <w:rPr>
                <w:color w:val="000000"/>
                <w:sz w:val="18"/>
                <w:szCs w:val="18"/>
                <w:lang w:val="ru-RU"/>
              </w:rPr>
              <w:t xml:space="preserve"> </w:t>
            </w:r>
            <w:r w:rsidRPr="00AD32CF">
              <w:rPr>
                <w:b/>
                <w:bCs/>
                <w:color w:val="000000"/>
                <w:sz w:val="18"/>
                <w:szCs w:val="18"/>
                <w:lang w:val="ru-RU"/>
              </w:rPr>
              <w:t>Категория специалистов</w:t>
            </w:r>
          </w:p>
        </w:tc>
      </w:tr>
      <w:tr w:rsidR="00107665" w:rsidRPr="00AD32CF" w14:paraId="51087B47" w14:textId="77777777" w:rsidTr="00F457EE">
        <w:trPr>
          <w:trHeight w:val="298"/>
          <w:jc w:val="right"/>
        </w:trPr>
        <w:tc>
          <w:tcPr>
            <w:tcW w:w="2410" w:type="dxa"/>
            <w:tcBorders>
              <w:top w:val="nil"/>
              <w:left w:val="nil"/>
              <w:bottom w:val="nil"/>
              <w:right w:val="nil"/>
            </w:tcBorders>
            <w:noWrap/>
            <w:vAlign w:val="center"/>
            <w:hideMark/>
          </w:tcPr>
          <w:p w14:paraId="05CE3069"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Д</w:t>
            </w:r>
            <w:r w:rsidRPr="00AD32CF">
              <w:rPr>
                <w:color w:val="000000"/>
                <w:sz w:val="18"/>
                <w:szCs w:val="18"/>
                <w:lang w:val="ru-RU"/>
              </w:rPr>
              <w:noBreakHyphen/>
              <w:t>1</w:t>
            </w:r>
          </w:p>
        </w:tc>
        <w:tc>
          <w:tcPr>
            <w:tcW w:w="1198" w:type="dxa"/>
            <w:tcBorders>
              <w:top w:val="nil"/>
              <w:left w:val="nil"/>
              <w:bottom w:val="nil"/>
              <w:right w:val="nil"/>
            </w:tcBorders>
            <w:noWrap/>
            <w:vAlign w:val="center"/>
            <w:hideMark/>
          </w:tcPr>
          <w:p w14:paraId="5223E40A"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26" w:type="dxa"/>
            <w:tcBorders>
              <w:top w:val="nil"/>
              <w:left w:val="nil"/>
              <w:bottom w:val="nil"/>
              <w:right w:val="nil"/>
            </w:tcBorders>
            <w:noWrap/>
            <w:vAlign w:val="center"/>
            <w:hideMark/>
          </w:tcPr>
          <w:p w14:paraId="45F040CE"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842" w:type="dxa"/>
            <w:tcBorders>
              <w:top w:val="nil"/>
              <w:left w:val="nil"/>
              <w:bottom w:val="nil"/>
              <w:right w:val="nil"/>
            </w:tcBorders>
            <w:noWrap/>
            <w:vAlign w:val="center"/>
            <w:hideMark/>
          </w:tcPr>
          <w:p w14:paraId="2CF2EB44"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
        </w:tc>
        <w:tc>
          <w:tcPr>
            <w:tcW w:w="1431" w:type="dxa"/>
            <w:tcBorders>
              <w:top w:val="nil"/>
              <w:left w:val="nil"/>
              <w:bottom w:val="nil"/>
              <w:right w:val="nil"/>
            </w:tcBorders>
            <w:noWrap/>
            <w:vAlign w:val="center"/>
            <w:hideMark/>
          </w:tcPr>
          <w:p w14:paraId="7E384DAA"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r>
      <w:tr w:rsidR="00107665" w:rsidRPr="00AD32CF" w14:paraId="23A7F94E" w14:textId="77777777" w:rsidTr="00F457EE">
        <w:trPr>
          <w:trHeight w:val="298"/>
          <w:jc w:val="right"/>
        </w:trPr>
        <w:tc>
          <w:tcPr>
            <w:tcW w:w="2410" w:type="dxa"/>
            <w:tcBorders>
              <w:top w:val="nil"/>
              <w:left w:val="nil"/>
              <w:bottom w:val="nil"/>
              <w:right w:val="nil"/>
            </w:tcBorders>
            <w:noWrap/>
            <w:vAlign w:val="center"/>
            <w:hideMark/>
          </w:tcPr>
          <w:p w14:paraId="4D6E2AD5"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С</w:t>
            </w:r>
            <w:r w:rsidRPr="00AD32CF">
              <w:rPr>
                <w:color w:val="000000"/>
                <w:sz w:val="18"/>
                <w:szCs w:val="18"/>
                <w:lang w:val="ru-RU"/>
              </w:rPr>
              <w:noBreakHyphen/>
              <w:t>5</w:t>
            </w:r>
          </w:p>
        </w:tc>
        <w:tc>
          <w:tcPr>
            <w:tcW w:w="1198" w:type="dxa"/>
            <w:tcBorders>
              <w:top w:val="nil"/>
              <w:left w:val="nil"/>
              <w:bottom w:val="nil"/>
              <w:right w:val="nil"/>
            </w:tcBorders>
            <w:noWrap/>
            <w:vAlign w:val="center"/>
            <w:hideMark/>
          </w:tcPr>
          <w:p w14:paraId="166E17A1"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26" w:type="dxa"/>
            <w:tcBorders>
              <w:top w:val="nil"/>
              <w:left w:val="nil"/>
              <w:bottom w:val="nil"/>
              <w:right w:val="nil"/>
            </w:tcBorders>
            <w:noWrap/>
            <w:vAlign w:val="center"/>
            <w:hideMark/>
          </w:tcPr>
          <w:p w14:paraId="188D44B2"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842" w:type="dxa"/>
            <w:tcBorders>
              <w:top w:val="nil"/>
              <w:left w:val="nil"/>
              <w:bottom w:val="nil"/>
              <w:right w:val="nil"/>
            </w:tcBorders>
            <w:noWrap/>
            <w:vAlign w:val="center"/>
            <w:hideMark/>
          </w:tcPr>
          <w:p w14:paraId="7E9125E5"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431" w:type="dxa"/>
            <w:tcBorders>
              <w:top w:val="nil"/>
              <w:left w:val="nil"/>
              <w:bottom w:val="nil"/>
              <w:right w:val="nil"/>
            </w:tcBorders>
            <w:noWrap/>
            <w:vAlign w:val="center"/>
            <w:hideMark/>
          </w:tcPr>
          <w:p w14:paraId="2167BC1A"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2</w:t>
            </w:r>
          </w:p>
        </w:tc>
      </w:tr>
      <w:tr w:rsidR="00107665" w:rsidRPr="00AD32CF" w14:paraId="592C9D82" w14:textId="77777777" w:rsidTr="00F457EE">
        <w:trPr>
          <w:trHeight w:val="298"/>
          <w:jc w:val="right"/>
        </w:trPr>
        <w:tc>
          <w:tcPr>
            <w:tcW w:w="2410" w:type="dxa"/>
            <w:tcBorders>
              <w:top w:val="nil"/>
              <w:left w:val="nil"/>
              <w:bottom w:val="nil"/>
              <w:right w:val="nil"/>
            </w:tcBorders>
            <w:noWrap/>
            <w:vAlign w:val="center"/>
            <w:hideMark/>
          </w:tcPr>
          <w:p w14:paraId="7E13E03A"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С</w:t>
            </w:r>
            <w:r w:rsidRPr="00AD32CF">
              <w:rPr>
                <w:color w:val="000000"/>
                <w:sz w:val="18"/>
                <w:szCs w:val="18"/>
                <w:lang w:val="ru-RU"/>
              </w:rPr>
              <w:noBreakHyphen/>
              <w:t>4</w:t>
            </w:r>
          </w:p>
        </w:tc>
        <w:tc>
          <w:tcPr>
            <w:tcW w:w="1198" w:type="dxa"/>
            <w:tcBorders>
              <w:top w:val="nil"/>
              <w:left w:val="nil"/>
              <w:bottom w:val="nil"/>
              <w:right w:val="nil"/>
            </w:tcBorders>
            <w:noWrap/>
            <w:vAlign w:val="center"/>
            <w:hideMark/>
          </w:tcPr>
          <w:p w14:paraId="5B8E086E"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3</w:t>
            </w:r>
          </w:p>
        </w:tc>
        <w:tc>
          <w:tcPr>
            <w:tcW w:w="1426" w:type="dxa"/>
            <w:tcBorders>
              <w:top w:val="nil"/>
              <w:left w:val="nil"/>
              <w:bottom w:val="nil"/>
              <w:right w:val="nil"/>
            </w:tcBorders>
            <w:noWrap/>
            <w:vAlign w:val="center"/>
            <w:hideMark/>
          </w:tcPr>
          <w:p w14:paraId="72E64B6F"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842" w:type="dxa"/>
            <w:tcBorders>
              <w:top w:val="nil"/>
              <w:left w:val="nil"/>
              <w:bottom w:val="nil"/>
              <w:right w:val="nil"/>
            </w:tcBorders>
            <w:noWrap/>
            <w:vAlign w:val="center"/>
            <w:hideMark/>
          </w:tcPr>
          <w:p w14:paraId="07E8DB9C"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31" w:type="dxa"/>
            <w:tcBorders>
              <w:top w:val="nil"/>
              <w:left w:val="nil"/>
              <w:bottom w:val="nil"/>
              <w:right w:val="nil"/>
            </w:tcBorders>
            <w:noWrap/>
            <w:vAlign w:val="center"/>
            <w:hideMark/>
          </w:tcPr>
          <w:p w14:paraId="0B3DB3EF"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4</w:t>
            </w:r>
          </w:p>
        </w:tc>
      </w:tr>
      <w:tr w:rsidR="00107665" w:rsidRPr="00AD32CF" w14:paraId="2214581E" w14:textId="77777777" w:rsidTr="00F457EE">
        <w:trPr>
          <w:trHeight w:val="298"/>
          <w:jc w:val="right"/>
        </w:trPr>
        <w:tc>
          <w:tcPr>
            <w:tcW w:w="2410" w:type="dxa"/>
            <w:tcBorders>
              <w:top w:val="nil"/>
              <w:left w:val="nil"/>
              <w:bottom w:val="nil"/>
              <w:right w:val="nil"/>
            </w:tcBorders>
            <w:noWrap/>
            <w:vAlign w:val="center"/>
            <w:hideMark/>
          </w:tcPr>
          <w:p w14:paraId="1FA35B38"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С</w:t>
            </w:r>
            <w:r w:rsidRPr="00AD32CF">
              <w:rPr>
                <w:color w:val="000000"/>
                <w:sz w:val="18"/>
                <w:szCs w:val="18"/>
                <w:lang w:val="ru-RU"/>
              </w:rPr>
              <w:noBreakHyphen/>
              <w:t>3</w:t>
            </w:r>
          </w:p>
        </w:tc>
        <w:tc>
          <w:tcPr>
            <w:tcW w:w="1198" w:type="dxa"/>
            <w:tcBorders>
              <w:top w:val="nil"/>
              <w:left w:val="nil"/>
              <w:bottom w:val="nil"/>
              <w:right w:val="nil"/>
            </w:tcBorders>
            <w:noWrap/>
            <w:vAlign w:val="center"/>
            <w:hideMark/>
          </w:tcPr>
          <w:p w14:paraId="58EF48C3"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2</w:t>
            </w:r>
          </w:p>
        </w:tc>
        <w:tc>
          <w:tcPr>
            <w:tcW w:w="1426" w:type="dxa"/>
            <w:tcBorders>
              <w:top w:val="nil"/>
              <w:left w:val="nil"/>
              <w:bottom w:val="nil"/>
              <w:right w:val="nil"/>
            </w:tcBorders>
            <w:noWrap/>
            <w:vAlign w:val="center"/>
            <w:hideMark/>
          </w:tcPr>
          <w:p w14:paraId="6EC73D60"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842" w:type="dxa"/>
            <w:tcBorders>
              <w:top w:val="nil"/>
              <w:left w:val="nil"/>
              <w:bottom w:val="nil"/>
              <w:right w:val="nil"/>
            </w:tcBorders>
            <w:noWrap/>
            <w:vAlign w:val="center"/>
            <w:hideMark/>
          </w:tcPr>
          <w:p w14:paraId="6C8A723A"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
        </w:tc>
        <w:tc>
          <w:tcPr>
            <w:tcW w:w="1431" w:type="dxa"/>
            <w:tcBorders>
              <w:top w:val="nil"/>
              <w:left w:val="nil"/>
              <w:bottom w:val="nil"/>
              <w:right w:val="nil"/>
            </w:tcBorders>
            <w:noWrap/>
            <w:vAlign w:val="center"/>
            <w:hideMark/>
          </w:tcPr>
          <w:p w14:paraId="164CF9B5"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2</w:t>
            </w:r>
          </w:p>
        </w:tc>
      </w:tr>
      <w:tr w:rsidR="00107665" w:rsidRPr="00AD32CF" w14:paraId="48AFD9EA" w14:textId="77777777" w:rsidTr="00F457EE">
        <w:trPr>
          <w:trHeight w:val="313"/>
          <w:jc w:val="right"/>
        </w:trPr>
        <w:tc>
          <w:tcPr>
            <w:tcW w:w="2410" w:type="dxa"/>
            <w:tcBorders>
              <w:top w:val="nil"/>
              <w:left w:val="nil"/>
              <w:bottom w:val="single" w:sz="4" w:space="0" w:color="auto"/>
              <w:right w:val="nil"/>
            </w:tcBorders>
            <w:noWrap/>
            <w:vAlign w:val="center"/>
            <w:hideMark/>
          </w:tcPr>
          <w:p w14:paraId="018535B1"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С-2</w:t>
            </w:r>
            <w:r w:rsidRPr="00AD32CF">
              <w:rPr>
                <w:color w:val="000000"/>
                <w:sz w:val="18"/>
                <w:szCs w:val="18"/>
                <w:vertAlign w:val="superscript"/>
                <w:lang w:val="ru-RU"/>
              </w:rPr>
              <w:t>а</w:t>
            </w:r>
          </w:p>
        </w:tc>
        <w:tc>
          <w:tcPr>
            <w:tcW w:w="1198" w:type="dxa"/>
            <w:tcBorders>
              <w:top w:val="nil"/>
              <w:left w:val="nil"/>
              <w:bottom w:val="single" w:sz="4" w:space="0" w:color="auto"/>
              <w:right w:val="nil"/>
            </w:tcBorders>
            <w:noWrap/>
            <w:vAlign w:val="center"/>
            <w:hideMark/>
          </w:tcPr>
          <w:p w14:paraId="6E698304"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
        </w:tc>
        <w:tc>
          <w:tcPr>
            <w:tcW w:w="1426" w:type="dxa"/>
            <w:tcBorders>
              <w:top w:val="nil"/>
              <w:left w:val="nil"/>
              <w:bottom w:val="single" w:sz="4" w:space="0" w:color="auto"/>
              <w:right w:val="nil"/>
            </w:tcBorders>
            <w:noWrap/>
            <w:vAlign w:val="center"/>
            <w:hideMark/>
          </w:tcPr>
          <w:p w14:paraId="60D427BD"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
        </w:tc>
        <w:tc>
          <w:tcPr>
            <w:tcW w:w="1842" w:type="dxa"/>
            <w:tcBorders>
              <w:top w:val="nil"/>
              <w:left w:val="nil"/>
              <w:bottom w:val="single" w:sz="4" w:space="0" w:color="auto"/>
              <w:right w:val="nil"/>
            </w:tcBorders>
            <w:noWrap/>
            <w:vAlign w:val="center"/>
            <w:hideMark/>
          </w:tcPr>
          <w:p w14:paraId="460569A2"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31" w:type="dxa"/>
            <w:tcBorders>
              <w:top w:val="nil"/>
              <w:left w:val="nil"/>
              <w:bottom w:val="single" w:sz="4" w:space="0" w:color="auto"/>
              <w:right w:val="nil"/>
            </w:tcBorders>
            <w:noWrap/>
            <w:vAlign w:val="center"/>
            <w:hideMark/>
          </w:tcPr>
          <w:p w14:paraId="58B23BE0"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r>
      <w:tr w:rsidR="00107665" w:rsidRPr="00AD32CF" w14:paraId="6C8C06FF" w14:textId="77777777" w:rsidTr="00F457EE">
        <w:trPr>
          <w:trHeight w:val="313"/>
          <w:jc w:val="right"/>
        </w:trPr>
        <w:tc>
          <w:tcPr>
            <w:tcW w:w="2410" w:type="dxa"/>
            <w:tcBorders>
              <w:top w:val="single" w:sz="4" w:space="0" w:color="auto"/>
              <w:left w:val="nil"/>
              <w:bottom w:val="single" w:sz="4" w:space="0" w:color="auto"/>
              <w:right w:val="nil"/>
            </w:tcBorders>
            <w:noWrap/>
            <w:vAlign w:val="center"/>
            <w:hideMark/>
          </w:tcPr>
          <w:p w14:paraId="1D47C22C"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Промежуточный итог (A)</w:t>
            </w:r>
          </w:p>
        </w:tc>
        <w:tc>
          <w:tcPr>
            <w:tcW w:w="1198" w:type="dxa"/>
            <w:tcBorders>
              <w:top w:val="single" w:sz="4" w:space="0" w:color="auto"/>
              <w:left w:val="nil"/>
              <w:bottom w:val="single" w:sz="4" w:space="0" w:color="auto"/>
              <w:right w:val="nil"/>
            </w:tcBorders>
            <w:noWrap/>
            <w:vAlign w:val="center"/>
            <w:hideMark/>
          </w:tcPr>
          <w:p w14:paraId="64F0D57E"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7</w:t>
            </w:r>
          </w:p>
        </w:tc>
        <w:tc>
          <w:tcPr>
            <w:tcW w:w="1426" w:type="dxa"/>
            <w:tcBorders>
              <w:top w:val="single" w:sz="4" w:space="0" w:color="auto"/>
              <w:left w:val="nil"/>
              <w:bottom w:val="single" w:sz="4" w:space="0" w:color="auto"/>
              <w:right w:val="nil"/>
            </w:tcBorders>
            <w:noWrap/>
            <w:vAlign w:val="center"/>
            <w:hideMark/>
          </w:tcPr>
          <w:p w14:paraId="063B35DE"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w:t>
            </w:r>
          </w:p>
        </w:tc>
        <w:tc>
          <w:tcPr>
            <w:tcW w:w="1842" w:type="dxa"/>
            <w:tcBorders>
              <w:top w:val="single" w:sz="4" w:space="0" w:color="auto"/>
              <w:left w:val="nil"/>
              <w:bottom w:val="single" w:sz="4" w:space="0" w:color="auto"/>
              <w:right w:val="nil"/>
            </w:tcBorders>
            <w:noWrap/>
            <w:vAlign w:val="center"/>
            <w:hideMark/>
          </w:tcPr>
          <w:p w14:paraId="288E3920"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2</w:t>
            </w:r>
          </w:p>
        </w:tc>
        <w:tc>
          <w:tcPr>
            <w:tcW w:w="1431" w:type="dxa"/>
            <w:tcBorders>
              <w:top w:val="single" w:sz="4" w:space="0" w:color="auto"/>
              <w:left w:val="nil"/>
              <w:bottom w:val="single" w:sz="4" w:space="0" w:color="auto"/>
              <w:right w:val="nil"/>
            </w:tcBorders>
            <w:noWrap/>
            <w:vAlign w:val="center"/>
            <w:hideMark/>
          </w:tcPr>
          <w:p w14:paraId="7332524B"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10</w:t>
            </w:r>
          </w:p>
        </w:tc>
      </w:tr>
      <w:tr w:rsidR="00107665" w:rsidRPr="00AD32CF" w14:paraId="296FB1C5" w14:textId="77777777" w:rsidTr="008E43FF">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52F5594D"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B.</w:t>
            </w:r>
            <w:r w:rsidRPr="00AD32CF">
              <w:rPr>
                <w:color w:val="000000"/>
                <w:sz w:val="18"/>
                <w:szCs w:val="18"/>
                <w:lang w:val="ru-RU"/>
              </w:rPr>
              <w:t xml:space="preserve"> </w:t>
            </w:r>
            <w:r w:rsidRPr="00AD32CF">
              <w:rPr>
                <w:b/>
                <w:bCs/>
                <w:color w:val="000000"/>
                <w:sz w:val="18"/>
                <w:szCs w:val="18"/>
                <w:lang w:val="ru-RU"/>
              </w:rPr>
              <w:t>Категория общего обслуживания</w:t>
            </w:r>
          </w:p>
        </w:tc>
      </w:tr>
      <w:tr w:rsidR="00107665" w:rsidRPr="00AD32CF" w14:paraId="1056860B" w14:textId="77777777" w:rsidTr="00F457EE">
        <w:trPr>
          <w:trHeight w:val="313"/>
          <w:jc w:val="right"/>
        </w:trPr>
        <w:tc>
          <w:tcPr>
            <w:tcW w:w="2410" w:type="dxa"/>
            <w:tcBorders>
              <w:top w:val="single" w:sz="4" w:space="0" w:color="auto"/>
              <w:left w:val="nil"/>
              <w:bottom w:val="single" w:sz="4" w:space="0" w:color="auto"/>
              <w:right w:val="nil"/>
            </w:tcBorders>
            <w:noWrap/>
            <w:vAlign w:val="center"/>
            <w:hideMark/>
          </w:tcPr>
          <w:p w14:paraId="3D03A164"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roofErr w:type="spellStart"/>
            <w:r w:rsidRPr="00AD32CF">
              <w:rPr>
                <w:color w:val="000000"/>
                <w:sz w:val="18"/>
                <w:szCs w:val="18"/>
                <w:lang w:val="ru-RU"/>
              </w:rPr>
              <w:t>ОО</w:t>
            </w:r>
            <w:r w:rsidRPr="00AD32CF">
              <w:rPr>
                <w:color w:val="000000"/>
                <w:sz w:val="18"/>
                <w:szCs w:val="18"/>
                <w:vertAlign w:val="superscript"/>
                <w:lang w:val="ru-RU"/>
              </w:rPr>
              <w:t>b</w:t>
            </w:r>
            <w:proofErr w:type="spellEnd"/>
          </w:p>
        </w:tc>
        <w:tc>
          <w:tcPr>
            <w:tcW w:w="1198" w:type="dxa"/>
            <w:tcBorders>
              <w:top w:val="single" w:sz="4" w:space="0" w:color="auto"/>
              <w:left w:val="nil"/>
              <w:bottom w:val="single" w:sz="4" w:space="0" w:color="auto"/>
              <w:right w:val="nil"/>
            </w:tcBorders>
            <w:noWrap/>
            <w:vAlign w:val="center"/>
            <w:hideMark/>
          </w:tcPr>
          <w:p w14:paraId="4F535677"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4</w:t>
            </w:r>
          </w:p>
        </w:tc>
        <w:tc>
          <w:tcPr>
            <w:tcW w:w="1426" w:type="dxa"/>
            <w:tcBorders>
              <w:top w:val="single" w:sz="4" w:space="0" w:color="auto"/>
              <w:left w:val="nil"/>
              <w:bottom w:val="single" w:sz="4" w:space="0" w:color="auto"/>
              <w:right w:val="nil"/>
            </w:tcBorders>
            <w:noWrap/>
            <w:vAlign w:val="center"/>
            <w:hideMark/>
          </w:tcPr>
          <w:p w14:paraId="4B28E49A"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842" w:type="dxa"/>
            <w:tcBorders>
              <w:top w:val="single" w:sz="4" w:space="0" w:color="auto"/>
              <w:left w:val="nil"/>
              <w:bottom w:val="single" w:sz="4" w:space="0" w:color="auto"/>
              <w:right w:val="nil"/>
            </w:tcBorders>
            <w:noWrap/>
            <w:vAlign w:val="center"/>
            <w:hideMark/>
          </w:tcPr>
          <w:p w14:paraId="7AD6CBD2"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31" w:type="dxa"/>
            <w:tcBorders>
              <w:top w:val="single" w:sz="4" w:space="0" w:color="auto"/>
              <w:left w:val="nil"/>
              <w:bottom w:val="single" w:sz="4" w:space="0" w:color="auto"/>
              <w:right w:val="nil"/>
            </w:tcBorders>
            <w:noWrap/>
            <w:vAlign w:val="center"/>
            <w:hideMark/>
          </w:tcPr>
          <w:p w14:paraId="1D563C5D"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5</w:t>
            </w:r>
          </w:p>
        </w:tc>
      </w:tr>
      <w:tr w:rsidR="00107665" w:rsidRPr="00AD32CF" w14:paraId="592064B0" w14:textId="77777777" w:rsidTr="00F457EE">
        <w:trPr>
          <w:trHeight w:val="313"/>
          <w:jc w:val="right"/>
        </w:trPr>
        <w:tc>
          <w:tcPr>
            <w:tcW w:w="2410" w:type="dxa"/>
            <w:tcBorders>
              <w:top w:val="single" w:sz="4" w:space="0" w:color="auto"/>
              <w:left w:val="nil"/>
              <w:bottom w:val="single" w:sz="4" w:space="0" w:color="auto"/>
              <w:right w:val="nil"/>
            </w:tcBorders>
            <w:noWrap/>
            <w:vAlign w:val="center"/>
            <w:hideMark/>
          </w:tcPr>
          <w:p w14:paraId="626107B2"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Промежуточный итог (B)</w:t>
            </w:r>
          </w:p>
        </w:tc>
        <w:tc>
          <w:tcPr>
            <w:tcW w:w="1198" w:type="dxa"/>
            <w:tcBorders>
              <w:top w:val="single" w:sz="4" w:space="0" w:color="auto"/>
              <w:left w:val="nil"/>
              <w:bottom w:val="single" w:sz="4" w:space="0" w:color="auto"/>
              <w:right w:val="nil"/>
            </w:tcBorders>
            <w:noWrap/>
            <w:vAlign w:val="center"/>
            <w:hideMark/>
          </w:tcPr>
          <w:p w14:paraId="3F711E3E"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4</w:t>
            </w:r>
          </w:p>
        </w:tc>
        <w:tc>
          <w:tcPr>
            <w:tcW w:w="1426" w:type="dxa"/>
            <w:tcBorders>
              <w:top w:val="single" w:sz="4" w:space="0" w:color="auto"/>
              <w:left w:val="nil"/>
              <w:bottom w:val="single" w:sz="4" w:space="0" w:color="auto"/>
              <w:right w:val="nil"/>
            </w:tcBorders>
            <w:noWrap/>
            <w:vAlign w:val="center"/>
            <w:hideMark/>
          </w:tcPr>
          <w:p w14:paraId="71A1FD8C"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0</w:t>
            </w:r>
          </w:p>
        </w:tc>
        <w:tc>
          <w:tcPr>
            <w:tcW w:w="1842" w:type="dxa"/>
            <w:tcBorders>
              <w:top w:val="single" w:sz="4" w:space="0" w:color="auto"/>
              <w:left w:val="nil"/>
              <w:bottom w:val="single" w:sz="4" w:space="0" w:color="auto"/>
              <w:right w:val="nil"/>
            </w:tcBorders>
            <w:noWrap/>
            <w:vAlign w:val="center"/>
            <w:hideMark/>
          </w:tcPr>
          <w:p w14:paraId="6E88D992"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w:t>
            </w:r>
          </w:p>
        </w:tc>
        <w:tc>
          <w:tcPr>
            <w:tcW w:w="1431" w:type="dxa"/>
            <w:tcBorders>
              <w:top w:val="single" w:sz="4" w:space="0" w:color="auto"/>
              <w:left w:val="nil"/>
              <w:bottom w:val="single" w:sz="4" w:space="0" w:color="auto"/>
              <w:right w:val="nil"/>
            </w:tcBorders>
            <w:noWrap/>
            <w:vAlign w:val="center"/>
            <w:hideMark/>
          </w:tcPr>
          <w:p w14:paraId="130F9DAB"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5</w:t>
            </w:r>
          </w:p>
        </w:tc>
      </w:tr>
      <w:tr w:rsidR="00107665" w:rsidRPr="00AD32CF" w14:paraId="1F767405" w14:textId="77777777" w:rsidTr="00F457EE">
        <w:trPr>
          <w:trHeight w:val="313"/>
          <w:jc w:val="right"/>
        </w:trPr>
        <w:tc>
          <w:tcPr>
            <w:tcW w:w="2410" w:type="dxa"/>
            <w:tcBorders>
              <w:top w:val="single" w:sz="4" w:space="0" w:color="auto"/>
              <w:left w:val="nil"/>
              <w:bottom w:val="single" w:sz="12" w:space="0" w:color="auto"/>
              <w:right w:val="nil"/>
            </w:tcBorders>
            <w:noWrap/>
            <w:vAlign w:val="center"/>
            <w:hideMark/>
          </w:tcPr>
          <w:p w14:paraId="4AC39D49"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Всего (А + В)</w:t>
            </w:r>
          </w:p>
        </w:tc>
        <w:tc>
          <w:tcPr>
            <w:tcW w:w="1198" w:type="dxa"/>
            <w:tcBorders>
              <w:top w:val="single" w:sz="4" w:space="0" w:color="auto"/>
              <w:left w:val="nil"/>
              <w:bottom w:val="single" w:sz="12" w:space="0" w:color="auto"/>
              <w:right w:val="nil"/>
            </w:tcBorders>
            <w:noWrap/>
            <w:vAlign w:val="center"/>
            <w:hideMark/>
          </w:tcPr>
          <w:p w14:paraId="4D75E232"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11</w:t>
            </w:r>
          </w:p>
        </w:tc>
        <w:tc>
          <w:tcPr>
            <w:tcW w:w="1426" w:type="dxa"/>
            <w:tcBorders>
              <w:top w:val="single" w:sz="4" w:space="0" w:color="auto"/>
              <w:left w:val="nil"/>
              <w:bottom w:val="single" w:sz="12" w:space="0" w:color="auto"/>
              <w:right w:val="nil"/>
            </w:tcBorders>
            <w:noWrap/>
            <w:vAlign w:val="center"/>
            <w:hideMark/>
          </w:tcPr>
          <w:p w14:paraId="3E73687D"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w:t>
            </w:r>
          </w:p>
        </w:tc>
        <w:tc>
          <w:tcPr>
            <w:tcW w:w="1842" w:type="dxa"/>
            <w:tcBorders>
              <w:top w:val="single" w:sz="4" w:space="0" w:color="auto"/>
              <w:left w:val="nil"/>
              <w:bottom w:val="single" w:sz="12" w:space="0" w:color="auto"/>
              <w:right w:val="nil"/>
            </w:tcBorders>
            <w:noWrap/>
            <w:vAlign w:val="center"/>
            <w:hideMark/>
          </w:tcPr>
          <w:p w14:paraId="6C7C5275"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3</w:t>
            </w:r>
          </w:p>
        </w:tc>
        <w:tc>
          <w:tcPr>
            <w:tcW w:w="1431" w:type="dxa"/>
            <w:tcBorders>
              <w:top w:val="single" w:sz="4" w:space="0" w:color="auto"/>
              <w:left w:val="nil"/>
              <w:bottom w:val="single" w:sz="12" w:space="0" w:color="auto"/>
              <w:right w:val="nil"/>
            </w:tcBorders>
            <w:noWrap/>
            <w:vAlign w:val="center"/>
            <w:hideMark/>
          </w:tcPr>
          <w:p w14:paraId="7874448B"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15</w:t>
            </w:r>
          </w:p>
        </w:tc>
      </w:tr>
    </w:tbl>
    <w:p w14:paraId="1E4DB078" w14:textId="77777777" w:rsidR="00107665" w:rsidRPr="00DD470C" w:rsidRDefault="00107665" w:rsidP="00F457EE">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asciiTheme="majorBidi" w:hAnsiTheme="majorBidi" w:cstheme="majorBidi"/>
          <w:sz w:val="16"/>
          <w:szCs w:val="16"/>
          <w:lang w:val="ru-RU"/>
        </w:rPr>
      </w:pPr>
      <w:r w:rsidRPr="00DD470C">
        <w:rPr>
          <w:sz w:val="18"/>
          <w:szCs w:val="18"/>
          <w:lang w:val="ru-RU"/>
        </w:rPr>
        <w:tab/>
      </w:r>
      <w:r w:rsidRPr="00F457EE">
        <w:rPr>
          <w:i/>
          <w:iCs/>
          <w:sz w:val="18"/>
          <w:szCs w:val="18"/>
          <w:lang w:val="ru-RU"/>
        </w:rPr>
        <w:t>Сокращения</w:t>
      </w:r>
      <w:r w:rsidRPr="00DD470C">
        <w:rPr>
          <w:sz w:val="18"/>
          <w:szCs w:val="18"/>
          <w:lang w:val="ru-RU"/>
        </w:rPr>
        <w:t>: ЮНЕП – Программа Организации Объединенных Наций по окружающей среде.</w:t>
      </w:r>
    </w:p>
    <w:p w14:paraId="2577BE77" w14:textId="719D21B8" w:rsidR="00107665" w:rsidRPr="00DD470C" w:rsidRDefault="00107665" w:rsidP="00F457EE">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asciiTheme="majorBidi" w:hAnsiTheme="majorBidi" w:cstheme="majorBidi"/>
          <w:sz w:val="16"/>
          <w:szCs w:val="16"/>
          <w:lang w:val="ru-RU"/>
        </w:rPr>
      </w:pPr>
      <w:r w:rsidRPr="00DD470C">
        <w:rPr>
          <w:sz w:val="18"/>
          <w:szCs w:val="18"/>
          <w:lang w:val="ru-RU"/>
        </w:rPr>
        <w:tab/>
      </w:r>
      <w:r w:rsidRPr="00DD470C">
        <w:rPr>
          <w:sz w:val="18"/>
          <w:szCs w:val="18"/>
          <w:vertAlign w:val="superscript"/>
          <w:lang w:val="ru-RU"/>
        </w:rPr>
        <w:t>a</w:t>
      </w:r>
      <w:r w:rsidRPr="00DD470C">
        <w:rPr>
          <w:sz w:val="18"/>
          <w:szCs w:val="18"/>
          <w:lang w:val="ru-RU"/>
        </w:rPr>
        <w:t xml:space="preserve"> В декабре 2024 года был принят на работу младший административный сотрудник категории</w:t>
      </w:r>
      <w:r w:rsidR="007D1BDF">
        <w:rPr>
          <w:sz w:val="18"/>
          <w:szCs w:val="18"/>
          <w:lang w:val="en-US"/>
        </w:rPr>
        <w:t> </w:t>
      </w:r>
      <w:r w:rsidRPr="00DD470C">
        <w:rPr>
          <w:sz w:val="18"/>
          <w:szCs w:val="18"/>
          <w:lang w:val="ru-RU"/>
        </w:rPr>
        <w:t>С</w:t>
      </w:r>
      <w:r w:rsidR="00E77A3F">
        <w:rPr>
          <w:sz w:val="18"/>
          <w:szCs w:val="18"/>
          <w:lang w:val="ru-RU"/>
        </w:rPr>
        <w:noBreakHyphen/>
      </w:r>
      <w:r w:rsidRPr="00DD470C">
        <w:rPr>
          <w:sz w:val="18"/>
          <w:szCs w:val="18"/>
          <w:lang w:val="ru-RU"/>
        </w:rPr>
        <w:t>2, финансируемый ЮНЕП за счет расходов на вспомогательное обслуживание программ (должность с 50-процентной занятостью).</w:t>
      </w:r>
    </w:p>
    <w:p w14:paraId="7DD2B105" w14:textId="77777777" w:rsidR="00107665" w:rsidRPr="00DD470C" w:rsidRDefault="00107665" w:rsidP="00F457EE">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asciiTheme="majorBidi" w:hAnsiTheme="majorBidi" w:cstheme="majorBidi"/>
          <w:sz w:val="16"/>
          <w:szCs w:val="16"/>
          <w:lang w:val="ru-RU"/>
        </w:rPr>
      </w:pPr>
      <w:r w:rsidRPr="00DD470C">
        <w:rPr>
          <w:sz w:val="18"/>
          <w:szCs w:val="18"/>
          <w:lang w:val="ru-RU"/>
        </w:rPr>
        <w:tab/>
      </w:r>
      <w:r w:rsidRPr="00DD470C">
        <w:rPr>
          <w:sz w:val="18"/>
          <w:szCs w:val="18"/>
          <w:vertAlign w:val="superscript"/>
          <w:lang w:val="ru-RU"/>
        </w:rPr>
        <w:t>b</w:t>
      </w:r>
      <w:r w:rsidRPr="00DD470C">
        <w:rPr>
          <w:sz w:val="18"/>
          <w:szCs w:val="18"/>
          <w:lang w:val="ru-RU"/>
        </w:rPr>
        <w:t xml:space="preserve"> Должность административного помощника (ОО-5) остается вакантной на двухгодичный период 2026–2027 годов и, как ожидается, будет заполнена, когда появятся средства.</w:t>
      </w:r>
    </w:p>
    <w:p w14:paraId="16DE0C33" w14:textId="77777777" w:rsidR="00107665" w:rsidRPr="001271A9" w:rsidRDefault="00107665" w:rsidP="00107665">
      <w:pPr>
        <w:pStyle w:val="Normal-pool"/>
        <w:rPr>
          <w:lang w:val="ru-RU"/>
        </w:rPr>
      </w:pPr>
      <w:r w:rsidRPr="001271A9">
        <w:rPr>
          <w:lang w:val="ru-RU"/>
        </w:rPr>
        <w:br w:type="page"/>
      </w:r>
    </w:p>
    <w:p w14:paraId="5F86ABE9" w14:textId="5758C4E0" w:rsidR="00107665" w:rsidRPr="00A404EC" w:rsidRDefault="00107665" w:rsidP="00A404EC">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93" w:name="_Toc213853079"/>
      <w:bookmarkStart w:id="94" w:name="_Toc222992838"/>
      <w:r w:rsidRPr="00A404EC">
        <w:rPr>
          <w:lang w:val="ru-RU"/>
        </w:rPr>
        <w:lastRenderedPageBreak/>
        <w:t>Решение МК-6/22. Сроки и место проведения седьмого совещания Конференции Сторон Минаматской конвенции о ртути</w:t>
      </w:r>
      <w:bookmarkStart w:id="95" w:name="_Toc219712828"/>
      <w:bookmarkEnd w:id="93"/>
      <w:bookmarkEnd w:id="94"/>
      <w:bookmarkEnd w:id="95"/>
    </w:p>
    <w:p w14:paraId="4C7DEA00" w14:textId="77777777" w:rsidR="00107665" w:rsidRPr="00631C1C" w:rsidRDefault="00107665" w:rsidP="0008072C">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rPr>
      </w:pPr>
      <w:r>
        <w:rPr>
          <w:i/>
          <w:iCs/>
          <w:lang w:val="ru-RU"/>
        </w:rPr>
        <w:t>Конференция Сторон,</w:t>
      </w:r>
    </w:p>
    <w:p w14:paraId="1586F278" w14:textId="77777777" w:rsidR="00107665" w:rsidRPr="001271A9" w:rsidRDefault="00107665"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8072C">
        <w:rPr>
          <w:i/>
          <w:iCs/>
          <w:lang w:val="ru-RU"/>
        </w:rPr>
        <w:t>постановляет</w:t>
      </w:r>
      <w:r>
        <w:rPr>
          <w:lang w:val="ru-RU"/>
        </w:rPr>
        <w:t xml:space="preserve"> провести следующее совещание Конференции Сторон Минаматской конвенции о ртути в Женеве с 14 по 18 июня 2027 года</w:t>
      </w:r>
      <w:r>
        <w:rPr>
          <w:rStyle w:val="FootnoteReference"/>
          <w:rFonts w:cstheme="majorBidi"/>
          <w:lang w:val="ru-RU"/>
        </w:rPr>
        <w:footnoteReference w:id="46"/>
      </w:r>
      <w:r>
        <w:rPr>
          <w:lang w:val="ru-RU"/>
        </w:rPr>
        <w:t xml:space="preserve">; </w:t>
      </w:r>
    </w:p>
    <w:p w14:paraId="7510B1B8" w14:textId="77777777" w:rsidR="00107665" w:rsidRPr="001271A9" w:rsidRDefault="00107665"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8072C">
        <w:rPr>
          <w:i/>
          <w:iCs/>
          <w:lang w:val="ru-RU"/>
        </w:rPr>
        <w:t>поручает</w:t>
      </w:r>
      <w:r>
        <w:rPr>
          <w:lang w:val="ru-RU"/>
        </w:rPr>
        <w:t xml:space="preserve"> Исполнительному секретарю в целях оказания Сторонам содействия в подготовке к совещанию оказывать, при наличии ресурсов, поддержку региональным совещаниям, проводимым в координации с другими региональными совещаниями, с целью содействия региональным подготовительным процессам; </w:t>
      </w:r>
    </w:p>
    <w:p w14:paraId="1C7ECEAA" w14:textId="2D1D3466" w:rsidR="00107665" w:rsidRPr="001271A9" w:rsidRDefault="00107665"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8072C">
        <w:rPr>
          <w:i/>
          <w:iCs/>
          <w:lang w:val="ru-RU"/>
        </w:rPr>
        <w:t>предлагает</w:t>
      </w:r>
      <w:r>
        <w:rPr>
          <w:lang w:val="ru-RU"/>
        </w:rPr>
        <w:t xml:space="preserve"> Исполнительному секретарю в целях дальнейшего содействия Сторонам и регионам в их подготовке распространять предварительную повестку дня вместе со вспомогательными документами среди Сторон на официальных языках Организации Объединенных Наций не менее чем за восемь недель до открытия будущих совещаний Конференции Сторон;</w:t>
      </w:r>
      <w:r w:rsidR="000D5B3E">
        <w:rPr>
          <w:lang w:val="ru-RU"/>
        </w:rPr>
        <w:t xml:space="preserve"> </w:t>
      </w:r>
    </w:p>
    <w:p w14:paraId="47CB1C1C" w14:textId="77777777" w:rsidR="00107665" w:rsidRPr="001271A9" w:rsidRDefault="00107665"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8072C">
        <w:rPr>
          <w:i/>
          <w:iCs/>
          <w:lang w:val="ru-RU"/>
        </w:rPr>
        <w:t>предлагает</w:t>
      </w:r>
      <w:r>
        <w:rPr>
          <w:lang w:val="ru-RU"/>
        </w:rPr>
        <w:t xml:space="preserve"> Сторонам представить предложения о проведении восьмого совещания Конференции Сторон не позднее чем за три месяца до открытия седьмого совещания для рассмотрения Конференцией Сторон на ее седьмом совещании.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24"/>
      <w:headerReference w:type="default" r:id="rId25"/>
      <w:headerReference w:type="first" r:id="rId26"/>
      <w:footerReference w:type="first" r:id="rId27"/>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3D1F" w14:textId="77777777" w:rsidR="002B162F" w:rsidRPr="00CD5597" w:rsidRDefault="002B162F">
      <w:r w:rsidRPr="00CD5597">
        <w:separator/>
      </w:r>
    </w:p>
  </w:endnote>
  <w:endnote w:type="continuationSeparator" w:id="0">
    <w:p w14:paraId="3B6D4D16" w14:textId="77777777" w:rsidR="002B162F" w:rsidRPr="00CD5597" w:rsidRDefault="002B162F">
      <w:r w:rsidRPr="00CD5597">
        <w:continuationSeparator/>
      </w:r>
    </w:p>
  </w:endnote>
  <w:endnote w:type="continuationNotice" w:id="1">
    <w:p w14:paraId="20D6FE36" w14:textId="77777777" w:rsidR="002B162F" w:rsidRDefault="002B1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75E4E270" w:rsidR="00312042" w:rsidRDefault="00E84D8D" w:rsidP="00E84D8D">
    <w:pPr>
      <w:pStyle w:val="Footer-jobnumber"/>
    </w:pPr>
    <w:bookmarkStart w:id="5" w:name="FooterJobDate"/>
    <w:r>
      <w:t>K</w:t>
    </w:r>
    <w:r w:rsidR="00FC727F">
      <w:t>2519185</w:t>
    </w:r>
    <w:r>
      <w:t>[</w:t>
    </w:r>
    <w:r w:rsidR="00546B6B">
      <w:t>R</w:t>
    </w:r>
    <w:r>
      <w:t>]</w:t>
    </w:r>
    <w:r w:rsidR="00F16F39">
      <w:tab/>
    </w:r>
    <w:bookmarkEnd w:id="5"/>
    <w:r w:rsidR="0052179F">
      <w:rPr>
        <w:lang w:val="en-US"/>
      </w:rPr>
      <w:t>1803</w:t>
    </w:r>
    <w:r w:rsidR="0052179F">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7CC" w14:textId="77777777" w:rsidR="00107665" w:rsidRPr="00ED2BC6" w:rsidRDefault="00107665"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74" w14:textId="77777777" w:rsidR="00107665" w:rsidRPr="00FC727F" w:rsidRDefault="00107665"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B8B" w14:textId="77777777" w:rsidR="00107665" w:rsidRDefault="00107665" w:rsidP="00E84D8D">
    <w:pPr>
      <w:pStyle w:val="Footer-jobnumber"/>
    </w:pPr>
    <w:r>
      <w:t>K2519185[E]</w:t>
    </w:r>
    <w:r>
      <w:tab/>
      <w:t>270126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33BF" w14:textId="77777777" w:rsidR="002B162F" w:rsidRPr="00CD5597" w:rsidRDefault="002B162F" w:rsidP="00C70B49">
      <w:pPr>
        <w:pStyle w:val="Footnote-Separator"/>
        <w:rPr>
          <w:szCs w:val="18"/>
        </w:rPr>
      </w:pPr>
      <w:r w:rsidRPr="00CD5597">
        <w:separator/>
      </w:r>
    </w:p>
  </w:footnote>
  <w:footnote w:type="continuationSeparator" w:id="0">
    <w:p w14:paraId="4D30CE62" w14:textId="77777777" w:rsidR="002B162F" w:rsidRPr="00CD5597" w:rsidRDefault="002B162F" w:rsidP="00C70B49">
      <w:pPr>
        <w:pStyle w:val="Footnote-Separator"/>
      </w:pPr>
      <w:r w:rsidRPr="00CD5597">
        <w:continuationSeparator/>
      </w:r>
    </w:p>
  </w:footnote>
  <w:footnote w:type="continuationNotice" w:id="1">
    <w:p w14:paraId="5DE25A7C" w14:textId="77777777" w:rsidR="002B162F" w:rsidRPr="00CD5597" w:rsidRDefault="002B162F" w:rsidP="00C70B49">
      <w:pPr>
        <w:pStyle w:val="ASpacer"/>
      </w:pPr>
    </w:p>
  </w:footnote>
  <w:footnote w:id="2">
    <w:p w14:paraId="35A1D58E" w14:textId="4FFB1F08" w:rsidR="00312042" w:rsidRPr="00D20C0A" w:rsidRDefault="00312042"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UNEP/MC/COP.6/14, приложение, пункт 3 b).</w:t>
      </w:r>
    </w:p>
  </w:footnote>
  <w:footnote w:id="3">
    <w:p w14:paraId="1C8A6E7F" w14:textId="6FE264A6" w:rsidR="00312042" w:rsidRPr="00D20C0A" w:rsidRDefault="00312042"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Например, недавно запущенный проект под названием «Ускорение соблюдения Минаматской конвенции путем улучшения понимания и контроля за торговл</w:t>
      </w:r>
      <w:r w:rsidR="007E5EE4">
        <w:rPr>
          <w:lang w:val="ru-RU"/>
        </w:rPr>
        <w:t>ей</w:t>
      </w:r>
      <w:r>
        <w:rPr>
          <w:lang w:val="ru-RU"/>
        </w:rPr>
        <w:t xml:space="preserve"> ртутью в Латинской Америке».</w:t>
      </w:r>
    </w:p>
  </w:footnote>
  <w:footnote w:id="4">
    <w:p w14:paraId="013A1712" w14:textId="5B3C1FFA" w:rsidR="006A51FD" w:rsidRPr="00D20C0A" w:rsidRDefault="006A51FD"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UNEP/MC/COP.6/26.</w:t>
      </w:r>
    </w:p>
  </w:footnote>
  <w:footnote w:id="5">
    <w:p w14:paraId="3A3ABC83" w14:textId="2CA39469" w:rsidR="00D86B1A" w:rsidRPr="00D20C0A" w:rsidRDefault="00D86B1A"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Руководство было принято в решении MК-1/2.</w:t>
      </w:r>
    </w:p>
  </w:footnote>
  <w:footnote w:id="6">
    <w:p w14:paraId="7E329062" w14:textId="1A814AC7" w:rsidR="00924456" w:rsidRPr="00D20C0A" w:rsidRDefault="00924456"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UNEP/MC/COP.6/27.</w:t>
      </w:r>
    </w:p>
  </w:footnote>
  <w:footnote w:id="7">
    <w:p w14:paraId="62A8509C" w14:textId="6D1E6478" w:rsidR="00D86B1A" w:rsidRPr="00D20C0A" w:rsidRDefault="00D86B1A"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7E5EE4">
        <w:rPr>
          <w:lang w:val="ru-RU"/>
        </w:rPr>
        <w:tab/>
      </w:r>
      <w:r>
        <w:rPr>
          <w:lang w:val="ru-RU"/>
        </w:rPr>
        <w:t>Руководство было принято в решении MК-1/2.</w:t>
      </w:r>
    </w:p>
  </w:footnote>
  <w:footnote w:id="8">
    <w:p w14:paraId="11710DFF" w14:textId="41157CED" w:rsidR="00E10A40" w:rsidRPr="001C713E" w:rsidRDefault="00E10A40"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1C713E">
        <w:rPr>
          <w:rStyle w:val="FootnoteReference"/>
          <w:sz w:val="18"/>
          <w:lang w:val="ru-RU"/>
        </w:rPr>
        <w:footnoteRef/>
      </w:r>
      <w:r w:rsidRPr="001C713E">
        <w:rPr>
          <w:szCs w:val="18"/>
          <w:lang w:val="ru-RU"/>
        </w:rPr>
        <w:t xml:space="preserve"> </w:t>
      </w:r>
      <w:r w:rsidR="001C713E">
        <w:rPr>
          <w:szCs w:val="18"/>
          <w:lang w:val="ru-RU"/>
        </w:rPr>
        <w:tab/>
      </w:r>
      <w:r w:rsidRPr="001C713E">
        <w:rPr>
          <w:szCs w:val="18"/>
          <w:lang w:val="ru-RU"/>
        </w:rPr>
        <w:t>UNEP/MC/COP.6/5/Add.1.</w:t>
      </w:r>
    </w:p>
  </w:footnote>
  <w:footnote w:id="9">
    <w:p w14:paraId="397EE77F" w14:textId="77777777" w:rsidR="00DD04C4" w:rsidRPr="00D20C0A" w:rsidRDefault="00DD04C4" w:rsidP="00DD04C4">
      <w:pPr>
        <w:pStyle w:val="Footnote-Text"/>
        <w:tabs>
          <w:tab w:val="clear" w:pos="624"/>
          <w:tab w:val="clear" w:pos="1247"/>
          <w:tab w:val="clear" w:pos="1871"/>
          <w:tab w:val="clear" w:pos="2495"/>
          <w:tab w:val="clear" w:pos="3119"/>
          <w:tab w:val="clear" w:pos="3742"/>
          <w:tab w:val="clear" w:pos="4366"/>
          <w:tab w:val="clear" w:pos="4990"/>
        </w:tabs>
        <w:rPr>
          <w:lang w:val="ru-RU"/>
        </w:rPr>
      </w:pPr>
      <w:r w:rsidRPr="001C713E">
        <w:rPr>
          <w:rStyle w:val="FootnoteReference"/>
          <w:sz w:val="18"/>
          <w:lang w:val="ru-RU"/>
        </w:rPr>
        <w:footnoteRef/>
      </w:r>
      <w:r w:rsidRPr="001C713E">
        <w:rPr>
          <w:szCs w:val="18"/>
          <w:lang w:val="ru-RU"/>
        </w:rPr>
        <w:t xml:space="preserve"> </w:t>
      </w:r>
      <w:r>
        <w:rPr>
          <w:szCs w:val="18"/>
          <w:lang w:val="ru-RU"/>
        </w:rPr>
        <w:tab/>
      </w:r>
      <w:r w:rsidRPr="001C713E">
        <w:rPr>
          <w:szCs w:val="18"/>
          <w:lang w:val="ru-RU"/>
        </w:rPr>
        <w:t>Эта работа направлена на изучение ртутных соединений, которые могут быть использованы в продуктах или процессах, или которые могут быть преобразованы в элементарную ртуть. Ею не предусматривается изучение ртутных соединений, подпадающих под определение ртутных отходов в соответствии с пунктом 2 статьи 11.</w:t>
      </w:r>
    </w:p>
  </w:footnote>
  <w:footnote w:id="10">
    <w:p w14:paraId="174B78F1" w14:textId="77777777" w:rsidR="005F5311" w:rsidRPr="005F5311" w:rsidRDefault="005F5311" w:rsidP="003F477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3F28C8">
        <w:rPr>
          <w:rStyle w:val="FootnoteReference"/>
          <w:rFonts w:eastAsia="DengXian Light"/>
          <w:sz w:val="18"/>
        </w:rPr>
        <w:footnoteRef/>
      </w:r>
      <w:r w:rsidRPr="005F5311">
        <w:rPr>
          <w:szCs w:val="18"/>
          <w:lang w:val="ru-RU"/>
        </w:rPr>
        <w:t xml:space="preserve"> </w:t>
      </w:r>
      <w:r w:rsidRPr="005F5311">
        <w:rPr>
          <w:szCs w:val="18"/>
          <w:lang w:val="ru-RU"/>
        </w:rPr>
        <w:tab/>
        <w:t>Добавленные позиции отображаются на сером фоне.</w:t>
      </w:r>
    </w:p>
  </w:footnote>
  <w:footnote w:id="11">
    <w:p w14:paraId="456B7790" w14:textId="77777777" w:rsidR="005F5311" w:rsidRPr="005F5311" w:rsidRDefault="005F5311" w:rsidP="003F477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3F28C8">
        <w:rPr>
          <w:rStyle w:val="FootnoteReference"/>
          <w:sz w:val="18"/>
        </w:rPr>
        <w:footnoteRef/>
      </w:r>
      <w:r w:rsidRPr="005F5311">
        <w:rPr>
          <w:szCs w:val="18"/>
          <w:lang w:val="ru-RU"/>
        </w:rPr>
        <w:t xml:space="preserve"> </w:t>
      </w:r>
      <w:r w:rsidRPr="005F5311">
        <w:rPr>
          <w:szCs w:val="18"/>
          <w:lang w:val="ru-RU"/>
        </w:rPr>
        <w:tab/>
        <w:t>Добавленное положение отображается на сером фоне.</w:t>
      </w:r>
    </w:p>
  </w:footnote>
  <w:footnote w:id="12">
    <w:p w14:paraId="005FE6F7" w14:textId="677C5615" w:rsidR="00726D06" w:rsidRPr="00663B1C" w:rsidRDefault="00726D06" w:rsidP="003F4774">
      <w:pPr>
        <w:pStyle w:val="Footnote-Text"/>
        <w:tabs>
          <w:tab w:val="clear" w:pos="624"/>
          <w:tab w:val="clear" w:pos="1247"/>
          <w:tab w:val="clear" w:pos="1871"/>
          <w:tab w:val="clear" w:pos="2495"/>
          <w:tab w:val="clear" w:pos="3119"/>
          <w:tab w:val="clear" w:pos="3742"/>
          <w:tab w:val="clear" w:pos="4366"/>
          <w:tab w:val="clear" w:pos="4990"/>
        </w:tabs>
        <w:rPr>
          <w:szCs w:val="18"/>
        </w:rPr>
      </w:pPr>
      <w:r w:rsidRPr="00631C1C">
        <w:rPr>
          <w:rStyle w:val="FootnoteReference"/>
          <w:sz w:val="18"/>
          <w:lang w:val="ru-RU"/>
        </w:rPr>
        <w:footnoteRef/>
      </w:r>
      <w:r w:rsidRPr="00D20C0A">
        <w:rPr>
          <w:lang w:val="en-US"/>
        </w:rPr>
        <w:t xml:space="preserve"> </w:t>
      </w:r>
      <w:r w:rsidR="003F4774" w:rsidRPr="00E240F9">
        <w:tab/>
      </w:r>
      <w:r w:rsidRPr="00D20C0A">
        <w:rPr>
          <w:lang w:val="en-US"/>
        </w:rPr>
        <w:t>UNEP/MC/COP.6/INF/8.</w:t>
      </w:r>
    </w:p>
  </w:footnote>
  <w:footnote w:id="13">
    <w:p w14:paraId="10E0F291" w14:textId="1C85922C" w:rsidR="00476C29" w:rsidRPr="00D32DA9" w:rsidRDefault="00476C29" w:rsidP="00D32DA9">
      <w:pPr>
        <w:pStyle w:val="Footnote-Text"/>
        <w:tabs>
          <w:tab w:val="clear" w:pos="624"/>
          <w:tab w:val="clear" w:pos="1247"/>
          <w:tab w:val="clear" w:pos="1871"/>
          <w:tab w:val="clear" w:pos="2495"/>
          <w:tab w:val="clear" w:pos="3119"/>
          <w:tab w:val="clear" w:pos="3742"/>
          <w:tab w:val="clear" w:pos="4366"/>
          <w:tab w:val="clear" w:pos="4990"/>
        </w:tabs>
        <w:rPr>
          <w:szCs w:val="18"/>
        </w:rPr>
      </w:pPr>
      <w:r w:rsidRPr="00D32DA9">
        <w:rPr>
          <w:rStyle w:val="FootnoteReference"/>
          <w:sz w:val="18"/>
          <w:lang w:val="ru-RU"/>
        </w:rPr>
        <w:footnoteRef/>
      </w:r>
      <w:r w:rsidRPr="00D32DA9">
        <w:rPr>
          <w:szCs w:val="18"/>
          <w:lang w:val="en-US"/>
        </w:rPr>
        <w:t xml:space="preserve"> </w:t>
      </w:r>
      <w:r w:rsidR="00D32DA9" w:rsidRPr="00E240F9">
        <w:rPr>
          <w:szCs w:val="18"/>
        </w:rPr>
        <w:tab/>
      </w:r>
      <w:r w:rsidRPr="00D32DA9">
        <w:rPr>
          <w:szCs w:val="18"/>
          <w:lang w:val="en-US"/>
        </w:rPr>
        <w:t>UNEP/MC/COP.6/6/Add.2.</w:t>
      </w:r>
    </w:p>
  </w:footnote>
  <w:footnote w:id="14">
    <w:p w14:paraId="45B0BE91" w14:textId="05C5FEE0" w:rsidR="00B43E9A" w:rsidRPr="00341754" w:rsidRDefault="00B43E9A" w:rsidP="0034175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341754">
        <w:rPr>
          <w:rStyle w:val="FootnoteReference"/>
          <w:sz w:val="18"/>
          <w:lang w:val="ru-RU"/>
        </w:rPr>
        <w:footnoteRef/>
      </w:r>
      <w:r w:rsidRPr="00341754">
        <w:rPr>
          <w:szCs w:val="18"/>
          <w:lang w:val="ru-RU"/>
        </w:rPr>
        <w:t xml:space="preserve"> </w:t>
      </w:r>
      <w:r w:rsidR="00341754">
        <w:rPr>
          <w:szCs w:val="18"/>
          <w:lang w:val="ru-RU"/>
        </w:rPr>
        <w:tab/>
      </w:r>
      <w:r w:rsidRPr="00341754">
        <w:rPr>
          <w:szCs w:val="18"/>
          <w:lang w:val="ru-RU"/>
        </w:rPr>
        <w:t>UNEP/MC/COP.6/28, приложение I.</w:t>
      </w:r>
    </w:p>
  </w:footnote>
  <w:footnote w:id="15">
    <w:p w14:paraId="75C979D4" w14:textId="5E64FE40" w:rsidR="00C72250" w:rsidRPr="00341754" w:rsidRDefault="00C72250" w:rsidP="0034175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341754">
        <w:rPr>
          <w:rStyle w:val="FootnoteReference"/>
          <w:sz w:val="18"/>
          <w:lang w:val="ru-RU"/>
        </w:rPr>
        <w:footnoteRef/>
      </w:r>
      <w:r w:rsidRPr="00341754">
        <w:rPr>
          <w:szCs w:val="18"/>
          <w:lang w:val="ru-RU"/>
        </w:rPr>
        <w:t xml:space="preserve"> </w:t>
      </w:r>
      <w:r w:rsidR="00341754">
        <w:rPr>
          <w:szCs w:val="18"/>
          <w:lang w:val="ru-RU"/>
        </w:rPr>
        <w:tab/>
      </w:r>
      <w:r w:rsidRPr="00341754">
        <w:rPr>
          <w:szCs w:val="18"/>
          <w:lang w:val="ru-RU"/>
        </w:rPr>
        <w:t>Там же, приложение II.</w:t>
      </w:r>
    </w:p>
  </w:footnote>
  <w:footnote w:id="16">
    <w:p w14:paraId="5D4D3207" w14:textId="637ACE17" w:rsidR="00C72250" w:rsidRPr="00D20C0A" w:rsidRDefault="00C72250" w:rsidP="0034175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341754">
        <w:rPr>
          <w:rStyle w:val="FootnoteReference"/>
          <w:sz w:val="18"/>
          <w:lang w:val="ru-RU"/>
        </w:rPr>
        <w:footnoteRef/>
      </w:r>
      <w:r w:rsidRPr="00341754">
        <w:rPr>
          <w:szCs w:val="18"/>
          <w:lang w:val="ru-RU"/>
        </w:rPr>
        <w:t xml:space="preserve"> </w:t>
      </w:r>
      <w:r w:rsidR="00341754">
        <w:rPr>
          <w:szCs w:val="18"/>
          <w:lang w:val="ru-RU"/>
        </w:rPr>
        <w:tab/>
      </w:r>
      <w:r w:rsidRPr="00341754">
        <w:rPr>
          <w:szCs w:val="18"/>
          <w:lang w:val="ru-RU"/>
        </w:rPr>
        <w:t>Там же, приложение III.</w:t>
      </w:r>
    </w:p>
  </w:footnote>
  <w:footnote w:id="17">
    <w:p w14:paraId="091FF94B" w14:textId="79BD3532" w:rsidR="00840F13" w:rsidRPr="00D20C0A" w:rsidRDefault="00840F13" w:rsidP="000135ED">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0135ED">
        <w:rPr>
          <w:lang w:val="ru-RU"/>
        </w:rPr>
        <w:tab/>
      </w:r>
      <w:r>
        <w:rPr>
          <w:lang w:val="ru-RU"/>
        </w:rPr>
        <w:t xml:space="preserve">Как представлено в документе </w:t>
      </w:r>
      <w:r w:rsidR="00E7608D" w:rsidRPr="00631C1C">
        <w:rPr>
          <w:rFonts w:asciiTheme="majorBidi" w:hAnsiTheme="majorBidi" w:cstheme="majorBidi"/>
        </w:rPr>
        <w:t>UNEP</w:t>
      </w:r>
      <w:r w:rsidR="00E7608D" w:rsidRPr="00AC33D6">
        <w:rPr>
          <w:rFonts w:asciiTheme="majorBidi" w:hAnsiTheme="majorBidi" w:cstheme="majorBidi"/>
          <w:lang w:val="ru-RU"/>
        </w:rPr>
        <w:t>/</w:t>
      </w:r>
      <w:r w:rsidR="00E7608D" w:rsidRPr="00631C1C">
        <w:rPr>
          <w:rFonts w:asciiTheme="majorBidi" w:hAnsiTheme="majorBidi" w:cstheme="majorBidi"/>
        </w:rPr>
        <w:t>MC</w:t>
      </w:r>
      <w:r w:rsidR="00E7608D" w:rsidRPr="00AC33D6">
        <w:rPr>
          <w:rFonts w:asciiTheme="majorBidi" w:hAnsiTheme="majorBidi" w:cstheme="majorBidi"/>
          <w:lang w:val="ru-RU"/>
        </w:rPr>
        <w:t>/</w:t>
      </w:r>
      <w:r w:rsidR="00E7608D" w:rsidRPr="00631C1C">
        <w:rPr>
          <w:rFonts w:asciiTheme="majorBidi" w:hAnsiTheme="majorBidi" w:cstheme="majorBidi"/>
        </w:rPr>
        <w:t>COP</w:t>
      </w:r>
      <w:r w:rsidR="00E7608D" w:rsidRPr="00AC33D6">
        <w:rPr>
          <w:rFonts w:asciiTheme="majorBidi" w:hAnsiTheme="majorBidi" w:cstheme="majorBidi"/>
          <w:lang w:val="ru-RU"/>
        </w:rPr>
        <w:t>.6/7/</w:t>
      </w:r>
      <w:r w:rsidR="00E7608D" w:rsidRPr="00631C1C">
        <w:rPr>
          <w:rFonts w:asciiTheme="majorBidi" w:hAnsiTheme="majorBidi" w:cstheme="majorBidi"/>
        </w:rPr>
        <w:t>Add</w:t>
      </w:r>
      <w:r w:rsidR="00E7608D" w:rsidRPr="00AC33D6">
        <w:rPr>
          <w:rFonts w:asciiTheme="majorBidi" w:hAnsiTheme="majorBidi" w:cstheme="majorBidi"/>
          <w:lang w:val="ru-RU"/>
        </w:rPr>
        <w:t>.1</w:t>
      </w:r>
      <w:r>
        <w:rPr>
          <w:lang w:val="ru-RU"/>
        </w:rPr>
        <w:t>.</w:t>
      </w:r>
    </w:p>
  </w:footnote>
  <w:footnote w:id="18">
    <w:p w14:paraId="1CC2E14E" w14:textId="43666E69" w:rsidR="00312042" w:rsidRPr="00631C1C" w:rsidRDefault="00312042" w:rsidP="000135ED">
      <w:pPr>
        <w:pStyle w:val="Footnote-Text"/>
        <w:tabs>
          <w:tab w:val="clear" w:pos="624"/>
          <w:tab w:val="clear" w:pos="1247"/>
          <w:tab w:val="clear" w:pos="1871"/>
          <w:tab w:val="clear" w:pos="2495"/>
          <w:tab w:val="clear" w:pos="3119"/>
          <w:tab w:val="clear" w:pos="3742"/>
          <w:tab w:val="clear" w:pos="4366"/>
          <w:tab w:val="clear" w:pos="4990"/>
        </w:tabs>
        <w:rPr>
          <w:szCs w:val="18"/>
        </w:rPr>
      </w:pPr>
      <w:r w:rsidRPr="00631C1C">
        <w:rPr>
          <w:rStyle w:val="FootnoteReference"/>
          <w:sz w:val="18"/>
          <w:lang w:val="ru-RU"/>
        </w:rPr>
        <w:footnoteRef/>
      </w:r>
      <w:r w:rsidRPr="00D20C0A">
        <w:rPr>
          <w:lang w:val="en-US"/>
        </w:rPr>
        <w:t xml:space="preserve"> </w:t>
      </w:r>
      <w:r w:rsidR="000135ED" w:rsidRPr="00E240F9">
        <w:tab/>
      </w:r>
      <w:r w:rsidRPr="00D20C0A">
        <w:rPr>
          <w:lang w:val="en-US"/>
        </w:rPr>
        <w:t>UNEP/MC/COP.6/INF/11.</w:t>
      </w:r>
    </w:p>
  </w:footnote>
  <w:footnote w:id="19">
    <w:p w14:paraId="7B4A38DC" w14:textId="78D61304" w:rsidR="00312042" w:rsidRPr="00D57AEE" w:rsidRDefault="00312042" w:rsidP="00D57AEE">
      <w:pPr>
        <w:pStyle w:val="Footnote-Text"/>
        <w:tabs>
          <w:tab w:val="clear" w:pos="624"/>
          <w:tab w:val="clear" w:pos="1247"/>
          <w:tab w:val="clear" w:pos="1871"/>
          <w:tab w:val="clear" w:pos="2495"/>
          <w:tab w:val="clear" w:pos="3119"/>
          <w:tab w:val="clear" w:pos="3742"/>
          <w:tab w:val="clear" w:pos="4366"/>
          <w:tab w:val="clear" w:pos="4990"/>
        </w:tabs>
        <w:rPr>
          <w:szCs w:val="18"/>
        </w:rPr>
      </w:pPr>
      <w:r w:rsidRPr="00D57AEE">
        <w:rPr>
          <w:rStyle w:val="FootnoteReference"/>
          <w:sz w:val="18"/>
          <w:lang w:val="ru-RU"/>
        </w:rPr>
        <w:footnoteRef/>
      </w:r>
      <w:r w:rsidRPr="00D57AEE">
        <w:rPr>
          <w:szCs w:val="18"/>
          <w:lang w:val="en-US"/>
        </w:rPr>
        <w:t xml:space="preserve"> </w:t>
      </w:r>
      <w:r w:rsidR="00D57AEE" w:rsidRPr="00E240F9">
        <w:rPr>
          <w:szCs w:val="18"/>
        </w:rPr>
        <w:tab/>
      </w:r>
      <w:r w:rsidRPr="00D57AEE">
        <w:rPr>
          <w:szCs w:val="18"/>
          <w:lang w:val="en-US"/>
        </w:rPr>
        <w:t>UNEP/MC/COP.6/INF/39.</w:t>
      </w:r>
    </w:p>
  </w:footnote>
  <w:footnote w:id="20">
    <w:p w14:paraId="697453B8" w14:textId="385C0E04" w:rsidR="00312042" w:rsidRPr="008A1AAF" w:rsidRDefault="00312042" w:rsidP="008A1AAF">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8A1AAF">
        <w:rPr>
          <w:rStyle w:val="FootnoteReference"/>
          <w:sz w:val="18"/>
          <w:lang w:val="ru-RU"/>
        </w:rPr>
        <w:footnoteRef/>
      </w:r>
      <w:r w:rsidRPr="008A1AAF">
        <w:rPr>
          <w:szCs w:val="18"/>
          <w:lang w:val="ru-RU"/>
        </w:rPr>
        <w:t xml:space="preserve"> </w:t>
      </w:r>
      <w:r w:rsidR="008A1AAF">
        <w:rPr>
          <w:szCs w:val="18"/>
          <w:lang w:val="ru-RU"/>
        </w:rPr>
        <w:tab/>
      </w:r>
      <w:r w:rsidRPr="008A1AAF">
        <w:rPr>
          <w:szCs w:val="18"/>
          <w:lang w:val="ru-RU"/>
        </w:rPr>
        <w:t>Специальная программа для оказания поддержки деятельности по укреплению институционального потенциала на национальном уровне в интересах осуществления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Минаматской конвенции о ртути, Стратегического подхода к международному регулированию химических веществ и Глобальной рамочной программы по химическим веществам «Ради планеты, свободной от вредного воздействия химических веществ и отходов» (Программы по регулированию химических веществ и отходов).</w:t>
      </w:r>
    </w:p>
  </w:footnote>
  <w:footnote w:id="21">
    <w:p w14:paraId="2884F2E7" w14:textId="5032BF8D" w:rsidR="00107665" w:rsidRPr="00DB6FFC" w:rsidRDefault="00107665" w:rsidP="00EC0750">
      <w:pPr>
        <w:pStyle w:val="Footnote-Text"/>
        <w:tabs>
          <w:tab w:val="clear" w:pos="624"/>
          <w:tab w:val="clear" w:pos="1247"/>
          <w:tab w:val="clear" w:pos="1871"/>
          <w:tab w:val="clear" w:pos="2495"/>
          <w:tab w:val="clear" w:pos="3119"/>
          <w:tab w:val="clear" w:pos="3742"/>
          <w:tab w:val="clear" w:pos="4366"/>
          <w:tab w:val="clear" w:pos="4990"/>
        </w:tabs>
        <w:rPr>
          <w:lang w:val="ru-RU"/>
        </w:rPr>
      </w:pPr>
      <w:r w:rsidRPr="00631C1C">
        <w:rPr>
          <w:rStyle w:val="FootnoteReference"/>
          <w:lang w:val="ru-RU"/>
        </w:rPr>
        <w:footnoteRef/>
      </w:r>
      <w:r>
        <w:rPr>
          <w:lang w:val="ru-RU"/>
        </w:rPr>
        <w:t xml:space="preserve"> </w:t>
      </w:r>
      <w:r w:rsidR="00EC0750" w:rsidRPr="0096634E">
        <w:rPr>
          <w:lang w:val="ru-RU"/>
        </w:rPr>
        <w:tab/>
      </w:r>
      <w:r>
        <w:rPr>
          <w:lang w:val="ru-RU"/>
        </w:rPr>
        <w:t>См. документ UNEP/MC/COP.6/INF/18.</w:t>
      </w:r>
    </w:p>
  </w:footnote>
  <w:footnote w:id="22">
    <w:p w14:paraId="0F673D7F" w14:textId="38721C0C" w:rsidR="00107665" w:rsidRPr="00631C1C" w:rsidRDefault="00107665" w:rsidP="0094750E">
      <w:pPr>
        <w:pStyle w:val="Footnote-Text"/>
        <w:tabs>
          <w:tab w:val="clear" w:pos="624"/>
          <w:tab w:val="clear" w:pos="1247"/>
          <w:tab w:val="clear" w:pos="1871"/>
          <w:tab w:val="clear" w:pos="2495"/>
          <w:tab w:val="clear" w:pos="3119"/>
          <w:tab w:val="clear" w:pos="3742"/>
          <w:tab w:val="clear" w:pos="4366"/>
          <w:tab w:val="clear" w:pos="4990"/>
        </w:tabs>
      </w:pPr>
      <w:r w:rsidRPr="00631C1C">
        <w:rPr>
          <w:rStyle w:val="FootnoteReference"/>
          <w:lang w:val="ru-RU"/>
        </w:rPr>
        <w:footnoteRef/>
      </w:r>
      <w:r w:rsidRPr="001271A9">
        <w:rPr>
          <w:lang w:val="en-US"/>
        </w:rPr>
        <w:t xml:space="preserve"> </w:t>
      </w:r>
      <w:r w:rsidR="0094750E">
        <w:rPr>
          <w:lang w:val="en-US"/>
        </w:rPr>
        <w:tab/>
      </w:r>
      <w:r w:rsidRPr="001271A9">
        <w:rPr>
          <w:lang w:val="en-US"/>
        </w:rPr>
        <w:t>UNEP/MC/COP.6/14.</w:t>
      </w:r>
    </w:p>
  </w:footnote>
  <w:footnote w:id="23">
    <w:p w14:paraId="06AEDFBF" w14:textId="0CAAD786" w:rsidR="00107665" w:rsidRPr="00631C1C" w:rsidRDefault="00107665" w:rsidP="0094750E">
      <w:pPr>
        <w:pStyle w:val="Footnote-Text"/>
        <w:tabs>
          <w:tab w:val="clear" w:pos="624"/>
          <w:tab w:val="clear" w:pos="1247"/>
          <w:tab w:val="clear" w:pos="1871"/>
          <w:tab w:val="clear" w:pos="2495"/>
          <w:tab w:val="clear" w:pos="3119"/>
          <w:tab w:val="clear" w:pos="3742"/>
          <w:tab w:val="clear" w:pos="4366"/>
          <w:tab w:val="clear" w:pos="4990"/>
        </w:tabs>
        <w:rPr>
          <w:szCs w:val="18"/>
        </w:rPr>
      </w:pPr>
      <w:r w:rsidRPr="00631C1C">
        <w:rPr>
          <w:rStyle w:val="FootnoteReference"/>
          <w:lang w:val="ru-RU"/>
        </w:rPr>
        <w:footnoteRef/>
      </w:r>
      <w:r w:rsidRPr="001271A9">
        <w:rPr>
          <w:lang w:val="en-US"/>
        </w:rPr>
        <w:t xml:space="preserve"> </w:t>
      </w:r>
      <w:r w:rsidR="0094750E">
        <w:rPr>
          <w:lang w:val="en-US"/>
        </w:rPr>
        <w:tab/>
      </w:r>
      <w:r w:rsidRPr="001271A9">
        <w:rPr>
          <w:lang w:val="en-US"/>
        </w:rPr>
        <w:t>UNEP/MC/COP.6/INF/21.</w:t>
      </w:r>
    </w:p>
  </w:footnote>
  <w:footnote w:id="24">
    <w:p w14:paraId="053A5980" w14:textId="77777777" w:rsidR="00AC603D" w:rsidRPr="0094750E" w:rsidRDefault="00AC603D" w:rsidP="00AC603D">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94750E">
        <w:rPr>
          <w:rStyle w:val="FootnoteReference"/>
          <w:sz w:val="18"/>
          <w:lang w:val="ru-RU"/>
        </w:rPr>
        <w:footnoteRef/>
      </w:r>
      <w:r w:rsidRPr="0094750E">
        <w:rPr>
          <w:szCs w:val="18"/>
          <w:lang w:val="ru-RU"/>
        </w:rPr>
        <w:t xml:space="preserve"> </w:t>
      </w:r>
      <w:r w:rsidRPr="0096634E">
        <w:rPr>
          <w:szCs w:val="18"/>
          <w:lang w:val="ru-RU"/>
        </w:rPr>
        <w:tab/>
      </w:r>
      <w:r w:rsidRPr="0094750E">
        <w:rPr>
          <w:szCs w:val="18"/>
          <w:lang w:val="ru-RU"/>
        </w:rPr>
        <w:t>Предлагаемые мероприятия изложены в документе UNEP/MC/COP.6/29, пункт 2.</w:t>
      </w:r>
    </w:p>
  </w:footnote>
  <w:footnote w:id="25">
    <w:p w14:paraId="464E9EAB" w14:textId="77777777" w:rsidR="004F7BAC" w:rsidRPr="0094750E" w:rsidRDefault="004F7BAC" w:rsidP="004F7BA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94750E">
        <w:rPr>
          <w:rStyle w:val="FootnoteReference"/>
          <w:sz w:val="18"/>
          <w:lang w:val="ru-RU"/>
        </w:rPr>
        <w:footnoteRef/>
      </w:r>
      <w:r w:rsidRPr="0094750E">
        <w:rPr>
          <w:szCs w:val="18"/>
          <w:lang w:val="ru-RU"/>
        </w:rPr>
        <w:t xml:space="preserve"> </w:t>
      </w:r>
      <w:r w:rsidRPr="0096634E">
        <w:rPr>
          <w:szCs w:val="18"/>
          <w:lang w:val="ru-RU"/>
        </w:rPr>
        <w:tab/>
      </w:r>
      <w:r w:rsidRPr="0094750E">
        <w:rPr>
          <w:szCs w:val="18"/>
          <w:lang w:val="ru-RU"/>
        </w:rPr>
        <w:t>Предлагаемые мероприятия изложены в документе UNEP/MC/COP.6/29, пункт 1.</w:t>
      </w:r>
    </w:p>
  </w:footnote>
  <w:footnote w:id="26">
    <w:p w14:paraId="0D38FD7D" w14:textId="44A12D38" w:rsidR="00107665" w:rsidRPr="005C23E3" w:rsidRDefault="00107665" w:rsidP="005C23E3">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5C23E3">
        <w:rPr>
          <w:rStyle w:val="FootnoteReference"/>
          <w:sz w:val="18"/>
          <w:lang w:val="ru-RU"/>
        </w:rPr>
        <w:footnoteRef/>
      </w:r>
      <w:r w:rsidRPr="005C23E3">
        <w:rPr>
          <w:szCs w:val="18"/>
          <w:lang w:val="ru-RU"/>
        </w:rPr>
        <w:t xml:space="preserve"> </w:t>
      </w:r>
      <w:r w:rsidR="005C23E3" w:rsidRPr="0096634E">
        <w:rPr>
          <w:szCs w:val="18"/>
          <w:lang w:val="ru-RU"/>
        </w:rPr>
        <w:tab/>
      </w:r>
      <w:r w:rsidRPr="005C23E3">
        <w:rPr>
          <w:szCs w:val="18"/>
          <w:lang w:val="ru-RU"/>
        </w:rPr>
        <w:t>UNEP/MC/COP.5/19, приложение I.</w:t>
      </w:r>
    </w:p>
  </w:footnote>
  <w:footnote w:id="27">
    <w:p w14:paraId="5E616EE3" w14:textId="7650A976" w:rsidR="00107665" w:rsidRPr="005C23E3" w:rsidRDefault="00107665" w:rsidP="005C23E3">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5C23E3">
        <w:rPr>
          <w:rStyle w:val="FootnoteReference"/>
          <w:sz w:val="18"/>
          <w:lang w:val="ru-RU"/>
        </w:rPr>
        <w:footnoteRef/>
      </w:r>
      <w:r w:rsidRPr="005C23E3">
        <w:rPr>
          <w:szCs w:val="18"/>
          <w:lang w:val="ru-RU"/>
        </w:rPr>
        <w:t xml:space="preserve"> </w:t>
      </w:r>
      <w:r w:rsidR="005C23E3" w:rsidRPr="0096634E">
        <w:rPr>
          <w:szCs w:val="18"/>
          <w:lang w:val="ru-RU"/>
        </w:rPr>
        <w:tab/>
      </w:r>
      <w:r w:rsidRPr="005C23E3">
        <w:rPr>
          <w:szCs w:val="18"/>
          <w:lang w:val="ru-RU"/>
        </w:rPr>
        <w:t>Как изложено в документе UNEP/MC/COP.6/19.</w:t>
      </w:r>
    </w:p>
  </w:footnote>
  <w:footnote w:id="28">
    <w:p w14:paraId="5AE7E96F" w14:textId="66891FE2"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 xml:space="preserve">См. </w:t>
      </w:r>
      <w:hyperlink r:id="rId1" w:history="1">
        <w:r w:rsidRPr="002D3800">
          <w:rPr>
            <w:rStyle w:val="Hyperlink"/>
            <w:lang w:val="ru-RU"/>
          </w:rPr>
          <w:t>https://www.unep.org/events/conference/bern-iii-conference-cooperation-among-biodiversity-related-conventions</w:t>
        </w:r>
      </w:hyperlink>
      <w:r>
        <w:rPr>
          <w:lang w:val="ru-RU"/>
        </w:rPr>
        <w:t>.</w:t>
      </w:r>
      <w:hyperlink r:id="rId2" w:history="1"/>
    </w:p>
  </w:footnote>
  <w:footnote w:id="29">
    <w:p w14:paraId="0DF3218B" w14:textId="66103AF4"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Представлена в разделе III документа UNEP/MC/COP.6/20.</w:t>
      </w:r>
    </w:p>
  </w:footnote>
  <w:footnote w:id="30">
    <w:p w14:paraId="435A7948" w14:textId="17B288C5"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UNEP/MC/COP.6/INF/27.</w:t>
      </w:r>
    </w:p>
  </w:footnote>
  <w:footnote w:id="31">
    <w:p w14:paraId="00EBAA4F" w14:textId="3735B726"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Конференция Сторон Конвенции о биологическом разнообразии, решение 16/11, пункт 3.</w:t>
      </w:r>
    </w:p>
  </w:footnote>
  <w:footnote w:id="32">
    <w:p w14:paraId="6BF1426F" w14:textId="64F7C337"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Резолюция 6/3 о повышении роли и жизнеспособности региональных форумов министров по вопросам окружающей среды и региональных бюро Программы Организации Объединенных Наций по окружающей среде в обеспечении многостороннего сотрудничества в решении природоохранных проблем; резолюция 6/4 о содействии синергии, сотрудничеству или взаимодействию в целях осуществления на национальном уровне многосторонних природоохранных соглашений и других соответствующих природоохранных договоров; резолюция 6/5 об экологических аспектах регулирования полезных ископаемых и металлов; резолюция 6/6 о содействии национальным действиям для решения глобальных природоохранных проблем путем расширения сотрудничества между Ассамблеей Организации Объединенных Наций по окружающей среде, Программой Организации Объединенных Наций по окружающей среде и многосторонними природоохранными соглашениями; и резолюция 6/9 о рациональном регулировании химических веществ и отходов.</w:t>
      </w:r>
    </w:p>
  </w:footnote>
  <w:footnote w:id="33">
    <w:p w14:paraId="218E7CD6" w14:textId="1008F112"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Как изложено в документе UNEP/MC/COP.6/INF/28.</w:t>
      </w:r>
    </w:p>
  </w:footnote>
  <w:footnote w:id="34">
    <w:p w14:paraId="7257DAF5" w14:textId="26232D9F" w:rsidR="00107665" w:rsidRPr="00631C1C" w:rsidRDefault="00107665" w:rsidP="00956FD1">
      <w:pPr>
        <w:pStyle w:val="Footnote-Text"/>
        <w:tabs>
          <w:tab w:val="clear" w:pos="624"/>
          <w:tab w:val="clear" w:pos="1247"/>
          <w:tab w:val="clear" w:pos="1871"/>
          <w:tab w:val="clear" w:pos="2495"/>
          <w:tab w:val="clear" w:pos="3119"/>
          <w:tab w:val="clear" w:pos="3742"/>
          <w:tab w:val="clear" w:pos="4366"/>
          <w:tab w:val="clear" w:pos="4990"/>
        </w:tabs>
      </w:pPr>
      <w:r w:rsidRPr="00631C1C">
        <w:rPr>
          <w:vertAlign w:val="superscript"/>
          <w:lang w:val="ru-RU"/>
        </w:rPr>
        <w:footnoteRef/>
      </w:r>
      <w:r w:rsidRPr="001271A9">
        <w:rPr>
          <w:lang w:val="en-US"/>
        </w:rPr>
        <w:t xml:space="preserve"> </w:t>
      </w:r>
      <w:r w:rsidR="00956FD1">
        <w:rPr>
          <w:lang w:val="en-US"/>
        </w:rPr>
        <w:tab/>
      </w:r>
      <w:r w:rsidRPr="001271A9">
        <w:rPr>
          <w:lang w:val="en-US"/>
        </w:rPr>
        <w:t xml:space="preserve">UNEP/MC/COP.6/INF/29, </w:t>
      </w:r>
      <w:r>
        <w:rPr>
          <w:lang w:val="ru-RU"/>
        </w:rPr>
        <w:t>приложение</w:t>
      </w:r>
      <w:r w:rsidRPr="001271A9">
        <w:rPr>
          <w:lang w:val="en-US"/>
        </w:rPr>
        <w:t xml:space="preserve"> I.</w:t>
      </w:r>
    </w:p>
  </w:footnote>
  <w:footnote w:id="35">
    <w:p w14:paraId="2F77D234" w14:textId="2E9A0195" w:rsidR="00107665" w:rsidRPr="001271A9" w:rsidRDefault="00107665" w:rsidP="00956FD1">
      <w:pPr>
        <w:pStyle w:val="Footnote-Text"/>
        <w:tabs>
          <w:tab w:val="clear" w:pos="624"/>
          <w:tab w:val="clear" w:pos="1247"/>
          <w:tab w:val="clear" w:pos="1871"/>
          <w:tab w:val="clear" w:pos="2495"/>
          <w:tab w:val="clear" w:pos="3119"/>
          <w:tab w:val="clear" w:pos="3742"/>
          <w:tab w:val="clear" w:pos="4366"/>
          <w:tab w:val="clear" w:pos="4990"/>
        </w:tabs>
        <w:rPr>
          <w:lang w:val="ru-RU"/>
        </w:rPr>
      </w:pPr>
      <w:r w:rsidRPr="00631C1C">
        <w:rPr>
          <w:vertAlign w:val="superscript"/>
          <w:lang w:val="ru-RU"/>
        </w:rPr>
        <w:footnoteRef/>
      </w:r>
      <w:r>
        <w:rPr>
          <w:lang w:val="ru-RU"/>
        </w:rPr>
        <w:t xml:space="preserve"> </w:t>
      </w:r>
      <w:r w:rsidR="00956FD1" w:rsidRPr="0096634E">
        <w:rPr>
          <w:lang w:val="ru-RU"/>
        </w:rPr>
        <w:tab/>
      </w:r>
      <w:r>
        <w:rPr>
          <w:lang w:val="ru-RU"/>
        </w:rPr>
        <w:t>Там же, приложение II.</w:t>
      </w:r>
    </w:p>
  </w:footnote>
  <w:footnote w:id="36">
    <w:p w14:paraId="22C7EFA2" w14:textId="77777777" w:rsidR="00107665" w:rsidRPr="001271A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06009">
        <w:rPr>
          <w:rStyle w:val="FootnoteReference"/>
          <w:sz w:val="18"/>
          <w:lang w:val="ru-RU"/>
        </w:rPr>
        <w:footnoteRef/>
      </w:r>
      <w:r w:rsidRPr="001271A9">
        <w:rPr>
          <w:lang w:val="ru-RU"/>
        </w:rPr>
        <w:t xml:space="preserve"> </w:t>
      </w:r>
      <w:r w:rsidRPr="001271A9">
        <w:rPr>
          <w:lang w:val="ru-RU"/>
        </w:rPr>
        <w:tab/>
      </w:r>
      <w:r w:rsidRPr="00215D83">
        <w:t>UNEP</w:t>
      </w:r>
      <w:r w:rsidRPr="001271A9">
        <w:rPr>
          <w:lang w:val="ru-RU"/>
        </w:rPr>
        <w:t>/</w:t>
      </w:r>
      <w:r w:rsidRPr="00215D83">
        <w:t>MC</w:t>
      </w:r>
      <w:r w:rsidRPr="001271A9">
        <w:rPr>
          <w:lang w:val="ru-RU"/>
        </w:rPr>
        <w:t>/</w:t>
      </w:r>
      <w:r w:rsidRPr="00215D83">
        <w:t>COP</w:t>
      </w:r>
      <w:r w:rsidRPr="001271A9">
        <w:rPr>
          <w:lang w:val="ru-RU"/>
        </w:rPr>
        <w:t>.6/23.</w:t>
      </w:r>
    </w:p>
  </w:footnote>
  <w:footnote w:id="37">
    <w:p w14:paraId="6B40CC0D" w14:textId="77777777" w:rsidR="00107665" w:rsidRPr="00107665"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107665">
        <w:t xml:space="preserve"> </w:t>
      </w:r>
      <w:r w:rsidRPr="00107665">
        <w:tab/>
      </w:r>
      <w:r w:rsidRPr="00215D83">
        <w:t>UNEP</w:t>
      </w:r>
      <w:r w:rsidRPr="00107665">
        <w:t>/</w:t>
      </w:r>
      <w:r w:rsidRPr="00215D83">
        <w:t>MC</w:t>
      </w:r>
      <w:r w:rsidRPr="00107665">
        <w:t>/</w:t>
      </w:r>
      <w:r w:rsidRPr="00215D83">
        <w:t>COP</w:t>
      </w:r>
      <w:r w:rsidRPr="00107665">
        <w:t>.6/</w:t>
      </w:r>
      <w:r w:rsidRPr="00215D83">
        <w:t>INF</w:t>
      </w:r>
      <w:r w:rsidRPr="00107665">
        <w:t>/37.</w:t>
      </w:r>
    </w:p>
  </w:footnote>
  <w:footnote w:id="38">
    <w:p w14:paraId="2FE10363"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UNEP/MC/COP.6/INF/38.</w:t>
      </w:r>
    </w:p>
  </w:footnote>
  <w:footnote w:id="39">
    <w:p w14:paraId="664BBFC2"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UNEP/MC/COP.6/INF/36.</w:t>
      </w:r>
    </w:p>
  </w:footnote>
  <w:footnote w:id="40">
    <w:p w14:paraId="03086AAB"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UNEP/MC/COP.6/INF/37.</w:t>
      </w:r>
    </w:p>
  </w:footnote>
  <w:footnote w:id="41">
    <w:p w14:paraId="74F0D8E4"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UNEP/MC/COP.6/INF/36.</w:t>
      </w:r>
    </w:p>
  </w:footnote>
  <w:footnote w:id="42">
    <w:p w14:paraId="56BD9A91"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ind w:firstLine="1"/>
        <w:rPr>
          <w:szCs w:val="18"/>
        </w:rPr>
      </w:pPr>
      <w:r w:rsidRPr="00F06009">
        <w:rPr>
          <w:rStyle w:val="FootnoteReference"/>
          <w:sz w:val="18"/>
          <w:lang w:val="ru-RU"/>
        </w:rPr>
        <w:footnoteRef/>
      </w:r>
      <w:r w:rsidRPr="00215D83">
        <w:t xml:space="preserve"> </w:t>
      </w:r>
      <w:r>
        <w:tab/>
      </w:r>
      <w:r w:rsidRPr="00215D83">
        <w:t>UNEP/MC/COP.6/23.</w:t>
      </w:r>
    </w:p>
  </w:footnote>
  <w:footnote w:id="43">
    <w:p w14:paraId="42DF8145"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UNEP/MC/COP.6/INF/37.</w:t>
      </w:r>
    </w:p>
  </w:footnote>
  <w:footnote w:id="44">
    <w:p w14:paraId="136F10AE"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UNEP/MC/COP.6/INF/38.</w:t>
      </w:r>
    </w:p>
  </w:footnote>
  <w:footnote w:id="45">
    <w:p w14:paraId="26DFAA2B" w14:textId="77777777" w:rsidR="00107665" w:rsidRPr="00107665"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06009">
        <w:rPr>
          <w:rStyle w:val="FootnoteReference"/>
          <w:sz w:val="18"/>
          <w:lang w:val="ru-RU"/>
        </w:rPr>
        <w:footnoteRef/>
      </w:r>
      <w:r w:rsidRPr="00107665">
        <w:rPr>
          <w:lang w:val="ru-RU"/>
        </w:rPr>
        <w:t xml:space="preserve"> </w:t>
      </w:r>
      <w:r w:rsidRPr="00107665">
        <w:rPr>
          <w:lang w:val="ru-RU"/>
        </w:rPr>
        <w:tab/>
      </w:r>
      <w:r w:rsidRPr="00215D83">
        <w:t>UNEP</w:t>
      </w:r>
      <w:r w:rsidRPr="00107665">
        <w:rPr>
          <w:lang w:val="ru-RU"/>
        </w:rPr>
        <w:t>/</w:t>
      </w:r>
      <w:r w:rsidRPr="00215D83">
        <w:t>MC</w:t>
      </w:r>
      <w:r w:rsidRPr="00107665">
        <w:rPr>
          <w:lang w:val="ru-RU"/>
        </w:rPr>
        <w:t>/</w:t>
      </w:r>
      <w:r w:rsidRPr="00215D83">
        <w:t>COP</w:t>
      </w:r>
      <w:r w:rsidRPr="00107665">
        <w:rPr>
          <w:lang w:val="ru-RU"/>
        </w:rPr>
        <w:t>.6/11.</w:t>
      </w:r>
    </w:p>
  </w:footnote>
  <w:footnote w:id="46">
    <w:p w14:paraId="6D900DFB" w14:textId="1C8CCD09" w:rsidR="00107665" w:rsidRPr="0008072C" w:rsidRDefault="00107665" w:rsidP="0008072C">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08072C">
        <w:rPr>
          <w:rStyle w:val="FootnoteReference"/>
          <w:sz w:val="18"/>
          <w:lang w:val="ru-RU"/>
        </w:rPr>
        <w:footnoteRef/>
      </w:r>
      <w:r w:rsidRPr="0008072C">
        <w:rPr>
          <w:szCs w:val="18"/>
          <w:lang w:val="ru-RU"/>
        </w:rPr>
        <w:t xml:space="preserve"> </w:t>
      </w:r>
      <w:r w:rsidR="0008072C">
        <w:rPr>
          <w:szCs w:val="18"/>
          <w:lang w:val="ru-RU"/>
        </w:rPr>
        <w:tab/>
      </w:r>
      <w:r w:rsidRPr="0008072C">
        <w:rPr>
          <w:szCs w:val="18"/>
          <w:lang w:val="ru-RU"/>
        </w:rPr>
        <w:t xml:space="preserve">После шестого совещания Конференции Сторон стало известно, что в Международном центре конференций в Женеве стало возможным провести совещание в период с 6 по 10 сентября 2027 года. С учетом этого (и чтобы не менять обычную продолжительность межсессионного периода) Бюро в декабре 2025 года постановило, что седьмое совещание Конференции Сторон состоится в Международном центре конференций в Женеве 6–10 сентября 2027 года, а региональные подготовительные совещания </w:t>
      </w:r>
      <w:r w:rsidR="00D731C9">
        <w:rPr>
          <w:szCs w:val="18"/>
          <w:lang w:val="ru-RU"/>
        </w:rPr>
        <w:t>–</w:t>
      </w:r>
      <w:r w:rsidRPr="0008072C">
        <w:rPr>
          <w:szCs w:val="18"/>
          <w:lang w:val="ru-RU"/>
        </w:rPr>
        <w:t xml:space="preserve"> 5</w:t>
      </w:r>
      <w:r w:rsidR="005759D3">
        <w:rPr>
          <w:szCs w:val="18"/>
          <w:lang w:val="ru-RU"/>
        </w:rPr>
        <w:t> </w:t>
      </w:r>
      <w:r w:rsidRPr="0008072C">
        <w:rPr>
          <w:szCs w:val="18"/>
          <w:lang w:val="ru-RU"/>
        </w:rPr>
        <w:t>сентября 2027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57E583AE" w:rsidR="00312042" w:rsidRPr="00E84D8D" w:rsidRDefault="0065285C" w:rsidP="00546B6B">
    <w:pPr>
      <w:pStyle w:val="Header-pool"/>
      <w:tabs>
        <w:tab w:val="clear" w:pos="1247"/>
        <w:tab w:val="clear" w:pos="1814"/>
        <w:tab w:val="clear" w:pos="2381"/>
        <w:tab w:val="clear" w:pos="2948"/>
        <w:tab w:val="clear" w:pos="3515"/>
        <w:tab w:val="clear" w:pos="9072"/>
      </w:tabs>
      <w:spacing w:after="120"/>
    </w:pPr>
    <w:r>
      <w:rPr>
        <w:noProof/>
      </w:rPr>
      <w:t>UNEP/MC/COP.6/25/Add.1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71123AFA" w:rsidR="00312042" w:rsidRPr="00E84D8D" w:rsidRDefault="0065285C" w:rsidP="00546B6B">
    <w:pPr>
      <w:pStyle w:val="Header-pool"/>
      <w:tabs>
        <w:tab w:val="clear" w:pos="1247"/>
        <w:tab w:val="clear" w:pos="1814"/>
        <w:tab w:val="clear" w:pos="2381"/>
        <w:tab w:val="clear" w:pos="2948"/>
        <w:tab w:val="clear" w:pos="3515"/>
        <w:tab w:val="clear" w:pos="9072"/>
      </w:tabs>
      <w:spacing w:after="120"/>
      <w:jc w:val="right"/>
    </w:pPr>
    <w:r>
      <w:rPr>
        <w:noProof/>
      </w:rPr>
      <w:t>UNEP/MC/COP.6/25/Add.1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8A2" w14:textId="77777777" w:rsidR="00107665" w:rsidRPr="00E84D8D" w:rsidRDefault="00107665" w:rsidP="00E84D8D">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C032" w14:textId="77777777" w:rsidR="00107665" w:rsidRPr="00E84D8D" w:rsidRDefault="00107665" w:rsidP="00E84D8D">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inamataconvention.org/en/parties/vc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3F607-C6A0-4218-B397-5AAA6FB7D049}"/>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30</TotalTime>
  <Pages>48</Pages>
  <Words>16112</Words>
  <Characters>91845</Characters>
  <Application>Microsoft Office Word</Application>
  <DocSecurity>0</DocSecurity>
  <PresentationFormat/>
  <Lines>765</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107742</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Natalia Cherutich</cp:lastModifiedBy>
  <cp:revision>7</cp:revision>
  <cp:lastPrinted>2026-01-27T13:32:00Z</cp:lastPrinted>
  <dcterms:created xsi:type="dcterms:W3CDTF">2026-03-18T10:27:00Z</dcterms:created>
  <dcterms:modified xsi:type="dcterms:W3CDTF">2026-03-18T11:36:00Z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