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7490EDC3"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/25</w:t>
            </w:r>
            <w:bookmarkStart w:id="2" w:name="Symbol1C"/>
            <w:bookmarkEnd w:id="1"/>
            <w:r w:rsidR="009939F7" w:rsidRPr="00631C1C">
              <w:t>/Add.1</w:t>
            </w:r>
            <w:bookmarkEnd w:id="2"/>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3" w:name="Distribution"/>
            <w:r w:rsidR="009939F7" w:rsidRPr="00631C1C">
              <w:rPr>
                <w:rFonts w:eastAsiaTheme="minorEastAsia"/>
              </w:rPr>
              <w:t>General</w:t>
            </w:r>
            <w:bookmarkEnd w:id="3"/>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4" w:name="DistributionDate"/>
            <w:r w:rsidRPr="00631C1C">
              <w:rPr>
                <w:rFonts w:eastAsiaTheme="minorEastAsia"/>
              </w:rPr>
              <w:t>24 November 2025</w:t>
            </w:r>
            <w:bookmarkEnd w:id="4"/>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5" w:name="DistributionLang"/>
            <w:r w:rsidRPr="00631C1C">
              <w:rPr>
                <w:rFonts w:eastAsiaTheme="minorEastAsia"/>
              </w:rPr>
              <w:t>Original: English</w:t>
            </w:r>
            <w:bookmarkEnd w:id="5"/>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6"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6"/>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7" w:name="CorNot1VenueDate"/>
            <w:r w:rsidRPr="00631C1C">
              <w:rPr>
                <w:rFonts w:eastAsiaTheme="minorEastAsia"/>
              </w:rPr>
              <w:t>Geneva, 3–7 November 2025</w:t>
            </w:r>
            <w:bookmarkEnd w:id="7"/>
          </w:p>
        </w:tc>
        <w:tc>
          <w:tcPr>
            <w:tcW w:w="4195" w:type="dxa"/>
          </w:tcPr>
          <w:p w14:paraId="3EC08087" w14:textId="77777777" w:rsidR="00CD5597" w:rsidRPr="00631C1C" w:rsidRDefault="00CD5597" w:rsidP="00CD5597">
            <w:pPr>
              <w:pStyle w:val="Normal-pool"/>
              <w:rPr>
                <w:rFonts w:eastAsiaTheme="minorEastAsia"/>
              </w:rPr>
            </w:pPr>
          </w:p>
        </w:tc>
      </w:tr>
    </w:tbl>
    <w:p w14:paraId="2A3060AE" w14:textId="77777777" w:rsidR="00032118" w:rsidRPr="00631C1C" w:rsidRDefault="00032118" w:rsidP="00032118">
      <w:pPr>
        <w:pStyle w:val="BBTitle"/>
      </w:pPr>
      <w:r w:rsidRPr="00631C1C">
        <w:t>Decisions adopted by the Conference of the Parties to the Minamata Convention on Mercury at its sixth meeting</w:t>
      </w:r>
    </w:p>
    <w:p w14:paraId="1CF9C3C3" w14:textId="77777777" w:rsidR="00032118" w:rsidRPr="00A524E7" w:rsidRDefault="00032118" w:rsidP="00F16F39">
      <w:pPr>
        <w:pStyle w:val="NormalNonumber"/>
      </w:pPr>
      <w:r w:rsidRPr="00A524E7">
        <w:t>The decisions adopted by the Conference of the Parties to the Minamata Convention on Mercury at its sixth meeting are set out in the annex to the present addendum.</w:t>
      </w:r>
    </w:p>
    <w:p w14:paraId="67E79553" w14:textId="77777777" w:rsidR="00312042" w:rsidRPr="00631C1C" w:rsidRDefault="00312042" w:rsidP="00312042">
      <w:pPr>
        <w:pStyle w:val="Normal-pool"/>
      </w:pPr>
      <w:r w:rsidRPr="00631C1C">
        <w:br w:type="page"/>
      </w:r>
    </w:p>
    <w:p w14:paraId="3A587050" w14:textId="77777777" w:rsidR="00312042" w:rsidRPr="00631C1C" w:rsidRDefault="00312042" w:rsidP="00312042">
      <w:pPr>
        <w:pStyle w:val="ZZAnxheader"/>
      </w:pPr>
      <w:r w:rsidRPr="00631C1C">
        <w:lastRenderedPageBreak/>
        <w:t>Annex</w:t>
      </w:r>
    </w:p>
    <w:p w14:paraId="6DD97AC3" w14:textId="77777777" w:rsidR="00312042" w:rsidRPr="00631C1C" w:rsidRDefault="00312042" w:rsidP="005B0170">
      <w:pPr>
        <w:pStyle w:val="ZZAnxtitle"/>
        <w:spacing w:after="240"/>
      </w:pPr>
      <w:r w:rsidRPr="00631C1C">
        <w:t>Decisions adopted by the Conference of the Parties to the Minamata Convention on Mercury at its sixth meeting</w:t>
      </w:r>
    </w:p>
    <w:p w14:paraId="2215A8D8" w14:textId="1C831C92" w:rsidR="002F65FD" w:rsidRPr="00F16F39" w:rsidRDefault="00312042" w:rsidP="00F16F39">
      <w:pPr>
        <w:pStyle w:val="TOC1"/>
        <w:rPr>
          <w:rFonts w:eastAsiaTheme="minorEastAsia"/>
          <w:noProof/>
          <w:kern w:val="2"/>
          <w:lang w:eastAsia="en-GB"/>
          <w14:ligatures w14:val="standardContextual"/>
        </w:rPr>
      </w:pPr>
      <w:r w:rsidRPr="00631C1C">
        <w:fldChar w:fldCharType="begin"/>
      </w:r>
      <w:r w:rsidRPr="00631C1C">
        <w:instrText xml:space="preserve"> TOC \h \z \t "CH2,1" </w:instrText>
      </w:r>
      <w:r w:rsidRPr="00631C1C">
        <w:fldChar w:fldCharType="separate"/>
      </w:r>
      <w:hyperlink w:anchor="_Toc219712798" w:history="1">
        <w:r w:rsidR="002F65FD" w:rsidRPr="00F16F39">
          <w:rPr>
            <w:rStyle w:val="Hyperlink"/>
            <w:noProof/>
          </w:rPr>
          <w:t xml:space="preserve">Decision MC-6/1: </w:t>
        </w:r>
        <w:r w:rsidR="00A524E7" w:rsidRPr="00F16F39">
          <w:rPr>
            <w:rStyle w:val="Hyperlink"/>
            <w:noProof/>
          </w:rPr>
          <w:t xml:space="preserve"> </w:t>
        </w:r>
        <w:r w:rsidR="002F65FD" w:rsidRPr="00F16F39">
          <w:rPr>
            <w:rStyle w:val="Hyperlink"/>
            <w:noProof/>
          </w:rPr>
          <w:t>Supply sources and trade</w:t>
        </w:r>
        <w:r w:rsidR="002F65FD" w:rsidRPr="00F16F39">
          <w:rPr>
            <w:noProof/>
            <w:webHidden/>
          </w:rPr>
          <w:tab/>
        </w:r>
        <w:r w:rsidR="002F65FD" w:rsidRPr="00F16F39">
          <w:rPr>
            <w:noProof/>
            <w:webHidden/>
          </w:rPr>
          <w:fldChar w:fldCharType="begin"/>
        </w:r>
        <w:r w:rsidR="002F65FD" w:rsidRPr="00F16F39">
          <w:rPr>
            <w:noProof/>
            <w:webHidden/>
          </w:rPr>
          <w:instrText xml:space="preserve"> PAGEREF _Toc219712798 \h </w:instrText>
        </w:r>
        <w:r w:rsidR="002F65FD" w:rsidRPr="00F16F39">
          <w:rPr>
            <w:noProof/>
            <w:webHidden/>
          </w:rPr>
        </w:r>
        <w:r w:rsidR="002F65FD" w:rsidRPr="00F16F39">
          <w:rPr>
            <w:noProof/>
            <w:webHidden/>
          </w:rPr>
          <w:fldChar w:fldCharType="separate"/>
        </w:r>
        <w:r w:rsidR="001F4DA7">
          <w:rPr>
            <w:noProof/>
            <w:webHidden/>
          </w:rPr>
          <w:t>3</w:t>
        </w:r>
        <w:r w:rsidR="002F65FD" w:rsidRPr="00F16F39">
          <w:rPr>
            <w:noProof/>
            <w:webHidden/>
          </w:rPr>
          <w:fldChar w:fldCharType="end"/>
        </w:r>
      </w:hyperlink>
    </w:p>
    <w:p w14:paraId="33FB281B" w14:textId="7C2DB302" w:rsidR="002F65FD" w:rsidRPr="00F16F39" w:rsidRDefault="002F65FD" w:rsidP="00F16F39">
      <w:pPr>
        <w:pStyle w:val="TOC1"/>
        <w:rPr>
          <w:rFonts w:eastAsiaTheme="minorEastAsia"/>
          <w:noProof/>
          <w:kern w:val="2"/>
          <w:lang w:eastAsia="en-GB"/>
          <w14:ligatures w14:val="standardContextual"/>
        </w:rPr>
      </w:pPr>
      <w:hyperlink w:anchor="_Toc219712799" w:history="1">
        <w:r w:rsidRPr="00F16F39">
          <w:rPr>
            <w:rStyle w:val="Hyperlink"/>
            <w:noProof/>
          </w:rPr>
          <w:t xml:space="preserve">Decision MC-6/2: </w:t>
        </w:r>
        <w:r w:rsidR="00A524E7" w:rsidRPr="00F16F39">
          <w:rPr>
            <w:rStyle w:val="Hyperlink"/>
            <w:noProof/>
          </w:rPr>
          <w:t xml:space="preserve"> </w:t>
        </w:r>
        <w:r w:rsidRPr="00F16F39">
          <w:rPr>
            <w:rStyle w:val="Hyperlink"/>
            <w:noProof/>
            <w:sz w:val="19"/>
            <w:szCs w:val="19"/>
          </w:rPr>
          <w:t>Advancing work related to potential restrictions on the trade of mercury compounds</w:t>
        </w:r>
        <w:r w:rsidRPr="00F16F39">
          <w:rPr>
            <w:noProof/>
            <w:webHidden/>
          </w:rPr>
          <w:tab/>
        </w:r>
        <w:r w:rsidRPr="00F16F39">
          <w:rPr>
            <w:noProof/>
            <w:webHidden/>
          </w:rPr>
          <w:fldChar w:fldCharType="begin"/>
        </w:r>
        <w:r w:rsidRPr="00F16F39">
          <w:rPr>
            <w:noProof/>
            <w:webHidden/>
          </w:rPr>
          <w:instrText xml:space="preserve"> PAGEREF _Toc219712799 \h </w:instrText>
        </w:r>
        <w:r w:rsidRPr="00F16F39">
          <w:rPr>
            <w:noProof/>
            <w:webHidden/>
          </w:rPr>
        </w:r>
        <w:r w:rsidRPr="00F16F39">
          <w:rPr>
            <w:noProof/>
            <w:webHidden/>
          </w:rPr>
          <w:fldChar w:fldCharType="separate"/>
        </w:r>
        <w:r w:rsidR="001F4DA7">
          <w:rPr>
            <w:noProof/>
            <w:webHidden/>
          </w:rPr>
          <w:t>5</w:t>
        </w:r>
        <w:r w:rsidRPr="00F16F39">
          <w:rPr>
            <w:noProof/>
            <w:webHidden/>
          </w:rPr>
          <w:fldChar w:fldCharType="end"/>
        </w:r>
      </w:hyperlink>
    </w:p>
    <w:p w14:paraId="453E7225" w14:textId="3180ECC7" w:rsidR="002F65FD" w:rsidRPr="00F16F39" w:rsidRDefault="002F65FD" w:rsidP="00F16F39">
      <w:pPr>
        <w:pStyle w:val="TOC1"/>
        <w:rPr>
          <w:rFonts w:eastAsiaTheme="minorEastAsia"/>
          <w:noProof/>
          <w:kern w:val="2"/>
          <w:lang w:eastAsia="en-GB"/>
          <w14:ligatures w14:val="standardContextual"/>
        </w:rPr>
      </w:pPr>
      <w:hyperlink w:anchor="_Toc219712800" w:history="1">
        <w:r w:rsidRPr="00F16F39">
          <w:rPr>
            <w:rStyle w:val="Hyperlink"/>
            <w:noProof/>
          </w:rPr>
          <w:t xml:space="preserve">Decision MC-6/3: </w:t>
        </w:r>
        <w:r w:rsidR="00A524E7" w:rsidRPr="00F16F39">
          <w:rPr>
            <w:rStyle w:val="Hyperlink"/>
            <w:noProof/>
          </w:rPr>
          <w:t xml:space="preserve"> </w:t>
        </w:r>
        <w:r w:rsidRPr="00F16F39">
          <w:rPr>
            <w:rStyle w:val="Hyperlink"/>
            <w:noProof/>
          </w:rPr>
          <w:t>Amendments to annex A</w:t>
        </w:r>
        <w:r w:rsidRPr="00F16F39">
          <w:rPr>
            <w:noProof/>
            <w:webHidden/>
          </w:rPr>
          <w:tab/>
        </w:r>
        <w:r w:rsidRPr="00F16F39">
          <w:rPr>
            <w:noProof/>
            <w:webHidden/>
          </w:rPr>
          <w:fldChar w:fldCharType="begin"/>
        </w:r>
        <w:r w:rsidRPr="00F16F39">
          <w:rPr>
            <w:noProof/>
            <w:webHidden/>
          </w:rPr>
          <w:instrText xml:space="preserve"> PAGEREF _Toc219712800 \h </w:instrText>
        </w:r>
        <w:r w:rsidRPr="00F16F39">
          <w:rPr>
            <w:noProof/>
            <w:webHidden/>
          </w:rPr>
        </w:r>
        <w:r w:rsidRPr="00F16F39">
          <w:rPr>
            <w:noProof/>
            <w:webHidden/>
          </w:rPr>
          <w:fldChar w:fldCharType="separate"/>
        </w:r>
        <w:r w:rsidR="001F4DA7">
          <w:rPr>
            <w:noProof/>
            <w:webHidden/>
          </w:rPr>
          <w:t>6</w:t>
        </w:r>
        <w:r w:rsidRPr="00F16F39">
          <w:rPr>
            <w:noProof/>
            <w:webHidden/>
          </w:rPr>
          <w:fldChar w:fldCharType="end"/>
        </w:r>
      </w:hyperlink>
    </w:p>
    <w:p w14:paraId="07ADC339" w14:textId="703F1885" w:rsidR="002F65FD" w:rsidRPr="00F16F39" w:rsidRDefault="002F65FD" w:rsidP="00F16F39">
      <w:pPr>
        <w:pStyle w:val="TOC1"/>
        <w:rPr>
          <w:rFonts w:eastAsiaTheme="minorEastAsia"/>
          <w:noProof/>
          <w:kern w:val="2"/>
          <w:lang w:eastAsia="en-GB"/>
          <w14:ligatures w14:val="standardContextual"/>
        </w:rPr>
      </w:pPr>
      <w:hyperlink w:anchor="_Toc219712801" w:history="1">
        <w:r w:rsidRPr="00F16F39">
          <w:rPr>
            <w:rStyle w:val="Hyperlink"/>
            <w:noProof/>
          </w:rPr>
          <w:t xml:space="preserve">Decision MC-6/4: </w:t>
        </w:r>
        <w:r w:rsidR="00A524E7" w:rsidRPr="00F16F39">
          <w:rPr>
            <w:rStyle w:val="Hyperlink"/>
            <w:noProof/>
          </w:rPr>
          <w:t xml:space="preserve"> </w:t>
        </w:r>
        <w:r w:rsidRPr="00F16F39">
          <w:rPr>
            <w:rStyle w:val="Hyperlink"/>
            <w:noProof/>
          </w:rPr>
          <w:t>Advancing work related to mercury</w:t>
        </w:r>
        <w:r w:rsidRPr="00F16F39">
          <w:rPr>
            <w:rStyle w:val="Hyperlink"/>
            <w:noProof/>
          </w:rPr>
          <w:noBreakHyphen/>
          <w:t>added cosmetics</w:t>
        </w:r>
        <w:r w:rsidRPr="00F16F39">
          <w:rPr>
            <w:noProof/>
            <w:webHidden/>
          </w:rPr>
          <w:tab/>
        </w:r>
        <w:r w:rsidRPr="00F16F39">
          <w:rPr>
            <w:noProof/>
            <w:webHidden/>
          </w:rPr>
          <w:fldChar w:fldCharType="begin"/>
        </w:r>
        <w:r w:rsidRPr="00F16F39">
          <w:rPr>
            <w:noProof/>
            <w:webHidden/>
          </w:rPr>
          <w:instrText xml:space="preserve"> PAGEREF _Toc219712801 \h </w:instrText>
        </w:r>
        <w:r w:rsidRPr="00F16F39">
          <w:rPr>
            <w:noProof/>
            <w:webHidden/>
          </w:rPr>
        </w:r>
        <w:r w:rsidRPr="00F16F39">
          <w:rPr>
            <w:noProof/>
            <w:webHidden/>
          </w:rPr>
          <w:fldChar w:fldCharType="separate"/>
        </w:r>
        <w:r w:rsidR="001F4DA7">
          <w:rPr>
            <w:noProof/>
            <w:webHidden/>
          </w:rPr>
          <w:t>9</w:t>
        </w:r>
        <w:r w:rsidRPr="00F16F39">
          <w:rPr>
            <w:noProof/>
            <w:webHidden/>
          </w:rPr>
          <w:fldChar w:fldCharType="end"/>
        </w:r>
      </w:hyperlink>
    </w:p>
    <w:p w14:paraId="302703A7" w14:textId="73B65BCA" w:rsidR="002F65FD" w:rsidRPr="00F16F39" w:rsidRDefault="002F65FD" w:rsidP="00F16F39">
      <w:pPr>
        <w:pStyle w:val="TOC1"/>
        <w:rPr>
          <w:rFonts w:eastAsiaTheme="minorEastAsia"/>
          <w:noProof/>
          <w:kern w:val="2"/>
          <w:lang w:eastAsia="en-GB"/>
          <w14:ligatures w14:val="standardContextual"/>
        </w:rPr>
      </w:pPr>
      <w:hyperlink w:anchor="_Toc219712802" w:history="1">
        <w:r w:rsidRPr="00F16F39">
          <w:rPr>
            <w:rStyle w:val="Hyperlink"/>
            <w:noProof/>
          </w:rPr>
          <w:t xml:space="preserve">Decision MC-6/5: </w:t>
        </w:r>
        <w:r w:rsidR="00A524E7" w:rsidRPr="00F16F39">
          <w:rPr>
            <w:rStyle w:val="Hyperlink"/>
            <w:noProof/>
          </w:rPr>
          <w:t xml:space="preserve"> </w:t>
        </w:r>
        <w:r w:rsidRPr="00F16F39">
          <w:rPr>
            <w:rStyle w:val="Hyperlink"/>
            <w:noProof/>
          </w:rPr>
          <w:t>Consideration of the feasibility of mercury-free alternatives for manufacturing vinyl</w:t>
        </w:r>
        <w:r w:rsidR="00A524E7" w:rsidRPr="00F16F39">
          <w:rPr>
            <w:rStyle w:val="Hyperlink"/>
            <w:noProof/>
          </w:rPr>
          <w:t> </w:t>
        </w:r>
        <w:r w:rsidRPr="00F16F39">
          <w:rPr>
            <w:rStyle w:val="Hyperlink"/>
            <w:noProof/>
          </w:rPr>
          <w:t>chloride monomer</w:t>
        </w:r>
        <w:r w:rsidRPr="00F16F39">
          <w:rPr>
            <w:noProof/>
            <w:webHidden/>
          </w:rPr>
          <w:tab/>
        </w:r>
        <w:r w:rsidRPr="00F16F39">
          <w:rPr>
            <w:noProof/>
            <w:webHidden/>
          </w:rPr>
          <w:fldChar w:fldCharType="begin"/>
        </w:r>
        <w:r w:rsidRPr="00F16F39">
          <w:rPr>
            <w:noProof/>
            <w:webHidden/>
          </w:rPr>
          <w:instrText xml:space="preserve"> PAGEREF _Toc219712802 \h </w:instrText>
        </w:r>
        <w:r w:rsidRPr="00F16F39">
          <w:rPr>
            <w:noProof/>
            <w:webHidden/>
          </w:rPr>
        </w:r>
        <w:r w:rsidRPr="00F16F39">
          <w:rPr>
            <w:noProof/>
            <w:webHidden/>
          </w:rPr>
          <w:fldChar w:fldCharType="separate"/>
        </w:r>
        <w:r w:rsidR="001F4DA7">
          <w:rPr>
            <w:noProof/>
            <w:webHidden/>
          </w:rPr>
          <w:t>10</w:t>
        </w:r>
        <w:r w:rsidRPr="00F16F39">
          <w:rPr>
            <w:noProof/>
            <w:webHidden/>
          </w:rPr>
          <w:fldChar w:fldCharType="end"/>
        </w:r>
      </w:hyperlink>
    </w:p>
    <w:p w14:paraId="63C3DC02" w14:textId="4245A08D" w:rsidR="002F65FD" w:rsidRPr="002F65FD" w:rsidRDefault="002F65FD" w:rsidP="00F16F39">
      <w:pPr>
        <w:pStyle w:val="TOC1"/>
        <w:rPr>
          <w:rFonts w:eastAsiaTheme="minorEastAsia"/>
          <w:noProof/>
          <w:kern w:val="2"/>
          <w:lang w:eastAsia="en-GB"/>
          <w14:ligatures w14:val="standardContextual"/>
        </w:rPr>
      </w:pPr>
      <w:hyperlink w:anchor="_Toc219712803" w:history="1">
        <w:r w:rsidRPr="00F16F39">
          <w:rPr>
            <w:rStyle w:val="Hyperlink"/>
            <w:noProof/>
          </w:rPr>
          <w:t xml:space="preserve">Decision MC-6/6: </w:t>
        </w:r>
        <w:r w:rsidR="00A524E7" w:rsidRPr="00F16F39">
          <w:rPr>
            <w:rStyle w:val="Hyperlink"/>
            <w:noProof/>
          </w:rPr>
          <w:t xml:space="preserve"> </w:t>
        </w:r>
        <w:r w:rsidRPr="00F16F39">
          <w:rPr>
            <w:rStyle w:val="Hyperlink"/>
            <w:noProof/>
          </w:rPr>
          <w:t>Timeline for considering requests by parties for extensions of exemptions</w:t>
        </w:r>
        <w:r w:rsidRPr="00F16F39">
          <w:rPr>
            <w:noProof/>
            <w:webHidden/>
          </w:rPr>
          <w:tab/>
        </w:r>
        <w:r w:rsidRPr="00F16F39">
          <w:rPr>
            <w:noProof/>
            <w:webHidden/>
          </w:rPr>
          <w:fldChar w:fldCharType="begin"/>
        </w:r>
        <w:r w:rsidRPr="00F16F39">
          <w:rPr>
            <w:noProof/>
            <w:webHidden/>
          </w:rPr>
          <w:instrText xml:space="preserve"> PAGEREF _Toc219712803 \h </w:instrText>
        </w:r>
        <w:r w:rsidRPr="00F16F39">
          <w:rPr>
            <w:noProof/>
            <w:webHidden/>
          </w:rPr>
        </w:r>
        <w:r w:rsidRPr="00F16F39">
          <w:rPr>
            <w:noProof/>
            <w:webHidden/>
          </w:rPr>
          <w:fldChar w:fldCharType="separate"/>
        </w:r>
        <w:r w:rsidR="001F4DA7">
          <w:rPr>
            <w:noProof/>
            <w:webHidden/>
          </w:rPr>
          <w:t>11</w:t>
        </w:r>
        <w:r w:rsidRPr="00F16F39">
          <w:rPr>
            <w:noProof/>
            <w:webHidden/>
          </w:rPr>
          <w:fldChar w:fldCharType="end"/>
        </w:r>
      </w:hyperlink>
    </w:p>
    <w:p w14:paraId="6BDC175C" w14:textId="53DE0AAE" w:rsidR="002F65FD" w:rsidRPr="002F65FD" w:rsidRDefault="002F65FD" w:rsidP="00F16F39">
      <w:pPr>
        <w:pStyle w:val="TOC1"/>
        <w:rPr>
          <w:rFonts w:eastAsiaTheme="minorEastAsia"/>
          <w:noProof/>
          <w:kern w:val="2"/>
          <w:lang w:eastAsia="en-GB"/>
          <w14:ligatures w14:val="standardContextual"/>
        </w:rPr>
      </w:pPr>
      <w:hyperlink w:anchor="_Toc219712804" w:history="1">
        <w:r w:rsidRPr="002F65FD">
          <w:rPr>
            <w:rStyle w:val="Hyperlink"/>
            <w:noProof/>
          </w:rPr>
          <w:t xml:space="preserve">Decision MC-6/7: </w:t>
        </w:r>
        <w:r w:rsidR="00A524E7">
          <w:rPr>
            <w:rStyle w:val="Hyperlink"/>
            <w:noProof/>
          </w:rPr>
          <w:t xml:space="preserve"> </w:t>
        </w:r>
        <w:r w:rsidRPr="002F65FD">
          <w:rPr>
            <w:rStyle w:val="Hyperlink"/>
            <w:noProof/>
          </w:rPr>
          <w:t>Extensions of exemptions</w:t>
        </w:r>
        <w:r w:rsidRPr="002F65FD">
          <w:rPr>
            <w:noProof/>
            <w:webHidden/>
          </w:rPr>
          <w:tab/>
        </w:r>
        <w:r w:rsidRPr="002F65FD">
          <w:rPr>
            <w:noProof/>
            <w:webHidden/>
          </w:rPr>
          <w:fldChar w:fldCharType="begin"/>
        </w:r>
        <w:r w:rsidRPr="002F65FD">
          <w:rPr>
            <w:noProof/>
            <w:webHidden/>
          </w:rPr>
          <w:instrText xml:space="preserve"> PAGEREF _Toc219712804 \h </w:instrText>
        </w:r>
        <w:r w:rsidRPr="002F65FD">
          <w:rPr>
            <w:noProof/>
            <w:webHidden/>
          </w:rPr>
        </w:r>
        <w:r w:rsidRPr="002F65FD">
          <w:rPr>
            <w:noProof/>
            <w:webHidden/>
          </w:rPr>
          <w:fldChar w:fldCharType="separate"/>
        </w:r>
        <w:r w:rsidR="001F4DA7">
          <w:rPr>
            <w:noProof/>
            <w:webHidden/>
          </w:rPr>
          <w:t>12</w:t>
        </w:r>
        <w:r w:rsidRPr="002F65FD">
          <w:rPr>
            <w:noProof/>
            <w:webHidden/>
          </w:rPr>
          <w:fldChar w:fldCharType="end"/>
        </w:r>
      </w:hyperlink>
    </w:p>
    <w:p w14:paraId="75790E11" w14:textId="7B7A9E81" w:rsidR="002F65FD" w:rsidRPr="002F65FD" w:rsidRDefault="002F65FD" w:rsidP="00F16F39">
      <w:pPr>
        <w:pStyle w:val="TOC1"/>
        <w:rPr>
          <w:rFonts w:eastAsiaTheme="minorEastAsia"/>
          <w:noProof/>
          <w:kern w:val="2"/>
          <w:lang w:eastAsia="en-GB"/>
          <w14:ligatures w14:val="standardContextual"/>
        </w:rPr>
      </w:pPr>
      <w:hyperlink w:anchor="_Toc219712805" w:history="1">
        <w:r w:rsidRPr="002F65FD">
          <w:rPr>
            <w:rStyle w:val="Hyperlink"/>
            <w:noProof/>
          </w:rPr>
          <w:t xml:space="preserve">Decision MC-6/8: </w:t>
        </w:r>
        <w:r w:rsidR="00A524E7">
          <w:rPr>
            <w:rStyle w:val="Hyperlink"/>
            <w:noProof/>
          </w:rPr>
          <w:t xml:space="preserve"> </w:t>
        </w:r>
        <w:r w:rsidRPr="002F65FD">
          <w:rPr>
            <w:rStyle w:val="Hyperlink"/>
            <w:noProof/>
          </w:rPr>
          <w:t xml:space="preserve">Artisanal and small-scale gold mining: review of the </w:t>
        </w:r>
        <w:r w:rsidRPr="00F16F39">
          <w:rPr>
            <w:rStyle w:val="Hyperlink"/>
            <w:noProof/>
            <w:sz w:val="19"/>
            <w:szCs w:val="19"/>
          </w:rPr>
          <w:t>implementation</w:t>
        </w:r>
        <w:r w:rsidRPr="002F65FD">
          <w:rPr>
            <w:rStyle w:val="Hyperlink"/>
            <w:noProof/>
          </w:rPr>
          <w:t xml:space="preserve"> </w:t>
        </w:r>
        <w:r w:rsidRPr="00F16F39">
          <w:rPr>
            <w:rStyle w:val="Hyperlink"/>
            <w:noProof/>
            <w:sz w:val="19"/>
            <w:szCs w:val="19"/>
          </w:rPr>
          <w:t>of article 7</w:t>
        </w:r>
        <w:r w:rsidRPr="002F65FD">
          <w:rPr>
            <w:noProof/>
            <w:webHidden/>
          </w:rPr>
          <w:tab/>
        </w:r>
        <w:r w:rsidRPr="002F65FD">
          <w:rPr>
            <w:noProof/>
            <w:webHidden/>
          </w:rPr>
          <w:fldChar w:fldCharType="begin"/>
        </w:r>
        <w:r w:rsidRPr="002F65FD">
          <w:rPr>
            <w:noProof/>
            <w:webHidden/>
          </w:rPr>
          <w:instrText xml:space="preserve"> PAGEREF _Toc219712805 \h </w:instrText>
        </w:r>
        <w:r w:rsidRPr="002F65FD">
          <w:rPr>
            <w:noProof/>
            <w:webHidden/>
          </w:rPr>
        </w:r>
        <w:r w:rsidRPr="002F65FD">
          <w:rPr>
            <w:noProof/>
            <w:webHidden/>
          </w:rPr>
          <w:fldChar w:fldCharType="separate"/>
        </w:r>
        <w:r w:rsidR="001F4DA7">
          <w:rPr>
            <w:noProof/>
            <w:webHidden/>
          </w:rPr>
          <w:t>13</w:t>
        </w:r>
        <w:r w:rsidRPr="002F65FD">
          <w:rPr>
            <w:noProof/>
            <w:webHidden/>
          </w:rPr>
          <w:fldChar w:fldCharType="end"/>
        </w:r>
      </w:hyperlink>
    </w:p>
    <w:p w14:paraId="401DA6E0" w14:textId="1DBFF3DB" w:rsidR="002F65FD" w:rsidRPr="002F65FD" w:rsidRDefault="002F65FD" w:rsidP="00F16F39">
      <w:pPr>
        <w:pStyle w:val="TOC1"/>
        <w:rPr>
          <w:rFonts w:eastAsiaTheme="minorEastAsia"/>
          <w:noProof/>
          <w:kern w:val="2"/>
          <w:lang w:eastAsia="en-GB"/>
          <w14:ligatures w14:val="standardContextual"/>
        </w:rPr>
      </w:pPr>
      <w:hyperlink w:anchor="_Toc219712806" w:history="1">
        <w:r w:rsidRPr="002F65FD">
          <w:rPr>
            <w:rStyle w:val="Hyperlink"/>
            <w:noProof/>
          </w:rPr>
          <w:t xml:space="preserve">Decision MC-6/9: </w:t>
        </w:r>
        <w:r w:rsidR="00A524E7">
          <w:rPr>
            <w:rStyle w:val="Hyperlink"/>
            <w:noProof/>
          </w:rPr>
          <w:t xml:space="preserve"> </w:t>
        </w:r>
        <w:r w:rsidRPr="002F65FD">
          <w:rPr>
            <w:rStyle w:val="Hyperlink"/>
            <w:noProof/>
          </w:rPr>
          <w:t>Advancing work related to mercury waste</w:t>
        </w:r>
        <w:r w:rsidRPr="002F65FD">
          <w:rPr>
            <w:noProof/>
            <w:webHidden/>
          </w:rPr>
          <w:tab/>
        </w:r>
        <w:r w:rsidRPr="002F65FD">
          <w:rPr>
            <w:noProof/>
            <w:webHidden/>
          </w:rPr>
          <w:fldChar w:fldCharType="begin"/>
        </w:r>
        <w:r w:rsidRPr="002F65FD">
          <w:rPr>
            <w:noProof/>
            <w:webHidden/>
          </w:rPr>
          <w:instrText xml:space="preserve"> PAGEREF _Toc219712806 \h </w:instrText>
        </w:r>
        <w:r w:rsidRPr="002F65FD">
          <w:rPr>
            <w:noProof/>
            <w:webHidden/>
          </w:rPr>
        </w:r>
        <w:r w:rsidRPr="002F65FD">
          <w:rPr>
            <w:noProof/>
            <w:webHidden/>
          </w:rPr>
          <w:fldChar w:fldCharType="separate"/>
        </w:r>
        <w:r w:rsidR="001F4DA7">
          <w:rPr>
            <w:noProof/>
            <w:webHidden/>
          </w:rPr>
          <w:t>15</w:t>
        </w:r>
        <w:r w:rsidRPr="002F65FD">
          <w:rPr>
            <w:noProof/>
            <w:webHidden/>
          </w:rPr>
          <w:fldChar w:fldCharType="end"/>
        </w:r>
      </w:hyperlink>
    </w:p>
    <w:p w14:paraId="4C97AD3A" w14:textId="1BB463F8" w:rsidR="002F65FD" w:rsidRPr="002F65FD" w:rsidRDefault="002F65FD" w:rsidP="00F16F39">
      <w:pPr>
        <w:pStyle w:val="TOC1"/>
        <w:rPr>
          <w:rFonts w:eastAsiaTheme="minorEastAsia"/>
          <w:noProof/>
          <w:kern w:val="2"/>
          <w:lang w:eastAsia="en-GB"/>
          <w14:ligatures w14:val="standardContextual"/>
        </w:rPr>
      </w:pPr>
      <w:hyperlink w:anchor="_Toc219712807" w:history="1">
        <w:r w:rsidRPr="002F65FD">
          <w:rPr>
            <w:rStyle w:val="Hyperlink"/>
            <w:noProof/>
          </w:rPr>
          <w:t>Decision MC-6/10: Financial mechanism</w:t>
        </w:r>
        <w:r w:rsidRPr="002F65FD">
          <w:rPr>
            <w:noProof/>
            <w:webHidden/>
          </w:rPr>
          <w:tab/>
        </w:r>
        <w:r w:rsidRPr="002F65FD">
          <w:rPr>
            <w:noProof/>
            <w:webHidden/>
          </w:rPr>
          <w:fldChar w:fldCharType="begin"/>
        </w:r>
        <w:r w:rsidRPr="002F65FD">
          <w:rPr>
            <w:noProof/>
            <w:webHidden/>
          </w:rPr>
          <w:instrText xml:space="preserve"> PAGEREF _Toc219712807 \h </w:instrText>
        </w:r>
        <w:r w:rsidRPr="002F65FD">
          <w:rPr>
            <w:noProof/>
            <w:webHidden/>
          </w:rPr>
        </w:r>
        <w:r w:rsidRPr="002F65FD">
          <w:rPr>
            <w:noProof/>
            <w:webHidden/>
          </w:rPr>
          <w:fldChar w:fldCharType="separate"/>
        </w:r>
        <w:r w:rsidR="001F4DA7">
          <w:rPr>
            <w:noProof/>
            <w:webHidden/>
          </w:rPr>
          <w:t>16</w:t>
        </w:r>
        <w:r w:rsidRPr="002F65FD">
          <w:rPr>
            <w:noProof/>
            <w:webHidden/>
          </w:rPr>
          <w:fldChar w:fldCharType="end"/>
        </w:r>
      </w:hyperlink>
    </w:p>
    <w:p w14:paraId="71DD5957" w14:textId="30C07471" w:rsidR="002F65FD" w:rsidRPr="002F65FD" w:rsidRDefault="002F65FD" w:rsidP="00F16F39">
      <w:pPr>
        <w:pStyle w:val="TOC1"/>
        <w:rPr>
          <w:rFonts w:eastAsiaTheme="minorEastAsia"/>
          <w:noProof/>
          <w:kern w:val="2"/>
          <w:lang w:eastAsia="en-GB"/>
          <w14:ligatures w14:val="standardContextual"/>
        </w:rPr>
      </w:pPr>
      <w:hyperlink w:anchor="_Toc219712808" w:history="1">
        <w:r w:rsidRPr="002F65FD">
          <w:rPr>
            <w:rStyle w:val="Hyperlink"/>
            <w:noProof/>
          </w:rPr>
          <w:t>Decision MC-6/11: Third review of the financial mechanism</w:t>
        </w:r>
        <w:r w:rsidRPr="002F65FD">
          <w:rPr>
            <w:noProof/>
            <w:webHidden/>
          </w:rPr>
          <w:tab/>
        </w:r>
        <w:r w:rsidRPr="002F65FD">
          <w:rPr>
            <w:noProof/>
            <w:webHidden/>
          </w:rPr>
          <w:fldChar w:fldCharType="begin"/>
        </w:r>
        <w:r w:rsidRPr="002F65FD">
          <w:rPr>
            <w:noProof/>
            <w:webHidden/>
          </w:rPr>
          <w:instrText xml:space="preserve"> PAGEREF _Toc219712808 \h </w:instrText>
        </w:r>
        <w:r w:rsidRPr="002F65FD">
          <w:rPr>
            <w:noProof/>
            <w:webHidden/>
          </w:rPr>
        </w:r>
        <w:r w:rsidRPr="002F65FD">
          <w:rPr>
            <w:noProof/>
            <w:webHidden/>
          </w:rPr>
          <w:fldChar w:fldCharType="separate"/>
        </w:r>
        <w:r w:rsidR="001F4DA7">
          <w:rPr>
            <w:noProof/>
            <w:webHidden/>
          </w:rPr>
          <w:t>18</w:t>
        </w:r>
        <w:r w:rsidRPr="002F65FD">
          <w:rPr>
            <w:noProof/>
            <w:webHidden/>
          </w:rPr>
          <w:fldChar w:fldCharType="end"/>
        </w:r>
      </w:hyperlink>
    </w:p>
    <w:p w14:paraId="0A79B14F" w14:textId="46B2580E" w:rsidR="002F65FD" w:rsidRPr="002F65FD" w:rsidRDefault="002F65FD" w:rsidP="00F16F39">
      <w:pPr>
        <w:pStyle w:val="TOC1"/>
        <w:rPr>
          <w:rFonts w:eastAsiaTheme="minorEastAsia"/>
          <w:noProof/>
          <w:kern w:val="2"/>
          <w:lang w:eastAsia="en-GB"/>
          <w14:ligatures w14:val="standardContextual"/>
        </w:rPr>
      </w:pPr>
      <w:hyperlink w:anchor="_Toc219712810" w:history="1">
        <w:r w:rsidRPr="002F65FD">
          <w:rPr>
            <w:rStyle w:val="Hyperlink"/>
            <w:noProof/>
          </w:rPr>
          <w:t>Decision MC-6/12: Implementation of article 14 of the Minamata Convention on Mercury, on capacity-building, technical assistance and technology transfer</w:t>
        </w:r>
        <w:r w:rsidRPr="002F65FD">
          <w:rPr>
            <w:noProof/>
            <w:webHidden/>
          </w:rPr>
          <w:tab/>
        </w:r>
        <w:r w:rsidRPr="002F65FD">
          <w:rPr>
            <w:noProof/>
            <w:webHidden/>
          </w:rPr>
          <w:fldChar w:fldCharType="begin"/>
        </w:r>
        <w:r w:rsidRPr="002F65FD">
          <w:rPr>
            <w:noProof/>
            <w:webHidden/>
          </w:rPr>
          <w:instrText xml:space="preserve"> PAGEREF _Toc219712810 \h </w:instrText>
        </w:r>
        <w:r w:rsidRPr="002F65FD">
          <w:rPr>
            <w:noProof/>
            <w:webHidden/>
          </w:rPr>
        </w:r>
        <w:r w:rsidRPr="002F65FD">
          <w:rPr>
            <w:noProof/>
            <w:webHidden/>
          </w:rPr>
          <w:fldChar w:fldCharType="separate"/>
        </w:r>
        <w:r w:rsidR="001F4DA7">
          <w:rPr>
            <w:noProof/>
            <w:webHidden/>
          </w:rPr>
          <w:t>21</w:t>
        </w:r>
        <w:r w:rsidRPr="002F65FD">
          <w:rPr>
            <w:noProof/>
            <w:webHidden/>
          </w:rPr>
          <w:fldChar w:fldCharType="end"/>
        </w:r>
      </w:hyperlink>
    </w:p>
    <w:p w14:paraId="7993EA6E" w14:textId="7DAE8A93" w:rsidR="002F65FD" w:rsidRPr="002F65FD" w:rsidRDefault="002F65FD" w:rsidP="00F16F39">
      <w:pPr>
        <w:pStyle w:val="TOC1"/>
        <w:rPr>
          <w:rFonts w:eastAsiaTheme="minorEastAsia"/>
          <w:noProof/>
          <w:kern w:val="2"/>
          <w:lang w:eastAsia="en-GB"/>
          <w14:ligatures w14:val="standardContextual"/>
        </w:rPr>
      </w:pPr>
      <w:hyperlink w:anchor="_Toc219712811" w:history="1">
        <w:r w:rsidRPr="002F65FD">
          <w:rPr>
            <w:rStyle w:val="Hyperlink"/>
            <w:noProof/>
          </w:rPr>
          <w:t>Decision MC-6/13: National reporting (article 21): second short national reports</w:t>
        </w:r>
        <w:r w:rsidRPr="002F65FD">
          <w:rPr>
            <w:noProof/>
            <w:webHidden/>
          </w:rPr>
          <w:tab/>
        </w:r>
        <w:r w:rsidRPr="002F65FD">
          <w:rPr>
            <w:noProof/>
            <w:webHidden/>
          </w:rPr>
          <w:fldChar w:fldCharType="begin"/>
        </w:r>
        <w:r w:rsidRPr="002F65FD">
          <w:rPr>
            <w:noProof/>
            <w:webHidden/>
          </w:rPr>
          <w:instrText xml:space="preserve"> PAGEREF _Toc219712811 \h </w:instrText>
        </w:r>
        <w:r w:rsidRPr="002F65FD">
          <w:rPr>
            <w:noProof/>
            <w:webHidden/>
          </w:rPr>
        </w:r>
        <w:r w:rsidRPr="002F65FD">
          <w:rPr>
            <w:noProof/>
            <w:webHidden/>
          </w:rPr>
          <w:fldChar w:fldCharType="separate"/>
        </w:r>
        <w:r w:rsidR="001F4DA7">
          <w:rPr>
            <w:noProof/>
            <w:webHidden/>
          </w:rPr>
          <w:t>23</w:t>
        </w:r>
        <w:r w:rsidRPr="002F65FD">
          <w:rPr>
            <w:noProof/>
            <w:webHidden/>
          </w:rPr>
          <w:fldChar w:fldCharType="end"/>
        </w:r>
      </w:hyperlink>
    </w:p>
    <w:p w14:paraId="3A9569C9" w14:textId="2A01EEFD" w:rsidR="002F65FD" w:rsidRPr="002F65FD" w:rsidRDefault="002F65FD" w:rsidP="00F16F39">
      <w:pPr>
        <w:pStyle w:val="TOC1"/>
        <w:rPr>
          <w:rFonts w:eastAsiaTheme="minorEastAsia"/>
          <w:noProof/>
          <w:kern w:val="2"/>
          <w:lang w:eastAsia="en-GB"/>
          <w14:ligatures w14:val="standardContextual"/>
        </w:rPr>
      </w:pPr>
      <w:hyperlink w:anchor="_Toc219712812" w:history="1">
        <w:r w:rsidRPr="002F65FD">
          <w:rPr>
            <w:rStyle w:val="Hyperlink"/>
            <w:noProof/>
          </w:rPr>
          <w:t>Decision MC-6/14: Progress in the first effectiveness evaluation of the Minamata Convention on Mercury</w:t>
        </w:r>
        <w:r w:rsidRPr="002F65FD">
          <w:rPr>
            <w:noProof/>
            <w:webHidden/>
          </w:rPr>
          <w:tab/>
        </w:r>
        <w:r w:rsidRPr="002F65FD">
          <w:rPr>
            <w:noProof/>
            <w:webHidden/>
          </w:rPr>
          <w:fldChar w:fldCharType="begin"/>
        </w:r>
        <w:r w:rsidRPr="002F65FD">
          <w:rPr>
            <w:noProof/>
            <w:webHidden/>
          </w:rPr>
          <w:instrText xml:space="preserve"> PAGEREF _Toc219712812 \h </w:instrText>
        </w:r>
        <w:r w:rsidRPr="002F65FD">
          <w:rPr>
            <w:noProof/>
            <w:webHidden/>
          </w:rPr>
        </w:r>
        <w:r w:rsidRPr="002F65FD">
          <w:rPr>
            <w:noProof/>
            <w:webHidden/>
          </w:rPr>
          <w:fldChar w:fldCharType="separate"/>
        </w:r>
        <w:r w:rsidR="001F4DA7">
          <w:rPr>
            <w:noProof/>
            <w:webHidden/>
          </w:rPr>
          <w:t>24</w:t>
        </w:r>
        <w:r w:rsidRPr="002F65FD">
          <w:rPr>
            <w:noProof/>
            <w:webHidden/>
          </w:rPr>
          <w:fldChar w:fldCharType="end"/>
        </w:r>
      </w:hyperlink>
    </w:p>
    <w:p w14:paraId="1108062F" w14:textId="7C9E90C2" w:rsidR="002F65FD" w:rsidRPr="002F65FD" w:rsidRDefault="002F65FD" w:rsidP="00F16F39">
      <w:pPr>
        <w:pStyle w:val="TOC1"/>
        <w:rPr>
          <w:rFonts w:eastAsiaTheme="minorEastAsia"/>
          <w:noProof/>
          <w:kern w:val="2"/>
          <w:lang w:eastAsia="en-GB"/>
          <w14:ligatures w14:val="standardContextual"/>
        </w:rPr>
      </w:pPr>
      <w:hyperlink w:anchor="_Toc219712813" w:history="1">
        <w:r w:rsidRPr="002F65FD">
          <w:rPr>
            <w:rStyle w:val="Hyperlink"/>
            <w:noProof/>
          </w:rPr>
          <w:t>Decision MC-6/15: Strengthening effective engagement with Indigenous Peoples, as well as local communities</w:t>
        </w:r>
        <w:r w:rsidRPr="002F65FD">
          <w:rPr>
            <w:noProof/>
            <w:webHidden/>
          </w:rPr>
          <w:tab/>
        </w:r>
        <w:r w:rsidRPr="002F65FD">
          <w:rPr>
            <w:noProof/>
            <w:webHidden/>
          </w:rPr>
          <w:fldChar w:fldCharType="begin"/>
        </w:r>
        <w:r w:rsidRPr="002F65FD">
          <w:rPr>
            <w:noProof/>
            <w:webHidden/>
          </w:rPr>
          <w:instrText xml:space="preserve"> PAGEREF _Toc219712813 \h </w:instrText>
        </w:r>
        <w:r w:rsidRPr="002F65FD">
          <w:rPr>
            <w:noProof/>
            <w:webHidden/>
          </w:rPr>
        </w:r>
        <w:r w:rsidRPr="002F65FD">
          <w:rPr>
            <w:noProof/>
            <w:webHidden/>
          </w:rPr>
          <w:fldChar w:fldCharType="separate"/>
        </w:r>
        <w:r w:rsidR="001F4DA7">
          <w:rPr>
            <w:noProof/>
            <w:webHidden/>
          </w:rPr>
          <w:t>25</w:t>
        </w:r>
        <w:r w:rsidRPr="002F65FD">
          <w:rPr>
            <w:noProof/>
            <w:webHidden/>
          </w:rPr>
          <w:fldChar w:fldCharType="end"/>
        </w:r>
      </w:hyperlink>
    </w:p>
    <w:p w14:paraId="7BE1FB75" w14:textId="11EA5360" w:rsidR="002F65FD" w:rsidRPr="002F65FD" w:rsidRDefault="002F65FD" w:rsidP="00F16F39">
      <w:pPr>
        <w:pStyle w:val="TOC1"/>
        <w:rPr>
          <w:rFonts w:eastAsiaTheme="minorEastAsia"/>
          <w:noProof/>
          <w:kern w:val="2"/>
          <w:lang w:eastAsia="en-GB"/>
          <w14:ligatures w14:val="standardContextual"/>
        </w:rPr>
      </w:pPr>
      <w:hyperlink w:anchor="_Toc219712814" w:history="1">
        <w:r w:rsidRPr="002F65FD">
          <w:rPr>
            <w:rStyle w:val="Hyperlink"/>
            <w:noProof/>
          </w:rPr>
          <w:t>Decision MC-6/16: Addressing health concerns of women and children</w:t>
        </w:r>
        <w:r w:rsidRPr="002F65FD">
          <w:rPr>
            <w:noProof/>
            <w:webHidden/>
          </w:rPr>
          <w:tab/>
        </w:r>
        <w:r w:rsidRPr="002F65FD">
          <w:rPr>
            <w:noProof/>
            <w:webHidden/>
          </w:rPr>
          <w:fldChar w:fldCharType="begin"/>
        </w:r>
        <w:r w:rsidRPr="002F65FD">
          <w:rPr>
            <w:noProof/>
            <w:webHidden/>
          </w:rPr>
          <w:instrText xml:space="preserve"> PAGEREF _Toc219712814 \h </w:instrText>
        </w:r>
        <w:r w:rsidRPr="002F65FD">
          <w:rPr>
            <w:noProof/>
            <w:webHidden/>
          </w:rPr>
        </w:r>
        <w:r w:rsidRPr="002F65FD">
          <w:rPr>
            <w:noProof/>
            <w:webHidden/>
          </w:rPr>
          <w:fldChar w:fldCharType="separate"/>
        </w:r>
        <w:r w:rsidR="001F4DA7">
          <w:rPr>
            <w:noProof/>
            <w:webHidden/>
          </w:rPr>
          <w:t>26</w:t>
        </w:r>
        <w:r w:rsidRPr="002F65FD">
          <w:rPr>
            <w:noProof/>
            <w:webHidden/>
          </w:rPr>
          <w:fldChar w:fldCharType="end"/>
        </w:r>
      </w:hyperlink>
    </w:p>
    <w:p w14:paraId="2778B529" w14:textId="78ECFB0B" w:rsidR="002F65FD" w:rsidRPr="002F65FD" w:rsidRDefault="002F65FD" w:rsidP="00F16F39">
      <w:pPr>
        <w:pStyle w:val="TOC1"/>
        <w:rPr>
          <w:rFonts w:eastAsiaTheme="minorEastAsia"/>
          <w:noProof/>
          <w:kern w:val="2"/>
          <w:lang w:eastAsia="en-GB"/>
          <w14:ligatures w14:val="standardContextual"/>
        </w:rPr>
      </w:pPr>
      <w:hyperlink w:anchor="_Toc219712815" w:history="1">
        <w:r w:rsidRPr="002F65FD">
          <w:rPr>
            <w:rStyle w:val="Hyperlink"/>
            <w:noProof/>
          </w:rPr>
          <w:t>Decision MC-6/17: Knowledge management and implementation of the digital strategy</w:t>
        </w:r>
        <w:r w:rsidRPr="002F65FD">
          <w:rPr>
            <w:noProof/>
            <w:webHidden/>
          </w:rPr>
          <w:tab/>
        </w:r>
        <w:r w:rsidRPr="002F65FD">
          <w:rPr>
            <w:noProof/>
            <w:webHidden/>
          </w:rPr>
          <w:fldChar w:fldCharType="begin"/>
        </w:r>
        <w:r w:rsidRPr="002F65FD">
          <w:rPr>
            <w:noProof/>
            <w:webHidden/>
          </w:rPr>
          <w:instrText xml:space="preserve"> PAGEREF _Toc219712815 \h </w:instrText>
        </w:r>
        <w:r w:rsidRPr="002F65FD">
          <w:rPr>
            <w:noProof/>
            <w:webHidden/>
          </w:rPr>
        </w:r>
        <w:r w:rsidRPr="002F65FD">
          <w:rPr>
            <w:noProof/>
            <w:webHidden/>
          </w:rPr>
          <w:fldChar w:fldCharType="separate"/>
        </w:r>
        <w:r w:rsidR="001F4DA7">
          <w:rPr>
            <w:noProof/>
            <w:webHidden/>
          </w:rPr>
          <w:t>27</w:t>
        </w:r>
        <w:r w:rsidRPr="002F65FD">
          <w:rPr>
            <w:noProof/>
            <w:webHidden/>
          </w:rPr>
          <w:fldChar w:fldCharType="end"/>
        </w:r>
      </w:hyperlink>
    </w:p>
    <w:p w14:paraId="5CCAB0E5" w14:textId="45545AC4" w:rsidR="002F65FD" w:rsidRPr="002F65FD" w:rsidRDefault="002F65FD" w:rsidP="00F16F39">
      <w:pPr>
        <w:pStyle w:val="TOC1"/>
        <w:rPr>
          <w:rFonts w:eastAsiaTheme="minorEastAsia"/>
          <w:noProof/>
          <w:kern w:val="2"/>
          <w:lang w:eastAsia="en-GB"/>
          <w14:ligatures w14:val="standardContextual"/>
        </w:rPr>
      </w:pPr>
      <w:hyperlink w:anchor="_Toc219712816" w:history="1">
        <w:r w:rsidRPr="002F65FD">
          <w:rPr>
            <w:rStyle w:val="Hyperlink"/>
            <w:noProof/>
          </w:rPr>
          <w:t>Decision MC-6/18: Road map for enhancing co-benefits from implementation of the Minamata Convention and the Kunming-Montreal Global Biodiversity Framework</w:t>
        </w:r>
        <w:r w:rsidRPr="002F65FD">
          <w:rPr>
            <w:noProof/>
            <w:webHidden/>
          </w:rPr>
          <w:tab/>
        </w:r>
        <w:r w:rsidRPr="002F65FD">
          <w:rPr>
            <w:noProof/>
            <w:webHidden/>
          </w:rPr>
          <w:fldChar w:fldCharType="begin"/>
        </w:r>
        <w:r w:rsidRPr="002F65FD">
          <w:rPr>
            <w:noProof/>
            <w:webHidden/>
          </w:rPr>
          <w:instrText xml:space="preserve"> PAGEREF _Toc219712816 \h </w:instrText>
        </w:r>
        <w:r w:rsidRPr="002F65FD">
          <w:rPr>
            <w:noProof/>
            <w:webHidden/>
          </w:rPr>
        </w:r>
        <w:r w:rsidRPr="002F65FD">
          <w:rPr>
            <w:noProof/>
            <w:webHidden/>
          </w:rPr>
          <w:fldChar w:fldCharType="separate"/>
        </w:r>
        <w:r w:rsidR="001F4DA7">
          <w:rPr>
            <w:noProof/>
            <w:webHidden/>
          </w:rPr>
          <w:t>28</w:t>
        </w:r>
        <w:r w:rsidRPr="002F65FD">
          <w:rPr>
            <w:noProof/>
            <w:webHidden/>
          </w:rPr>
          <w:fldChar w:fldCharType="end"/>
        </w:r>
      </w:hyperlink>
    </w:p>
    <w:p w14:paraId="66F13A93" w14:textId="16D315D7" w:rsidR="002F65FD" w:rsidRPr="002F65FD" w:rsidRDefault="002F65FD" w:rsidP="00F16F39">
      <w:pPr>
        <w:pStyle w:val="TOC1"/>
        <w:rPr>
          <w:rFonts w:eastAsiaTheme="minorEastAsia"/>
          <w:noProof/>
          <w:kern w:val="2"/>
          <w:lang w:eastAsia="en-GB"/>
          <w14:ligatures w14:val="standardContextual"/>
        </w:rPr>
      </w:pPr>
      <w:hyperlink w:anchor="_Toc219712817" w:history="1">
        <w:r w:rsidRPr="002F65FD">
          <w:rPr>
            <w:rStyle w:val="Hyperlink"/>
            <w:noProof/>
          </w:rPr>
          <w:t>Decision MC-6/19: International cooperation and coordination</w:t>
        </w:r>
        <w:r w:rsidRPr="002F65FD">
          <w:rPr>
            <w:noProof/>
            <w:webHidden/>
          </w:rPr>
          <w:tab/>
        </w:r>
        <w:r w:rsidRPr="002F65FD">
          <w:rPr>
            <w:noProof/>
            <w:webHidden/>
          </w:rPr>
          <w:fldChar w:fldCharType="begin"/>
        </w:r>
        <w:r w:rsidRPr="002F65FD">
          <w:rPr>
            <w:noProof/>
            <w:webHidden/>
          </w:rPr>
          <w:instrText xml:space="preserve"> PAGEREF _Toc219712817 \h </w:instrText>
        </w:r>
        <w:r w:rsidRPr="002F65FD">
          <w:rPr>
            <w:noProof/>
            <w:webHidden/>
          </w:rPr>
        </w:r>
        <w:r w:rsidRPr="002F65FD">
          <w:rPr>
            <w:noProof/>
            <w:webHidden/>
          </w:rPr>
          <w:fldChar w:fldCharType="separate"/>
        </w:r>
        <w:r w:rsidR="001F4DA7">
          <w:rPr>
            <w:noProof/>
            <w:webHidden/>
          </w:rPr>
          <w:t>29</w:t>
        </w:r>
        <w:r w:rsidRPr="002F65FD">
          <w:rPr>
            <w:noProof/>
            <w:webHidden/>
          </w:rPr>
          <w:fldChar w:fldCharType="end"/>
        </w:r>
      </w:hyperlink>
    </w:p>
    <w:p w14:paraId="4F60FD22" w14:textId="11DDE9F4" w:rsidR="002F65FD" w:rsidRPr="002F65FD" w:rsidRDefault="002F65FD" w:rsidP="00F16F39">
      <w:pPr>
        <w:pStyle w:val="TOC1"/>
        <w:rPr>
          <w:rFonts w:eastAsiaTheme="minorEastAsia"/>
          <w:noProof/>
          <w:kern w:val="2"/>
          <w:lang w:eastAsia="en-GB"/>
          <w14:ligatures w14:val="standardContextual"/>
        </w:rPr>
      </w:pPr>
      <w:hyperlink w:anchor="_Toc219712818" w:history="1">
        <w:r w:rsidRPr="002F65FD">
          <w:rPr>
            <w:rStyle w:val="Hyperlink"/>
            <w:noProof/>
          </w:rPr>
          <w:t xml:space="preserve">Decision MC-6/20: Cooperation and coordination between the secretariats of the Minamata </w:t>
        </w:r>
        <w:r w:rsidRPr="007E440E">
          <w:rPr>
            <w:rStyle w:val="Hyperlink"/>
            <w:noProof/>
            <w:sz w:val="19"/>
            <w:szCs w:val="19"/>
          </w:rPr>
          <w:t>Convention on Mercury and of the Basel, Rotterdam and Stockholm conventio</w:t>
        </w:r>
        <w:r w:rsidRPr="002F65FD">
          <w:rPr>
            <w:rStyle w:val="Hyperlink"/>
            <w:noProof/>
          </w:rPr>
          <w:t>ns</w:t>
        </w:r>
        <w:r w:rsidRPr="002F65FD">
          <w:rPr>
            <w:noProof/>
            <w:webHidden/>
          </w:rPr>
          <w:tab/>
        </w:r>
        <w:r w:rsidRPr="002F65FD">
          <w:rPr>
            <w:noProof/>
            <w:webHidden/>
          </w:rPr>
          <w:fldChar w:fldCharType="begin"/>
        </w:r>
        <w:r w:rsidRPr="002F65FD">
          <w:rPr>
            <w:noProof/>
            <w:webHidden/>
          </w:rPr>
          <w:instrText xml:space="preserve"> PAGEREF _Toc219712818 \h </w:instrText>
        </w:r>
        <w:r w:rsidRPr="002F65FD">
          <w:rPr>
            <w:noProof/>
            <w:webHidden/>
          </w:rPr>
        </w:r>
        <w:r w:rsidRPr="002F65FD">
          <w:rPr>
            <w:noProof/>
            <w:webHidden/>
          </w:rPr>
          <w:fldChar w:fldCharType="separate"/>
        </w:r>
        <w:r w:rsidR="001F4DA7">
          <w:rPr>
            <w:noProof/>
            <w:webHidden/>
          </w:rPr>
          <w:t>30</w:t>
        </w:r>
        <w:r w:rsidRPr="002F65FD">
          <w:rPr>
            <w:noProof/>
            <w:webHidden/>
          </w:rPr>
          <w:fldChar w:fldCharType="end"/>
        </w:r>
      </w:hyperlink>
    </w:p>
    <w:p w14:paraId="56DBD220" w14:textId="7DE8A5BC" w:rsidR="002F65FD" w:rsidRPr="002F65FD" w:rsidRDefault="002F65FD" w:rsidP="00F16F39">
      <w:pPr>
        <w:pStyle w:val="TOC1"/>
        <w:rPr>
          <w:rFonts w:eastAsiaTheme="minorEastAsia"/>
          <w:noProof/>
          <w:kern w:val="2"/>
          <w:lang w:eastAsia="en-GB"/>
          <w14:ligatures w14:val="standardContextual"/>
        </w:rPr>
      </w:pPr>
      <w:hyperlink w:anchor="_Toc219712819" w:history="1">
        <w:r w:rsidRPr="002F65FD">
          <w:rPr>
            <w:rStyle w:val="Hyperlink"/>
            <w:noProof/>
          </w:rPr>
          <w:t>Decision MC-6/21: Programme of work and budget for the biennium 2026‒2027</w:t>
        </w:r>
        <w:r w:rsidRPr="002F65FD">
          <w:rPr>
            <w:noProof/>
            <w:webHidden/>
          </w:rPr>
          <w:tab/>
        </w:r>
        <w:r w:rsidRPr="002F65FD">
          <w:rPr>
            <w:noProof/>
            <w:webHidden/>
          </w:rPr>
          <w:fldChar w:fldCharType="begin"/>
        </w:r>
        <w:r w:rsidRPr="002F65FD">
          <w:rPr>
            <w:noProof/>
            <w:webHidden/>
          </w:rPr>
          <w:instrText xml:space="preserve"> PAGEREF _Toc219712819 \h </w:instrText>
        </w:r>
        <w:r w:rsidRPr="002F65FD">
          <w:rPr>
            <w:noProof/>
            <w:webHidden/>
          </w:rPr>
        </w:r>
        <w:r w:rsidRPr="002F65FD">
          <w:rPr>
            <w:noProof/>
            <w:webHidden/>
          </w:rPr>
          <w:fldChar w:fldCharType="separate"/>
        </w:r>
        <w:r w:rsidR="001F4DA7">
          <w:rPr>
            <w:noProof/>
            <w:webHidden/>
          </w:rPr>
          <w:t>31</w:t>
        </w:r>
        <w:r w:rsidRPr="002F65FD">
          <w:rPr>
            <w:noProof/>
            <w:webHidden/>
          </w:rPr>
          <w:fldChar w:fldCharType="end"/>
        </w:r>
      </w:hyperlink>
    </w:p>
    <w:p w14:paraId="5927882B" w14:textId="4ABC0FD7" w:rsidR="002F65FD" w:rsidRPr="002F65FD" w:rsidRDefault="002F65FD" w:rsidP="00F16F39">
      <w:pPr>
        <w:pStyle w:val="TOC1"/>
        <w:rPr>
          <w:rFonts w:eastAsiaTheme="minorEastAsia"/>
          <w:noProof/>
          <w:kern w:val="2"/>
          <w:lang w:eastAsia="en-GB"/>
          <w14:ligatures w14:val="standardContextual"/>
        </w:rPr>
      </w:pPr>
      <w:hyperlink w:anchor="_Toc219712828" w:history="1">
        <w:r w:rsidRPr="002F65FD">
          <w:rPr>
            <w:rStyle w:val="Hyperlink"/>
            <w:noProof/>
          </w:rPr>
          <w:t>Decision MC-6/22: Dates and venue of the seventh meeting of the Conference of the Parties to the Minamata Convention on Mercury</w:t>
        </w:r>
        <w:r w:rsidRPr="002F65FD">
          <w:rPr>
            <w:noProof/>
            <w:webHidden/>
          </w:rPr>
          <w:tab/>
        </w:r>
        <w:r w:rsidRPr="002F65FD">
          <w:rPr>
            <w:noProof/>
            <w:webHidden/>
          </w:rPr>
          <w:fldChar w:fldCharType="begin"/>
        </w:r>
        <w:r w:rsidRPr="002F65FD">
          <w:rPr>
            <w:noProof/>
            <w:webHidden/>
          </w:rPr>
          <w:instrText xml:space="preserve"> PAGEREF _Toc219712828 \h </w:instrText>
        </w:r>
        <w:r w:rsidRPr="002F65FD">
          <w:rPr>
            <w:noProof/>
            <w:webHidden/>
          </w:rPr>
        </w:r>
        <w:r w:rsidRPr="002F65FD">
          <w:rPr>
            <w:noProof/>
            <w:webHidden/>
          </w:rPr>
          <w:fldChar w:fldCharType="separate"/>
        </w:r>
        <w:r w:rsidR="001F4DA7">
          <w:rPr>
            <w:noProof/>
            <w:webHidden/>
          </w:rPr>
          <w:t>43</w:t>
        </w:r>
        <w:r w:rsidRPr="002F65FD">
          <w:rPr>
            <w:noProof/>
            <w:webHidden/>
          </w:rPr>
          <w:fldChar w:fldCharType="end"/>
        </w:r>
      </w:hyperlink>
    </w:p>
    <w:p w14:paraId="77E0837B" w14:textId="5C9FCAC3" w:rsidR="00312042" w:rsidRPr="00631C1C" w:rsidRDefault="00312042" w:rsidP="00FC727F">
      <w:pPr>
        <w:pStyle w:val="Normal-pool"/>
        <w:rPr>
          <w:rFonts w:asciiTheme="majorBidi" w:hAnsiTheme="majorBidi" w:cstheme="majorBidi"/>
        </w:rPr>
      </w:pPr>
      <w:r w:rsidRPr="00631C1C">
        <w:fldChar w:fldCharType="end"/>
      </w:r>
      <w:r w:rsidRPr="00631C1C">
        <w:rPr>
          <w:rFonts w:asciiTheme="majorBidi" w:hAnsiTheme="majorBidi" w:cstheme="majorBidi"/>
        </w:rPr>
        <w:br w:type="page"/>
      </w:r>
    </w:p>
    <w:p w14:paraId="7B210F79" w14:textId="77777777" w:rsidR="00312042" w:rsidRPr="00631C1C" w:rsidRDefault="00312042" w:rsidP="00312042">
      <w:pPr>
        <w:pStyle w:val="CH2"/>
      </w:pPr>
      <w:r w:rsidRPr="00631C1C">
        <w:lastRenderedPageBreak/>
        <w:tab/>
      </w:r>
      <w:r w:rsidRPr="00631C1C">
        <w:tab/>
      </w:r>
      <w:bookmarkStart w:id="8" w:name="_Toc219712798"/>
      <w:r w:rsidRPr="00631C1C">
        <w:t>Decision MC-6/1: Supply sources and trade</w:t>
      </w:r>
      <w:bookmarkEnd w:id="8"/>
    </w:p>
    <w:p w14:paraId="3E5B96A9" w14:textId="77777777"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5AAF950E" w14:textId="49FF0ED6"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to parties for sharing information on experiences and challenges faced in the implementation of article 3 of the Minamata </w:t>
      </w:r>
      <w:bookmarkStart w:id="9" w:name="_Hlk216866538"/>
      <w:r w:rsidRPr="00631C1C">
        <w:rPr>
          <w:rFonts w:asciiTheme="majorBidi" w:hAnsiTheme="majorBidi" w:cstheme="majorBidi"/>
        </w:rPr>
        <w:t>Convention</w:t>
      </w:r>
      <w:bookmarkEnd w:id="9"/>
      <w:r w:rsidRPr="00631C1C">
        <w:rPr>
          <w:rFonts w:asciiTheme="majorBidi" w:hAnsiTheme="majorBidi" w:cstheme="majorBidi"/>
        </w:rPr>
        <w:t xml:space="preserve"> on Mercury</w:t>
      </w:r>
      <w:r w:rsidRPr="00B92164">
        <w:rPr>
          <w:rFonts w:asciiTheme="majorBidi" w:hAnsiTheme="majorBidi" w:cstheme="majorBidi"/>
        </w:rPr>
        <w:t>,</w:t>
      </w:r>
      <w:r w:rsidRPr="00631C1C">
        <w:rPr>
          <w:rFonts w:asciiTheme="majorBidi" w:hAnsiTheme="majorBidi" w:cstheme="majorBidi"/>
        </w:rPr>
        <w:t xml:space="preserve"> as well as information on activities conducted in relation to the Bali declaration on combating illegal trade in mercury in response to paragraph 4 of decision MC-5/2,</w:t>
      </w:r>
    </w:p>
    <w:p w14:paraId="1CF614C0" w14:textId="60187436"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 xml:space="preserve">that parties raised the </w:t>
      </w:r>
      <w:r w:rsidR="006A51FD">
        <w:rPr>
          <w:rFonts w:asciiTheme="majorBidi" w:hAnsiTheme="majorBidi" w:cstheme="majorBidi"/>
        </w:rPr>
        <w:t xml:space="preserve">issue of the </w:t>
      </w:r>
      <w:r w:rsidRPr="00631C1C">
        <w:rPr>
          <w:rFonts w:asciiTheme="majorBidi" w:hAnsiTheme="majorBidi" w:cstheme="majorBidi"/>
        </w:rPr>
        <w:t>presence of informal or illegal primary mining in their territories and cases of mercury trade not conforming with the Convention, as well as illicit trafficking, illegal trade or smuggling of mercury, in particular for use in artisanal and small-scale gold mining, in their national reports under article 21 and in the information submitted in response to paragraph 4 of decision MC-5/2,</w:t>
      </w:r>
    </w:p>
    <w:p w14:paraId="2786DB59" w14:textId="7DAE05C1"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rPr>
      </w:pPr>
      <w:r w:rsidRPr="00631C1C">
        <w:rPr>
          <w:rFonts w:asciiTheme="majorBidi" w:hAnsiTheme="majorBidi" w:cstheme="majorBidi"/>
          <w:i/>
          <w:iCs/>
        </w:rPr>
        <w:t>Recognizing</w:t>
      </w:r>
      <w:r w:rsidRPr="00631C1C">
        <w:rPr>
          <w:rFonts w:asciiTheme="majorBidi" w:hAnsiTheme="majorBidi" w:cstheme="majorBidi"/>
        </w:rPr>
        <w:t xml:space="preserve"> that such primary mining and trade represent a challenge to the implementation of article 3,</w:t>
      </w:r>
    </w:p>
    <w:p w14:paraId="7B99B7C0" w14:textId="120CE0D5"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Considering </w:t>
      </w:r>
      <w:r w:rsidRPr="00631C1C">
        <w:rPr>
          <w:rFonts w:asciiTheme="majorBidi" w:hAnsiTheme="majorBidi" w:cstheme="majorBidi"/>
        </w:rPr>
        <w:t>the recommendation of the Implementation and Compliance Committee of the Convention to the Conference of the Parties at its sixth meeting,</w:t>
      </w:r>
      <w:r w:rsidRPr="00631C1C">
        <w:rPr>
          <w:rStyle w:val="FootnoteReference"/>
          <w:rFonts w:asciiTheme="majorBidi" w:hAnsiTheme="majorBidi" w:cstheme="majorBidi"/>
        </w:rPr>
        <w:footnoteReference w:id="2"/>
      </w:r>
    </w:p>
    <w:p w14:paraId="532B3975" w14:textId="181FBB85"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notwithstanding the progress made so far, parties ha</w:t>
      </w:r>
      <w:r w:rsidR="006A51FD">
        <w:rPr>
          <w:rFonts w:asciiTheme="majorBidi" w:hAnsiTheme="majorBidi" w:cstheme="majorBidi"/>
        </w:rPr>
        <w:t>ve</w:t>
      </w:r>
      <w:r w:rsidRPr="00631C1C">
        <w:rPr>
          <w:rFonts w:asciiTheme="majorBidi" w:hAnsiTheme="majorBidi" w:cstheme="majorBidi"/>
        </w:rPr>
        <w:t xml:space="preserve"> expressed the need to enhance collaboration and receive additional support and assistance to strengthen implementation of article 3, and acknowledging the role of the Global Environment Facility in providing such support,</w:t>
      </w:r>
      <w:r w:rsidRPr="00631C1C">
        <w:rPr>
          <w:rStyle w:val="FootnoteReference"/>
          <w:rFonts w:asciiTheme="majorBidi" w:hAnsiTheme="majorBidi" w:cstheme="majorBidi"/>
        </w:rPr>
        <w:footnoteReference w:id="3"/>
      </w:r>
    </w:p>
    <w:p w14:paraId="3C482F52" w14:textId="48981391" w:rsidR="00312042" w:rsidRPr="00D86B1A"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bookmarkStart w:id="10" w:name="_Hlk216877385"/>
      <w:r w:rsidRPr="00D86B1A">
        <w:rPr>
          <w:rFonts w:asciiTheme="majorBidi" w:hAnsiTheme="majorBidi" w:cstheme="majorBidi"/>
          <w:i/>
          <w:iCs/>
        </w:rPr>
        <w:t>Adopts</w:t>
      </w:r>
      <w:r w:rsidRPr="00D86B1A">
        <w:rPr>
          <w:rFonts w:asciiTheme="majorBidi" w:hAnsiTheme="majorBidi" w:cstheme="majorBidi"/>
        </w:rPr>
        <w:t xml:space="preserve"> the </w:t>
      </w:r>
      <w:bookmarkStart w:id="11" w:name="_Hlk216876899"/>
      <w:r w:rsidRPr="00D86B1A">
        <w:rPr>
          <w:rFonts w:asciiTheme="majorBidi" w:hAnsiTheme="majorBidi" w:cstheme="majorBidi"/>
        </w:rPr>
        <w:t>updates</w:t>
      </w:r>
      <w:bookmarkStart w:id="12" w:name="_Hlk219451192"/>
      <w:r w:rsidR="006A51FD" w:rsidRPr="00D86B1A">
        <w:rPr>
          <w:rStyle w:val="FootnoteReference"/>
          <w:rFonts w:asciiTheme="majorBidi" w:hAnsiTheme="majorBidi" w:cstheme="majorBidi"/>
        </w:rPr>
        <w:footnoteReference w:id="4"/>
      </w:r>
      <w:bookmarkEnd w:id="12"/>
      <w:r w:rsidRPr="00D86B1A">
        <w:rPr>
          <w:rFonts w:asciiTheme="majorBidi" w:hAnsiTheme="majorBidi" w:cstheme="majorBidi"/>
        </w:rPr>
        <w:t xml:space="preserve"> to the guidance</w:t>
      </w:r>
      <w:r w:rsidR="00D86B1A" w:rsidRPr="00D86B1A">
        <w:rPr>
          <w:rStyle w:val="FootnoteReference"/>
          <w:rFonts w:asciiTheme="majorBidi" w:hAnsiTheme="majorBidi" w:cstheme="majorBidi"/>
        </w:rPr>
        <w:footnoteReference w:id="5"/>
      </w:r>
      <w:r w:rsidRPr="00D86B1A">
        <w:rPr>
          <w:rFonts w:asciiTheme="majorBidi" w:hAnsiTheme="majorBidi" w:cstheme="majorBidi"/>
        </w:rPr>
        <w:t xml:space="preserve"> on the identification of individual stocks of mercury or mercury compounds exceeding 50 metric tons and sources of mercury supply generating stocks exceeding 10 metric tons per </w:t>
      </w:r>
      <w:proofErr w:type="gramStart"/>
      <w:r w:rsidRPr="00D86B1A">
        <w:rPr>
          <w:rFonts w:asciiTheme="majorBidi" w:hAnsiTheme="majorBidi" w:cstheme="majorBidi"/>
        </w:rPr>
        <w:t>year</w:t>
      </w:r>
      <w:bookmarkEnd w:id="11"/>
      <w:r w:rsidR="00924456" w:rsidRPr="00D86B1A">
        <w:rPr>
          <w:rFonts w:asciiTheme="majorBidi" w:hAnsiTheme="majorBidi" w:cstheme="majorBidi"/>
        </w:rPr>
        <w:t>;</w:t>
      </w:r>
      <w:bookmarkEnd w:id="10"/>
      <w:proofErr w:type="gramEnd"/>
    </w:p>
    <w:p w14:paraId="384C3342" w14:textId="193D9123"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D86B1A">
        <w:rPr>
          <w:rFonts w:asciiTheme="majorBidi" w:hAnsiTheme="majorBidi" w:cstheme="majorBidi"/>
          <w:i/>
          <w:iCs/>
        </w:rPr>
        <w:t>Also adopts</w:t>
      </w:r>
      <w:r w:rsidRPr="00D86B1A">
        <w:rPr>
          <w:rFonts w:asciiTheme="majorBidi" w:hAnsiTheme="majorBidi" w:cstheme="majorBidi"/>
        </w:rPr>
        <w:t xml:space="preserve"> the updates</w:t>
      </w:r>
      <w:r w:rsidR="00924456" w:rsidRPr="00D86B1A">
        <w:rPr>
          <w:rStyle w:val="FootnoteReference"/>
          <w:rFonts w:asciiTheme="majorBidi" w:hAnsiTheme="majorBidi" w:cstheme="majorBidi"/>
        </w:rPr>
        <w:footnoteReference w:id="6"/>
      </w:r>
      <w:r w:rsidRPr="00D86B1A">
        <w:rPr>
          <w:rFonts w:asciiTheme="majorBidi" w:hAnsiTheme="majorBidi" w:cstheme="majorBidi"/>
        </w:rPr>
        <w:t xml:space="preserve"> to the guidance</w:t>
      </w:r>
      <w:r w:rsidR="00D86B1A" w:rsidRPr="00636DE0">
        <w:rPr>
          <w:rStyle w:val="FootnoteReference"/>
          <w:rFonts w:asciiTheme="majorBidi" w:hAnsiTheme="majorBidi" w:cstheme="majorBidi"/>
        </w:rPr>
        <w:footnoteReference w:id="7"/>
      </w:r>
      <w:r w:rsidRPr="00D86B1A">
        <w:rPr>
          <w:rFonts w:asciiTheme="majorBidi" w:hAnsiTheme="majorBidi" w:cstheme="majorBidi"/>
        </w:rPr>
        <w:t xml:space="preserve"> on the use of forms on import and export of mercury to assist parties in identifying, managing and reducing mercury</w:t>
      </w:r>
      <w:r w:rsidRPr="00631C1C">
        <w:rPr>
          <w:rFonts w:asciiTheme="majorBidi" w:hAnsiTheme="majorBidi" w:cstheme="majorBidi"/>
        </w:rPr>
        <w:t xml:space="preserve"> trade from primary mercury </w:t>
      </w:r>
      <w:proofErr w:type="gramStart"/>
      <w:r w:rsidRPr="00B92164">
        <w:rPr>
          <w:rFonts w:asciiTheme="majorBidi" w:hAnsiTheme="majorBidi" w:cstheme="majorBidi"/>
        </w:rPr>
        <w:t>mining</w:t>
      </w:r>
      <w:r w:rsidRPr="00631C1C">
        <w:rPr>
          <w:rFonts w:asciiTheme="majorBidi" w:hAnsiTheme="majorBidi" w:cstheme="majorBidi"/>
        </w:rPr>
        <w:t>;</w:t>
      </w:r>
      <w:proofErr w:type="gramEnd"/>
    </w:p>
    <w:p w14:paraId="5E5735FA" w14:textId="11918B57"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w:t>
      </w:r>
      <w:r w:rsidR="00530D58" w:rsidRPr="00631C1C">
        <w:rPr>
          <w:rFonts w:asciiTheme="majorBidi" w:hAnsiTheme="majorBidi" w:cstheme="majorBidi"/>
        </w:rPr>
        <w:t xml:space="preserve">the </w:t>
      </w:r>
      <w:r w:rsidRPr="00631C1C">
        <w:rPr>
          <w:rFonts w:asciiTheme="majorBidi" w:hAnsiTheme="majorBidi" w:cstheme="majorBidi"/>
        </w:rPr>
        <w:t>parties that reported on experiences and challenges faced in the implementation of paragraph 3 of article 3</w:t>
      </w:r>
      <w:r w:rsidR="00DF495D" w:rsidRPr="00631C1C">
        <w:rPr>
          <w:rFonts w:asciiTheme="majorBidi" w:hAnsiTheme="majorBidi" w:cstheme="majorBidi"/>
        </w:rPr>
        <w:t>,</w:t>
      </w:r>
      <w:r w:rsidRPr="00631C1C">
        <w:rPr>
          <w:rFonts w:asciiTheme="majorBidi" w:hAnsiTheme="majorBidi" w:cstheme="majorBidi"/>
        </w:rPr>
        <w:t xml:space="preserve"> on primary mercury mining</w:t>
      </w:r>
      <w:r w:rsidR="00DF495D" w:rsidRPr="00631C1C">
        <w:rPr>
          <w:rFonts w:asciiTheme="majorBidi" w:hAnsiTheme="majorBidi" w:cstheme="majorBidi"/>
        </w:rPr>
        <w:t>,</w:t>
      </w:r>
      <w:r w:rsidRPr="00631C1C">
        <w:rPr>
          <w:rFonts w:asciiTheme="majorBidi" w:hAnsiTheme="majorBidi" w:cstheme="majorBidi"/>
        </w:rPr>
        <w:t xml:space="preserve"> in their national reports under article 21 to provide further information to the secretariat with a view to its being shared with the Implementation and Compliance Committee for further </w:t>
      </w:r>
      <w:proofErr w:type="gramStart"/>
      <w:r w:rsidRPr="00631C1C">
        <w:rPr>
          <w:rFonts w:asciiTheme="majorBidi" w:hAnsiTheme="majorBidi" w:cstheme="majorBidi"/>
        </w:rPr>
        <w:t>consideration;</w:t>
      </w:r>
      <w:proofErr w:type="gramEnd"/>
    </w:p>
    <w:p w14:paraId="52BEB134" w14:textId="179B3E42"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 xml:space="preserve">parties, including those benefiting from ongoing projects of the Global Environment Facility, to continue to share information with the secretariat about experiences in preventing and combating illegal trade in mercury, including with respect to the use of forms related to article 3 on mercury </w:t>
      </w:r>
      <w:proofErr w:type="gramStart"/>
      <w:r w:rsidRPr="00631C1C">
        <w:rPr>
          <w:rFonts w:asciiTheme="majorBidi" w:hAnsiTheme="majorBidi" w:cstheme="majorBidi"/>
        </w:rPr>
        <w:t>trade;</w:t>
      </w:r>
      <w:proofErr w:type="gramEnd"/>
    </w:p>
    <w:p w14:paraId="78A0FB9E" w14:textId="42272C96"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 xml:space="preserve">the secretariat to develop, in collaboration with parties </w:t>
      </w:r>
      <w:r w:rsidRPr="00B92164">
        <w:rPr>
          <w:rFonts w:asciiTheme="majorBidi" w:hAnsiTheme="majorBidi" w:cstheme="majorBidi"/>
        </w:rPr>
        <w:t>and organizations with expertise on illegal trade</w:t>
      </w:r>
      <w:r w:rsidRPr="00631C1C">
        <w:rPr>
          <w:rFonts w:asciiTheme="majorBidi" w:hAnsiTheme="majorBidi" w:cstheme="majorBidi"/>
        </w:rPr>
        <w:t xml:space="preserve">, and subject to </w:t>
      </w:r>
      <w:r w:rsidR="00805AE0" w:rsidRPr="00631C1C">
        <w:rPr>
          <w:rFonts w:asciiTheme="majorBidi" w:hAnsiTheme="majorBidi" w:cstheme="majorBidi"/>
        </w:rPr>
        <w:t xml:space="preserve">the </w:t>
      </w:r>
      <w:r w:rsidRPr="00631C1C">
        <w:rPr>
          <w:rFonts w:asciiTheme="majorBidi" w:hAnsiTheme="majorBidi" w:cstheme="majorBidi"/>
        </w:rPr>
        <w:t xml:space="preserve">availability of resources, </w:t>
      </w:r>
      <w:r w:rsidRPr="00B92164">
        <w:rPr>
          <w:rFonts w:asciiTheme="majorBidi" w:hAnsiTheme="majorBidi" w:cstheme="majorBidi"/>
        </w:rPr>
        <w:t xml:space="preserve">a report presenting strategies </w:t>
      </w:r>
      <w:r w:rsidR="00DF3411" w:rsidRPr="00B92164">
        <w:rPr>
          <w:rFonts w:asciiTheme="majorBidi" w:hAnsiTheme="majorBidi" w:cstheme="majorBidi"/>
        </w:rPr>
        <w:t xml:space="preserve">for </w:t>
      </w:r>
      <w:r w:rsidRPr="00B92164">
        <w:rPr>
          <w:rFonts w:asciiTheme="majorBidi" w:hAnsiTheme="majorBidi" w:cstheme="majorBidi"/>
        </w:rPr>
        <w:t>address</w:t>
      </w:r>
      <w:r w:rsidR="00DF3411" w:rsidRPr="00B92164">
        <w:rPr>
          <w:rFonts w:asciiTheme="majorBidi" w:hAnsiTheme="majorBidi" w:cstheme="majorBidi"/>
        </w:rPr>
        <w:t>ing</w:t>
      </w:r>
      <w:r w:rsidRPr="00B92164">
        <w:rPr>
          <w:rFonts w:asciiTheme="majorBidi" w:hAnsiTheme="majorBidi" w:cstheme="majorBidi"/>
        </w:rPr>
        <w:t xml:space="preserve"> the supply and trade of mercury for </w:t>
      </w:r>
      <w:r w:rsidR="00DF3411" w:rsidRPr="00B92164">
        <w:rPr>
          <w:rFonts w:asciiTheme="majorBidi" w:hAnsiTheme="majorBidi" w:cstheme="majorBidi"/>
        </w:rPr>
        <w:t>p</w:t>
      </w:r>
      <w:r w:rsidRPr="00B92164">
        <w:rPr>
          <w:rFonts w:asciiTheme="majorBidi" w:hAnsiTheme="majorBidi" w:cstheme="majorBidi"/>
        </w:rPr>
        <w:t xml:space="preserve">arties not in compliance with </w:t>
      </w:r>
      <w:r w:rsidR="00260E86" w:rsidRPr="00B92164">
        <w:rPr>
          <w:rFonts w:asciiTheme="majorBidi" w:hAnsiTheme="majorBidi" w:cstheme="majorBidi"/>
        </w:rPr>
        <w:t>a</w:t>
      </w:r>
      <w:r w:rsidRPr="00B92164">
        <w:rPr>
          <w:rFonts w:asciiTheme="majorBidi" w:hAnsiTheme="majorBidi" w:cstheme="majorBidi"/>
        </w:rPr>
        <w:t>rticle 3</w:t>
      </w:r>
      <w:r w:rsidR="005147C7" w:rsidRPr="00B92164">
        <w:rPr>
          <w:rFonts w:asciiTheme="majorBidi" w:hAnsiTheme="majorBidi" w:cstheme="majorBidi"/>
        </w:rPr>
        <w:t>,</w:t>
      </w:r>
      <w:r w:rsidRPr="00B92164">
        <w:rPr>
          <w:rFonts w:asciiTheme="majorBidi" w:hAnsiTheme="majorBidi" w:cstheme="majorBidi"/>
        </w:rPr>
        <w:t xml:space="preserve"> </w:t>
      </w:r>
      <w:r w:rsidR="005147C7" w:rsidRPr="00B92164">
        <w:rPr>
          <w:rFonts w:asciiTheme="majorBidi" w:hAnsiTheme="majorBidi" w:cstheme="majorBidi"/>
        </w:rPr>
        <w:t>and, i</w:t>
      </w:r>
      <w:r w:rsidRPr="00B92164">
        <w:rPr>
          <w:rFonts w:asciiTheme="majorBidi" w:hAnsiTheme="majorBidi" w:cstheme="majorBidi"/>
        </w:rPr>
        <w:t xml:space="preserve">n preparing the report, the </w:t>
      </w:r>
      <w:r w:rsidR="00804177" w:rsidRPr="00B92164">
        <w:rPr>
          <w:rFonts w:asciiTheme="majorBidi" w:hAnsiTheme="majorBidi" w:cstheme="majorBidi"/>
        </w:rPr>
        <w:t>s</w:t>
      </w:r>
      <w:r w:rsidRPr="00B92164">
        <w:rPr>
          <w:rFonts w:asciiTheme="majorBidi" w:hAnsiTheme="majorBidi" w:cstheme="majorBidi"/>
        </w:rPr>
        <w:t>ecretariat shall</w:t>
      </w:r>
      <w:r w:rsidRPr="00631C1C">
        <w:rPr>
          <w:rFonts w:asciiTheme="majorBidi" w:hAnsiTheme="majorBidi" w:cstheme="majorBidi"/>
        </w:rPr>
        <w:t>:</w:t>
      </w:r>
    </w:p>
    <w:p w14:paraId="52E1D389" w14:textId="4AFA368D"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rPr>
        <w:t xml:space="preserve">Utilize information collected from parties </w:t>
      </w:r>
      <w:r w:rsidRPr="00B92164">
        <w:rPr>
          <w:rFonts w:asciiTheme="majorBidi" w:hAnsiTheme="majorBidi" w:cstheme="majorBidi"/>
        </w:rPr>
        <w:t xml:space="preserve">and other relevant </w:t>
      </w:r>
      <w:proofErr w:type="gramStart"/>
      <w:r w:rsidRPr="00B92164">
        <w:rPr>
          <w:rFonts w:asciiTheme="majorBidi" w:hAnsiTheme="majorBidi" w:cstheme="majorBidi"/>
        </w:rPr>
        <w:t>sources</w:t>
      </w:r>
      <w:r w:rsidRPr="00631C1C">
        <w:rPr>
          <w:rFonts w:asciiTheme="majorBidi" w:hAnsiTheme="majorBidi" w:cstheme="majorBidi"/>
        </w:rPr>
        <w:t>;</w:t>
      </w:r>
      <w:proofErr w:type="gramEnd"/>
    </w:p>
    <w:p w14:paraId="3C7D016A" w14:textId="73E65D84"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proofErr w:type="gramStart"/>
      <w:r w:rsidRPr="00631C1C">
        <w:rPr>
          <w:rFonts w:asciiTheme="majorBidi" w:hAnsiTheme="majorBidi" w:cstheme="majorBidi"/>
        </w:rPr>
        <w:t>Take into account</w:t>
      </w:r>
      <w:proofErr w:type="gramEnd"/>
      <w:r w:rsidRPr="00631C1C">
        <w:rPr>
          <w:rFonts w:asciiTheme="majorBidi" w:hAnsiTheme="majorBidi" w:cstheme="majorBidi"/>
        </w:rPr>
        <w:t xml:space="preserve"> information on strategies to prevent the diversion of mercury from foreign and domestic sources </w:t>
      </w:r>
      <w:r w:rsidR="00DF3411" w:rsidRPr="00631C1C">
        <w:rPr>
          <w:rFonts w:asciiTheme="majorBidi" w:hAnsiTheme="majorBidi" w:cstheme="majorBidi"/>
        </w:rPr>
        <w:t xml:space="preserve">for </w:t>
      </w:r>
      <w:r w:rsidRPr="00631C1C">
        <w:rPr>
          <w:rFonts w:asciiTheme="majorBidi" w:hAnsiTheme="majorBidi" w:cstheme="majorBidi"/>
        </w:rPr>
        <w:t xml:space="preserve">use in artisanal and small-scale gold mining and processing, as contained in national action plans on artisanal and small-scale gold mining submitted by parties in accordance with paragraph 3 (b) of article </w:t>
      </w:r>
      <w:proofErr w:type="gramStart"/>
      <w:r w:rsidRPr="00631C1C">
        <w:rPr>
          <w:rFonts w:asciiTheme="majorBidi" w:hAnsiTheme="majorBidi" w:cstheme="majorBidi"/>
        </w:rPr>
        <w:t>7;</w:t>
      </w:r>
      <w:proofErr w:type="gramEnd"/>
    </w:p>
    <w:p w14:paraId="22AC26C3" w14:textId="77777777"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rPr>
        <w:t xml:space="preserve">Invite contributions from Parties, the Implementation and Compliance Committee and other </w:t>
      </w:r>
      <w:proofErr w:type="gramStart"/>
      <w:r w:rsidRPr="00631C1C">
        <w:rPr>
          <w:rFonts w:asciiTheme="majorBidi" w:hAnsiTheme="majorBidi" w:cstheme="majorBidi"/>
        </w:rPr>
        <w:t>stakeholders;</w:t>
      </w:r>
      <w:proofErr w:type="gramEnd"/>
    </w:p>
    <w:p w14:paraId="4157C5DB" w14:textId="483F5FB6" w:rsidR="00312042" w:rsidRPr="00B92164" w:rsidRDefault="00312042" w:rsidP="00F234CD">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lastRenderedPageBreak/>
        <w:t xml:space="preserve">Invites </w:t>
      </w:r>
      <w:r w:rsidRPr="00B92164">
        <w:rPr>
          <w:rFonts w:asciiTheme="majorBidi" w:hAnsiTheme="majorBidi" w:cstheme="majorBidi"/>
        </w:rPr>
        <w:t xml:space="preserve">the </w:t>
      </w:r>
      <w:r w:rsidR="0054668F" w:rsidRPr="00B92164">
        <w:rPr>
          <w:rFonts w:asciiTheme="majorBidi" w:hAnsiTheme="majorBidi" w:cstheme="majorBidi"/>
        </w:rPr>
        <w:t>s</w:t>
      </w:r>
      <w:r w:rsidRPr="00B92164">
        <w:rPr>
          <w:rFonts w:asciiTheme="majorBidi" w:hAnsiTheme="majorBidi" w:cstheme="majorBidi"/>
        </w:rPr>
        <w:t xml:space="preserve">ecretariat to develop, subject to the availability of resources, guidance for </w:t>
      </w:r>
      <w:r w:rsidR="00805AE0" w:rsidRPr="00B92164">
        <w:rPr>
          <w:rFonts w:asciiTheme="majorBidi" w:hAnsiTheme="majorBidi" w:cstheme="majorBidi"/>
        </w:rPr>
        <w:t xml:space="preserve">the </w:t>
      </w:r>
      <w:r w:rsidRPr="00B92164">
        <w:rPr>
          <w:rFonts w:asciiTheme="majorBidi" w:hAnsiTheme="majorBidi" w:cstheme="majorBidi"/>
        </w:rPr>
        <w:t xml:space="preserve">consistent use of Harmonized </w:t>
      </w:r>
      <w:r w:rsidR="00DF3411" w:rsidRPr="00B92164">
        <w:rPr>
          <w:rFonts w:asciiTheme="majorBidi" w:hAnsiTheme="majorBidi" w:cstheme="majorBidi"/>
        </w:rPr>
        <w:t xml:space="preserve">Commodity Description and Coding </w:t>
      </w:r>
      <w:r w:rsidRPr="00B92164">
        <w:rPr>
          <w:rFonts w:asciiTheme="majorBidi" w:hAnsiTheme="majorBidi" w:cstheme="majorBidi"/>
        </w:rPr>
        <w:t xml:space="preserve">System codes related to mercury-containing goods, specifically mercury, mercury compounds and mercury </w:t>
      </w:r>
      <w:proofErr w:type="gramStart"/>
      <w:r w:rsidRPr="00B92164">
        <w:rPr>
          <w:rFonts w:asciiTheme="majorBidi" w:hAnsiTheme="majorBidi" w:cstheme="majorBidi"/>
        </w:rPr>
        <w:t>waste</w:t>
      </w:r>
      <w:r w:rsidR="003C601C" w:rsidRPr="00B92164">
        <w:rPr>
          <w:rFonts w:asciiTheme="majorBidi" w:hAnsiTheme="majorBidi" w:cstheme="majorBidi"/>
        </w:rPr>
        <w:t>;</w:t>
      </w:r>
      <w:proofErr w:type="gramEnd"/>
    </w:p>
    <w:p w14:paraId="5F4E332E" w14:textId="5AC45A88" w:rsidR="00312042" w:rsidRPr="00631C1C" w:rsidDel="001D6D3D" w:rsidRDefault="00DF3411"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R</w:t>
      </w:r>
      <w:r w:rsidR="00312042" w:rsidRPr="00631C1C">
        <w:rPr>
          <w:rFonts w:asciiTheme="majorBidi" w:hAnsiTheme="majorBidi" w:cstheme="majorBidi"/>
          <w:i/>
          <w:iCs/>
        </w:rPr>
        <w:t>equests</w:t>
      </w:r>
      <w:r w:rsidR="00312042" w:rsidRPr="00631C1C">
        <w:rPr>
          <w:rFonts w:asciiTheme="majorBidi" w:hAnsiTheme="majorBidi" w:cstheme="majorBidi"/>
        </w:rPr>
        <w:t xml:space="preserve"> the secretariat to submit the </w:t>
      </w:r>
      <w:r w:rsidR="00045543" w:rsidRPr="00631C1C">
        <w:rPr>
          <w:rFonts w:asciiTheme="majorBidi" w:hAnsiTheme="majorBidi" w:cstheme="majorBidi"/>
        </w:rPr>
        <w:t xml:space="preserve">report requested in </w:t>
      </w:r>
      <w:r w:rsidR="00312042" w:rsidRPr="00B92164">
        <w:rPr>
          <w:rFonts w:asciiTheme="majorBidi" w:hAnsiTheme="majorBidi" w:cstheme="majorBidi"/>
        </w:rPr>
        <w:t xml:space="preserve">paragraph 5 </w:t>
      </w:r>
      <w:r w:rsidR="00045543" w:rsidRPr="00B92164">
        <w:rPr>
          <w:rFonts w:asciiTheme="majorBidi" w:hAnsiTheme="majorBidi" w:cstheme="majorBidi"/>
        </w:rPr>
        <w:t>above</w:t>
      </w:r>
      <w:r w:rsidR="00045543" w:rsidRPr="00631C1C">
        <w:rPr>
          <w:rFonts w:asciiTheme="majorBidi" w:hAnsiTheme="majorBidi" w:cstheme="majorBidi"/>
        </w:rPr>
        <w:t xml:space="preserve"> </w:t>
      </w:r>
      <w:r w:rsidR="00312042" w:rsidRPr="00631C1C">
        <w:rPr>
          <w:rFonts w:asciiTheme="majorBidi" w:hAnsiTheme="majorBidi" w:cstheme="majorBidi"/>
        </w:rPr>
        <w:t xml:space="preserve">for consideration by the Conference of the Parties at its seventh </w:t>
      </w:r>
      <w:proofErr w:type="gramStart"/>
      <w:r w:rsidR="00312042" w:rsidRPr="00631C1C">
        <w:rPr>
          <w:rFonts w:asciiTheme="majorBidi" w:hAnsiTheme="majorBidi" w:cstheme="majorBidi"/>
        </w:rPr>
        <w:t>meeting;</w:t>
      </w:r>
      <w:proofErr w:type="gramEnd"/>
    </w:p>
    <w:p w14:paraId="560E56A2" w14:textId="77777777"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the Implementation and Compliance Committee to:</w:t>
      </w:r>
    </w:p>
    <w:p w14:paraId="7F1E6668" w14:textId="5CB3BA05" w:rsidR="00312042" w:rsidRPr="00631C1C" w:rsidRDefault="00DF3411"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lang w:eastAsia="zh-CN"/>
        </w:rPr>
        <w:t>A</w:t>
      </w:r>
      <w:r w:rsidR="00312042" w:rsidRPr="00631C1C">
        <w:rPr>
          <w:rFonts w:asciiTheme="majorBidi" w:hAnsiTheme="majorBidi" w:cstheme="majorBidi"/>
          <w:lang w:eastAsia="zh-CN"/>
        </w:rPr>
        <w:t xml:space="preserve">ssess the reasons </w:t>
      </w:r>
      <w:r w:rsidRPr="00631C1C">
        <w:rPr>
          <w:rFonts w:asciiTheme="majorBidi" w:hAnsiTheme="majorBidi" w:cstheme="majorBidi"/>
          <w:lang w:eastAsia="zh-CN"/>
        </w:rPr>
        <w:t xml:space="preserve">that </w:t>
      </w:r>
      <w:r w:rsidR="00312042" w:rsidRPr="00631C1C">
        <w:rPr>
          <w:rFonts w:asciiTheme="majorBidi" w:hAnsiTheme="majorBidi" w:cstheme="majorBidi"/>
          <w:lang w:eastAsia="zh-CN"/>
        </w:rPr>
        <w:t xml:space="preserve">parties have </w:t>
      </w:r>
      <w:r w:rsidR="00312042" w:rsidRPr="00B92164">
        <w:rPr>
          <w:rFonts w:asciiTheme="majorBidi" w:hAnsiTheme="majorBidi" w:cstheme="majorBidi"/>
          <w:lang w:eastAsia="zh-CN"/>
        </w:rPr>
        <w:t xml:space="preserve">provided as indications that they face </w:t>
      </w:r>
      <w:r w:rsidR="00312042" w:rsidRPr="00631C1C">
        <w:rPr>
          <w:rFonts w:asciiTheme="majorBidi" w:hAnsiTheme="majorBidi" w:cstheme="majorBidi"/>
          <w:lang w:eastAsia="zh-CN"/>
        </w:rPr>
        <w:t xml:space="preserve">challenges in implementing trade-related provisions </w:t>
      </w:r>
      <w:r w:rsidR="00312042" w:rsidRPr="00631C1C">
        <w:rPr>
          <w:rFonts w:asciiTheme="majorBidi" w:hAnsiTheme="majorBidi" w:cstheme="majorBidi"/>
        </w:rPr>
        <w:t>under</w:t>
      </w:r>
      <w:r w:rsidR="00312042" w:rsidRPr="00631C1C">
        <w:rPr>
          <w:rFonts w:asciiTheme="majorBidi" w:hAnsiTheme="majorBidi" w:cstheme="majorBidi"/>
          <w:lang w:eastAsia="zh-CN"/>
        </w:rPr>
        <w:t xml:space="preserve"> article 3 and </w:t>
      </w:r>
      <w:r w:rsidR="00312042" w:rsidRPr="00B92164">
        <w:rPr>
          <w:rFonts w:asciiTheme="majorBidi" w:hAnsiTheme="majorBidi" w:cstheme="majorBidi"/>
          <w:lang w:eastAsia="zh-CN"/>
        </w:rPr>
        <w:t>consider whether</w:t>
      </w:r>
      <w:r w:rsidR="00312042" w:rsidRPr="00631C1C">
        <w:rPr>
          <w:rFonts w:asciiTheme="majorBidi" w:hAnsiTheme="majorBidi" w:cstheme="majorBidi"/>
          <w:lang w:eastAsia="zh-CN"/>
        </w:rPr>
        <w:t xml:space="preserve"> recommendations </w:t>
      </w:r>
      <w:r w:rsidR="00312042" w:rsidRPr="00B92164">
        <w:rPr>
          <w:rFonts w:asciiTheme="majorBidi" w:hAnsiTheme="majorBidi" w:cstheme="majorBidi"/>
          <w:lang w:eastAsia="zh-CN"/>
        </w:rPr>
        <w:t>that go beyond the actions already taken by the Conference of the Parties at its fifth and sixth meetings might be beneficial</w:t>
      </w:r>
      <w:r w:rsidR="00312042" w:rsidRPr="00631C1C">
        <w:rPr>
          <w:rFonts w:asciiTheme="majorBidi" w:hAnsiTheme="majorBidi" w:cstheme="majorBidi"/>
          <w:lang w:eastAsia="zh-CN"/>
        </w:rPr>
        <w:t xml:space="preserve"> </w:t>
      </w:r>
      <w:r w:rsidR="007943E4">
        <w:rPr>
          <w:rFonts w:asciiTheme="majorBidi" w:hAnsiTheme="majorBidi" w:cstheme="majorBidi"/>
          <w:lang w:eastAsia="zh-CN"/>
        </w:rPr>
        <w:t>for</w:t>
      </w:r>
      <w:r w:rsidR="007943E4" w:rsidRPr="00631C1C">
        <w:rPr>
          <w:rFonts w:asciiTheme="majorBidi" w:hAnsiTheme="majorBidi" w:cstheme="majorBidi"/>
          <w:lang w:eastAsia="zh-CN"/>
        </w:rPr>
        <w:t xml:space="preserve"> </w:t>
      </w:r>
      <w:r w:rsidR="00312042" w:rsidRPr="00631C1C">
        <w:rPr>
          <w:rFonts w:asciiTheme="majorBidi" w:hAnsiTheme="majorBidi" w:cstheme="majorBidi"/>
          <w:lang w:eastAsia="zh-CN"/>
        </w:rPr>
        <w:t>improv</w:t>
      </w:r>
      <w:r w:rsidR="007943E4">
        <w:rPr>
          <w:rFonts w:asciiTheme="majorBidi" w:hAnsiTheme="majorBidi" w:cstheme="majorBidi"/>
          <w:lang w:eastAsia="zh-CN"/>
        </w:rPr>
        <w:t>ing</w:t>
      </w:r>
      <w:r w:rsidR="00312042" w:rsidRPr="00631C1C">
        <w:rPr>
          <w:rFonts w:asciiTheme="majorBidi" w:hAnsiTheme="majorBidi" w:cstheme="majorBidi"/>
          <w:lang w:eastAsia="zh-CN"/>
        </w:rPr>
        <w:t xml:space="preserve"> </w:t>
      </w:r>
      <w:proofErr w:type="gramStart"/>
      <w:r w:rsidR="00312042" w:rsidRPr="00631C1C">
        <w:rPr>
          <w:rFonts w:asciiTheme="majorBidi" w:hAnsiTheme="majorBidi" w:cstheme="majorBidi"/>
          <w:lang w:eastAsia="zh-CN"/>
        </w:rPr>
        <w:t>implementation;</w:t>
      </w:r>
      <w:proofErr w:type="gramEnd"/>
    </w:p>
    <w:p w14:paraId="4C4B90A7" w14:textId="37912BC9" w:rsidR="00312042" w:rsidRPr="00631C1C" w:rsidRDefault="00312042"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rPr>
        <w:t>C</w:t>
      </w:r>
      <w:r w:rsidRPr="00631C1C">
        <w:rPr>
          <w:rFonts w:asciiTheme="majorBidi" w:hAnsiTheme="majorBidi" w:cstheme="majorBidi"/>
        </w:rPr>
        <w:t>ooperat</w:t>
      </w:r>
      <w:r w:rsidRPr="00B92164">
        <w:rPr>
          <w:rFonts w:asciiTheme="majorBidi" w:hAnsiTheme="majorBidi" w:cstheme="majorBidi"/>
        </w:rPr>
        <w:t>e,</w:t>
      </w:r>
      <w:r w:rsidRPr="00631C1C">
        <w:rPr>
          <w:rFonts w:asciiTheme="majorBidi" w:hAnsiTheme="majorBidi" w:cstheme="majorBidi"/>
        </w:rPr>
        <w:t xml:space="preserve"> </w:t>
      </w:r>
      <w:r w:rsidRPr="00B92164">
        <w:rPr>
          <w:rFonts w:asciiTheme="majorBidi" w:hAnsiTheme="majorBidi" w:cstheme="majorBidi"/>
        </w:rPr>
        <w:t xml:space="preserve">as needed, </w:t>
      </w:r>
      <w:r w:rsidRPr="00631C1C">
        <w:rPr>
          <w:rFonts w:asciiTheme="majorBidi" w:hAnsiTheme="majorBidi" w:cstheme="majorBidi"/>
        </w:rPr>
        <w:t xml:space="preserve">with compliance bodies </w:t>
      </w:r>
      <w:r w:rsidRPr="00631C1C">
        <w:rPr>
          <w:rFonts w:asciiTheme="majorBidi" w:hAnsiTheme="majorBidi" w:cstheme="majorBidi"/>
          <w:lang w:eastAsia="zh-CN"/>
        </w:rPr>
        <w:t>of</w:t>
      </w:r>
      <w:r w:rsidRPr="00631C1C">
        <w:rPr>
          <w:rFonts w:asciiTheme="majorBidi" w:hAnsiTheme="majorBidi" w:cstheme="majorBidi"/>
        </w:rPr>
        <w:t xml:space="preserve"> other multilateral environmental agreements on their activities, with the aim of supporting parties in preventing and combating illegal </w:t>
      </w:r>
      <w:proofErr w:type="gramStart"/>
      <w:r w:rsidRPr="00631C1C">
        <w:rPr>
          <w:rFonts w:asciiTheme="majorBidi" w:hAnsiTheme="majorBidi" w:cstheme="majorBidi"/>
        </w:rPr>
        <w:t>trade;</w:t>
      </w:r>
      <w:proofErr w:type="gramEnd"/>
      <w:r w:rsidRPr="00631C1C">
        <w:rPr>
          <w:rFonts w:asciiTheme="majorBidi" w:hAnsiTheme="majorBidi" w:cstheme="majorBidi"/>
        </w:rPr>
        <w:t xml:space="preserve"> </w:t>
      </w:r>
    </w:p>
    <w:p w14:paraId="09F92DAA" w14:textId="57498593"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the United Nations Office on Drugs and Crime, the World Customs Organization, the International Criminal Police Organization</w:t>
      </w:r>
      <w:r w:rsidR="00EA1AE0" w:rsidRPr="00631C1C">
        <w:rPr>
          <w:rFonts w:asciiTheme="majorBidi" w:hAnsiTheme="majorBidi" w:cstheme="majorBidi"/>
        </w:rPr>
        <w:t xml:space="preserve"> (INTERPOL)</w:t>
      </w:r>
      <w:r w:rsidRPr="00631C1C">
        <w:rPr>
          <w:rFonts w:asciiTheme="majorBidi" w:hAnsiTheme="majorBidi" w:cstheme="majorBidi"/>
        </w:rPr>
        <w:t xml:space="preserve">, the member organizations of the </w:t>
      </w:r>
      <w:r w:rsidRPr="006DD1C7">
        <w:rPr>
          <w:rFonts w:asciiTheme="majorBidi" w:hAnsiTheme="majorBidi" w:cstheme="majorBidi"/>
        </w:rPr>
        <w:t>Inter</w:t>
      </w:r>
      <w:r w:rsidR="00F43315" w:rsidRPr="004820D7">
        <w:rPr>
          <w:rFonts w:asciiTheme="majorBidi" w:hAnsiTheme="majorBidi" w:cstheme="majorBidi"/>
        </w:rPr>
        <w:t>-</w:t>
      </w:r>
      <w:r w:rsidRPr="006DD1C7">
        <w:rPr>
          <w:rFonts w:asciiTheme="majorBidi" w:hAnsiTheme="majorBidi" w:cstheme="majorBidi"/>
        </w:rPr>
        <w:t>Organization</w:t>
      </w:r>
      <w:r w:rsidRPr="00631C1C">
        <w:rPr>
          <w:rFonts w:asciiTheme="majorBidi" w:hAnsiTheme="majorBidi" w:cstheme="majorBidi"/>
        </w:rPr>
        <w:t xml:space="preserve"> Programme for the Sound Management of Chemicals, the secretariat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and relevant global and regional enforcement networks to assist parties in preventing and combating illegal trade in mercury;</w:t>
      </w:r>
    </w:p>
    <w:p w14:paraId="375981D0" w14:textId="142269CB"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the secretariat</w:t>
      </w:r>
      <w:r w:rsidR="004A61A2" w:rsidRPr="00631C1C">
        <w:rPr>
          <w:rFonts w:asciiTheme="majorBidi" w:hAnsiTheme="majorBidi" w:cstheme="majorBidi"/>
        </w:rPr>
        <w:t xml:space="preserve"> of the Minamata Convention</w:t>
      </w:r>
      <w:r w:rsidRPr="00631C1C">
        <w:rPr>
          <w:rFonts w:asciiTheme="majorBidi" w:hAnsiTheme="majorBidi" w:cstheme="majorBidi"/>
        </w:rPr>
        <w:t xml:space="preserve">, subject to </w:t>
      </w:r>
      <w:r w:rsidR="00805AE0" w:rsidRPr="00631C1C">
        <w:rPr>
          <w:rFonts w:asciiTheme="majorBidi" w:hAnsiTheme="majorBidi" w:cstheme="majorBidi"/>
        </w:rPr>
        <w:t xml:space="preserve">the </w:t>
      </w:r>
      <w:r w:rsidRPr="00631C1C">
        <w:rPr>
          <w:rFonts w:asciiTheme="majorBidi" w:hAnsiTheme="majorBidi" w:cstheme="majorBidi"/>
        </w:rPr>
        <w:t xml:space="preserve">availability of resources, to continue to provide advice and conduct awareness-raising and technical assistance activities to strengthen the capacity of parties to fulfil their trade-related obligations under article </w:t>
      </w:r>
      <w:proofErr w:type="gramStart"/>
      <w:r w:rsidRPr="00631C1C">
        <w:rPr>
          <w:rFonts w:asciiTheme="majorBidi" w:hAnsiTheme="majorBidi" w:cstheme="majorBidi"/>
        </w:rPr>
        <w:t>3;</w:t>
      </w:r>
      <w:proofErr w:type="gramEnd"/>
    </w:p>
    <w:p w14:paraId="7FD5E518" w14:textId="07413A2F"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sectPr w:rsidR="00312042" w:rsidRPr="00631C1C" w:rsidSect="00E84D8D">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pPr>
      <w:r w:rsidRPr="00631C1C">
        <w:rPr>
          <w:rFonts w:asciiTheme="majorBidi" w:hAnsiTheme="majorBidi" w:cstheme="majorBidi"/>
          <w:i/>
          <w:iCs/>
        </w:rPr>
        <w:t xml:space="preserve">Also requests </w:t>
      </w:r>
      <w:r w:rsidRPr="00631C1C">
        <w:rPr>
          <w:rFonts w:asciiTheme="majorBidi" w:hAnsiTheme="majorBidi" w:cstheme="majorBidi"/>
        </w:rPr>
        <w:t>the secretariat to report to the Conference of the Parties at its next meeting on the implementation of the present decision.</w:t>
      </w:r>
    </w:p>
    <w:p w14:paraId="4BC2D66F"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0CA93EF6" w14:textId="6C61E1B5" w:rsidR="00312042" w:rsidRPr="00631C1C" w:rsidRDefault="00312042" w:rsidP="00312042">
      <w:pPr>
        <w:pStyle w:val="CH2"/>
        <w:rPr>
          <w:rFonts w:asciiTheme="majorBidi" w:hAnsiTheme="majorBidi" w:cstheme="majorBidi"/>
        </w:rPr>
      </w:pPr>
      <w:bookmarkStart w:id="14" w:name="_Toc213853059"/>
      <w:r w:rsidRPr="00631C1C">
        <w:rPr>
          <w:rFonts w:asciiTheme="majorBidi" w:hAnsiTheme="majorBidi" w:cstheme="majorBidi"/>
        </w:rPr>
        <w:lastRenderedPageBreak/>
        <w:tab/>
      </w:r>
      <w:r w:rsidRPr="00631C1C">
        <w:rPr>
          <w:rFonts w:asciiTheme="majorBidi" w:hAnsiTheme="majorBidi" w:cstheme="majorBidi"/>
        </w:rPr>
        <w:tab/>
      </w:r>
      <w:bookmarkStart w:id="15" w:name="_Toc219712799"/>
      <w:r w:rsidRPr="00631C1C">
        <w:rPr>
          <w:rFonts w:asciiTheme="majorBidi" w:hAnsiTheme="majorBidi" w:cstheme="majorBidi"/>
        </w:rPr>
        <w:t xml:space="preserve">Decision MC-6/2: Advancing work related to potential restrictions on the trade of mercury </w:t>
      </w:r>
      <w:r w:rsidRPr="00631C1C">
        <w:t>compounds</w:t>
      </w:r>
      <w:bookmarkEnd w:id="14"/>
      <w:bookmarkEnd w:id="15"/>
    </w:p>
    <w:p w14:paraId="53E126A7"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7F94B2D9" w14:textId="24C91D9F"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paragraph 13 of article 3 of the Minamata Convention on Mercury requires the Conference of the Parties to undertake an evaluation of whether the trade in specific mercury compounds </w:t>
      </w:r>
      <w:r w:rsidRPr="00631C1C">
        <w:rPr>
          <w:rFonts w:asciiTheme="majorBidi" w:eastAsia="Calibri" w:hAnsiTheme="majorBidi" w:cstheme="majorBidi"/>
        </w:rPr>
        <w:t>compromises</w:t>
      </w:r>
      <w:r w:rsidRPr="00631C1C">
        <w:rPr>
          <w:rFonts w:asciiTheme="majorBidi" w:hAnsiTheme="majorBidi" w:cstheme="majorBidi"/>
        </w:rPr>
        <w:t xml:space="preserve"> the Convention’s objective of protecting human health and the environment,</w:t>
      </w:r>
    </w:p>
    <w:p w14:paraId="069E3B67" w14:textId="3A96442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that paragraph 13 of article 3 also requires the Conference of the Parties to consider whether specific mercury compounds should, by their listing in an additional annex adopted in accordance with article 27, be made subject to paragraphs 6 and 8 of article 3,</w:t>
      </w:r>
    </w:p>
    <w:p w14:paraId="7F598899" w14:textId="4EB5AD30"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 xml:space="preserve">the work carried out during the most recent intersessional period pursuant to decision MC-5/3, </w:t>
      </w:r>
    </w:p>
    <w:p w14:paraId="28DA5FE7" w14:textId="2AC1EC85"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Aiming</w:t>
      </w:r>
      <w:r w:rsidRPr="00631C1C">
        <w:rPr>
          <w:rFonts w:asciiTheme="majorBidi" w:hAnsiTheme="majorBidi" w:cstheme="majorBidi"/>
        </w:rPr>
        <w:t xml:space="preserve"> to further understand the current global supply, trade and use of specific mercury compounds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take informed decisions in relation to the Convention,</w:t>
      </w:r>
    </w:p>
    <w:p w14:paraId="5C9DE061" w14:textId="31C1474A"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Acknowledges</w:t>
      </w:r>
      <w:r w:rsidRPr="00631C1C">
        <w:rPr>
          <w:rFonts w:asciiTheme="majorBidi" w:hAnsiTheme="majorBidi" w:cstheme="majorBidi"/>
        </w:rPr>
        <w:t xml:space="preserve"> the report on the global supply, production, trade and use of mercury compounds;</w:t>
      </w:r>
      <w:r w:rsidR="00E10A40" w:rsidRPr="00631C1C">
        <w:rPr>
          <w:rStyle w:val="FootnoteReference"/>
          <w:rFonts w:cstheme="majorBidi"/>
        </w:rPr>
        <w:footnoteReference w:id="8"/>
      </w:r>
    </w:p>
    <w:p w14:paraId="2FB5E3AC" w14:textId="5ED8A16C"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i/>
        </w:rPr>
        <w:t xml:space="preserve"> </w:t>
      </w:r>
      <w:r w:rsidRPr="00631C1C">
        <w:rPr>
          <w:rFonts w:asciiTheme="majorBidi" w:hAnsiTheme="majorBidi" w:cstheme="majorBidi"/>
        </w:rPr>
        <w:t xml:space="preserve">parties and stakeholders to reflect on the information contained in the report and to consider the need for an additional annex that would make mercury compounds subject to the trade provisions of paragraphs 6 and 8 of article </w:t>
      </w:r>
      <w:proofErr w:type="gramStart"/>
      <w:r w:rsidRPr="00631C1C">
        <w:rPr>
          <w:rFonts w:asciiTheme="majorBidi" w:hAnsiTheme="majorBidi" w:cstheme="majorBidi"/>
        </w:rPr>
        <w:t>3;</w:t>
      </w:r>
      <w:proofErr w:type="gramEnd"/>
    </w:p>
    <w:p w14:paraId="6FEC0FAE" w14:textId="37B58746"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parties and stakeholders to submit to the secretariat, by 31 March 2026, on a voluntary basis, available information on the supply, use and trade of mercury compounds, and to share their views and input on mercury compounds</w:t>
      </w:r>
      <w:r w:rsidRPr="00631C1C">
        <w:rPr>
          <w:rStyle w:val="FootnoteReference"/>
          <w:rFonts w:cstheme="majorBidi"/>
        </w:rPr>
        <w:footnoteReference w:id="9"/>
      </w:r>
      <w:r w:rsidRPr="00631C1C">
        <w:rPr>
          <w:rFonts w:asciiTheme="majorBidi" w:hAnsiTheme="majorBidi" w:cstheme="majorBidi"/>
        </w:rPr>
        <w:t xml:space="preserve"> which could </w:t>
      </w:r>
      <w:r w:rsidR="00B9372B">
        <w:rPr>
          <w:rFonts w:asciiTheme="majorBidi" w:hAnsiTheme="majorBidi" w:cstheme="majorBidi"/>
        </w:rPr>
        <w:t xml:space="preserve">possibly </w:t>
      </w:r>
      <w:r w:rsidRPr="00631C1C">
        <w:rPr>
          <w:rFonts w:asciiTheme="majorBidi" w:hAnsiTheme="majorBidi" w:cstheme="majorBidi"/>
        </w:rPr>
        <w:t xml:space="preserve">be listed in a proposed </w:t>
      </w:r>
      <w:proofErr w:type="gramStart"/>
      <w:r w:rsidRPr="00631C1C">
        <w:rPr>
          <w:rFonts w:asciiTheme="majorBidi" w:hAnsiTheme="majorBidi" w:cstheme="majorBidi"/>
        </w:rPr>
        <w:t>annex;</w:t>
      </w:r>
      <w:proofErr w:type="gramEnd"/>
    </w:p>
    <w:p w14:paraId="4E226A04" w14:textId="7329DB8F"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Decides</w:t>
      </w:r>
      <w:r w:rsidRPr="00631C1C">
        <w:rPr>
          <w:rFonts w:asciiTheme="majorBidi" w:hAnsiTheme="majorBidi" w:cstheme="majorBidi"/>
        </w:rPr>
        <w:t xml:space="preserve"> to establish an open-ended expert group whose mandate will be to consider the information in </w:t>
      </w:r>
      <w:r w:rsidR="00FA30E7">
        <w:rPr>
          <w:rFonts w:asciiTheme="majorBidi" w:hAnsiTheme="majorBidi" w:cstheme="majorBidi"/>
        </w:rPr>
        <w:t>the above</w:t>
      </w:r>
      <w:r w:rsidR="007943E4">
        <w:rPr>
          <w:rFonts w:asciiTheme="majorBidi" w:hAnsiTheme="majorBidi" w:cstheme="majorBidi"/>
        </w:rPr>
        <w:t>-</w:t>
      </w:r>
      <w:r w:rsidR="00FA30E7">
        <w:rPr>
          <w:rFonts w:asciiTheme="majorBidi" w:hAnsiTheme="majorBidi" w:cstheme="majorBidi"/>
        </w:rPr>
        <w:t>mentioned report</w:t>
      </w:r>
      <w:r w:rsidRPr="00631C1C">
        <w:rPr>
          <w:rFonts w:asciiTheme="majorBidi" w:hAnsiTheme="majorBidi" w:cstheme="majorBidi"/>
        </w:rPr>
        <w:t xml:space="preserve"> and the information submitted in accordance with paragraph 3 above, to work in English in an online setting, and to submit its recommendations to the secretariat </w:t>
      </w:r>
      <w:r w:rsidR="00AE4DAC" w:rsidRPr="00631C1C">
        <w:rPr>
          <w:rFonts w:asciiTheme="majorBidi" w:hAnsiTheme="majorBidi" w:cstheme="majorBidi"/>
        </w:rPr>
        <w:t xml:space="preserve">no later than </w:t>
      </w:r>
      <w:r w:rsidRPr="00631C1C">
        <w:rPr>
          <w:rFonts w:asciiTheme="majorBidi" w:hAnsiTheme="majorBidi" w:cstheme="majorBidi"/>
        </w:rPr>
        <w:t xml:space="preserve">eight months before the seventh meeting of the Conference of the Parties; </w:t>
      </w:r>
    </w:p>
    <w:p w14:paraId="1949F332" w14:textId="77777777"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 xml:space="preserve">parties and stakeholders to participate in the work of the expert </w:t>
      </w:r>
      <w:proofErr w:type="gramStart"/>
      <w:r w:rsidRPr="00631C1C">
        <w:rPr>
          <w:rFonts w:asciiTheme="majorBidi" w:hAnsiTheme="majorBidi" w:cstheme="majorBidi"/>
        </w:rPr>
        <w:t>group;</w:t>
      </w:r>
      <w:proofErr w:type="gramEnd"/>
    </w:p>
    <w:p w14:paraId="4503938A" w14:textId="77777777"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iCs/>
        </w:rPr>
        <w:t>Requests</w:t>
      </w:r>
      <w:r w:rsidRPr="00631C1C">
        <w:rPr>
          <w:rFonts w:asciiTheme="majorBidi" w:hAnsiTheme="majorBidi" w:cstheme="majorBidi"/>
        </w:rPr>
        <w:t xml:space="preserve"> the secretariat to support the expert group in its endeavours and to submit a report on the group’s work and its findings for consideration by the Conference of the Parties at its seventh meeting.</w:t>
      </w:r>
    </w:p>
    <w:p w14:paraId="353FEED3" w14:textId="77777777" w:rsidR="00312042" w:rsidRPr="00631C1C" w:rsidRDefault="00312042" w:rsidP="00312042">
      <w:pPr>
        <w:pStyle w:val="Normal-pool"/>
      </w:pPr>
      <w:r w:rsidRPr="00631C1C">
        <w:br w:type="page"/>
      </w:r>
    </w:p>
    <w:p w14:paraId="666D9367" w14:textId="2691B2D6" w:rsidR="00DB2767" w:rsidRPr="00631C1C" w:rsidRDefault="00DB2767" w:rsidP="00DB2767">
      <w:pPr>
        <w:pStyle w:val="CH2"/>
        <w:rPr>
          <w:rFonts w:asciiTheme="majorBidi" w:hAnsiTheme="majorBidi" w:cstheme="majorBidi"/>
        </w:rPr>
      </w:pPr>
      <w:r w:rsidRPr="00037110">
        <w:lastRenderedPageBreak/>
        <w:tab/>
      </w:r>
      <w:r w:rsidRPr="00037110">
        <w:tab/>
      </w:r>
      <w:bookmarkStart w:id="16" w:name="_Toc219712800"/>
      <w:r w:rsidRPr="00037110">
        <w:rPr>
          <w:rFonts w:asciiTheme="majorBidi" w:hAnsiTheme="majorBidi" w:cstheme="majorBidi"/>
        </w:rPr>
        <w:t>Decision MC-6/3: Amendments to annex A</w:t>
      </w:r>
      <w:bookmarkEnd w:id="16"/>
    </w:p>
    <w:p w14:paraId="14BCBA13" w14:textId="77777777" w:rsidR="00DB2767" w:rsidRPr="00631C1C" w:rsidRDefault="00DB2767" w:rsidP="00DB2767">
      <w:pPr>
        <w:pStyle w:val="NormalNonumber"/>
        <w:ind w:firstLine="624"/>
        <w:rPr>
          <w:i/>
          <w:iCs/>
        </w:rPr>
      </w:pPr>
      <w:r w:rsidRPr="00631C1C">
        <w:rPr>
          <w:i/>
          <w:iCs/>
        </w:rPr>
        <w:t>The Conference of the Parties,</w:t>
      </w:r>
    </w:p>
    <w:p w14:paraId="273B34B5" w14:textId="77777777" w:rsidR="00DB2767" w:rsidRPr="00631C1C" w:rsidRDefault="00DB2767" w:rsidP="00DB2767">
      <w:pPr>
        <w:pStyle w:val="NormalNonumber"/>
        <w:ind w:firstLine="624"/>
        <w:rPr>
          <w:rFonts w:asciiTheme="majorBidi" w:hAnsiTheme="majorBidi" w:cstheme="majorBidi"/>
        </w:rPr>
      </w:pPr>
      <w:r w:rsidRPr="00631C1C">
        <w:rPr>
          <w:rFonts w:asciiTheme="majorBidi" w:hAnsiTheme="majorBidi" w:cstheme="majorBidi"/>
          <w:i/>
          <w:iCs/>
        </w:rPr>
        <w:t xml:space="preserve">Having considered </w:t>
      </w:r>
      <w:r w:rsidRPr="00631C1C">
        <w:rPr>
          <w:rFonts w:asciiTheme="majorBidi" w:hAnsiTheme="majorBidi" w:cstheme="majorBidi"/>
        </w:rPr>
        <w:t>the proposal to amend annex A to the Minamata Convention on Mercury as contained in document UNEP/MC/COP.6/6,</w:t>
      </w:r>
    </w:p>
    <w:p w14:paraId="2561DA5F" w14:textId="3CEF5467" w:rsidR="00DB2767" w:rsidRPr="00631C1C" w:rsidRDefault="00DB2767" w:rsidP="00DB2767">
      <w:pPr>
        <w:pStyle w:val="NormalNonumber"/>
        <w:numPr>
          <w:ilvl w:val="0"/>
          <w:numId w:val="78"/>
        </w:numPr>
        <w:ind w:left="1247" w:firstLine="624"/>
      </w:pPr>
      <w:r w:rsidRPr="00631C1C">
        <w:rPr>
          <w:i/>
          <w:iCs/>
        </w:rPr>
        <w:t xml:space="preserve">Decides </w:t>
      </w:r>
      <w:r w:rsidRPr="00631C1C">
        <w:t>to amend part I of annex A to the Convention as set out in the following table:</w:t>
      </w:r>
      <w:r w:rsidR="00847BEF">
        <w:rPr>
          <w:rStyle w:val="FootnoteReference"/>
        </w:rPr>
        <w:footnoteReference w:id="10"/>
      </w:r>
      <w:r w:rsidR="00847BEF" w:rsidRPr="00631C1C">
        <w:rPr>
          <w:rStyle w:val="CommentReference"/>
          <w:sz w:val="20"/>
          <w:szCs w:val="20"/>
        </w:rPr>
        <w:t xml:space="preserve"> </w:t>
      </w:r>
    </w:p>
    <w:tbl>
      <w:tblPr>
        <w:tblStyle w:val="TableGrid10"/>
        <w:tblW w:w="83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1"/>
        <w:gridCol w:w="2599"/>
      </w:tblGrid>
      <w:tr w:rsidR="00F234CD" w:rsidRPr="00631C1C" w14:paraId="3CABD6DA" w14:textId="77777777" w:rsidTr="00D15603">
        <w:trPr>
          <w:trHeight w:val="57"/>
          <w:tblHeader/>
          <w:jc w:val="right"/>
        </w:trPr>
        <w:tc>
          <w:tcPr>
            <w:tcW w:w="5709" w:type="dxa"/>
            <w:tcBorders>
              <w:top w:val="single" w:sz="4" w:space="0" w:color="auto"/>
              <w:left w:val="single" w:sz="4" w:space="0" w:color="auto"/>
              <w:bottom w:val="single" w:sz="12" w:space="0" w:color="auto"/>
              <w:right w:val="single" w:sz="4" w:space="0" w:color="auto"/>
            </w:tcBorders>
            <w:vAlign w:val="bottom"/>
            <w:hideMark/>
          </w:tcPr>
          <w:p w14:paraId="36034774" w14:textId="77777777" w:rsidR="00DB2767" w:rsidRPr="00631C1C" w:rsidRDefault="00DB2767">
            <w:pPr>
              <w:spacing w:before="40" w:after="40"/>
              <w:rPr>
                <w:i/>
                <w:iCs/>
                <w:sz w:val="18"/>
                <w:szCs w:val="18"/>
              </w:rPr>
            </w:pPr>
            <w:r w:rsidRPr="00631C1C">
              <w:rPr>
                <w:i/>
                <w:iCs/>
                <w:sz w:val="18"/>
                <w:szCs w:val="18"/>
              </w:rPr>
              <w:t>Mercury-added products</w:t>
            </w:r>
          </w:p>
        </w:tc>
        <w:tc>
          <w:tcPr>
            <w:tcW w:w="2598" w:type="dxa"/>
            <w:tcBorders>
              <w:top w:val="single" w:sz="4" w:space="0" w:color="auto"/>
              <w:left w:val="single" w:sz="4" w:space="0" w:color="auto"/>
              <w:bottom w:val="single" w:sz="12" w:space="0" w:color="auto"/>
              <w:right w:val="single" w:sz="4" w:space="0" w:color="auto"/>
            </w:tcBorders>
            <w:vAlign w:val="bottom"/>
            <w:hideMark/>
          </w:tcPr>
          <w:p w14:paraId="36D8F7EC" w14:textId="77777777" w:rsidR="00DB2767" w:rsidRPr="00631C1C" w:rsidRDefault="00DB2767">
            <w:pPr>
              <w:spacing w:before="40" w:after="40"/>
              <w:rPr>
                <w:i/>
                <w:iCs/>
                <w:sz w:val="18"/>
                <w:szCs w:val="18"/>
              </w:rPr>
            </w:pPr>
            <w:r w:rsidRPr="00631C1C">
              <w:rPr>
                <w:i/>
                <w:iCs/>
                <w:sz w:val="18"/>
                <w:szCs w:val="18"/>
              </w:rPr>
              <w:t>Date after which the manufacture, import or export of the product shall not be allowed (phase-out date)</w:t>
            </w:r>
          </w:p>
        </w:tc>
      </w:tr>
      <w:tr w:rsidR="00F234CD" w:rsidRPr="00631C1C" w14:paraId="69E8E572" w14:textId="77777777" w:rsidTr="00D15603">
        <w:trPr>
          <w:trHeight w:val="57"/>
          <w:jc w:val="right"/>
        </w:trPr>
        <w:tc>
          <w:tcPr>
            <w:tcW w:w="5709" w:type="dxa"/>
            <w:tcBorders>
              <w:top w:val="single" w:sz="12" w:space="0" w:color="auto"/>
              <w:left w:val="single" w:sz="4" w:space="0" w:color="auto"/>
              <w:bottom w:val="single" w:sz="4" w:space="0" w:color="auto"/>
              <w:right w:val="single" w:sz="4" w:space="0" w:color="auto"/>
            </w:tcBorders>
            <w:hideMark/>
          </w:tcPr>
          <w:p w14:paraId="275E32ED" w14:textId="77777777" w:rsidR="00DB2767" w:rsidRPr="00631C1C" w:rsidRDefault="00DB2767">
            <w:pPr>
              <w:spacing w:before="40" w:after="40"/>
              <w:rPr>
                <w:sz w:val="18"/>
                <w:szCs w:val="18"/>
              </w:rPr>
            </w:pPr>
            <w:r w:rsidRPr="00631C1C">
              <w:rPr>
                <w:sz w:val="18"/>
                <w:szCs w:val="18"/>
              </w:rPr>
              <w:t>Batteries, except for button zinc silver oxide batteries with a mercury content &lt; 2% and button zinc air batteries with a mercury content &lt; 2%</w:t>
            </w:r>
          </w:p>
        </w:tc>
        <w:tc>
          <w:tcPr>
            <w:tcW w:w="2598" w:type="dxa"/>
            <w:tcBorders>
              <w:top w:val="single" w:sz="12" w:space="0" w:color="auto"/>
              <w:left w:val="single" w:sz="4" w:space="0" w:color="auto"/>
              <w:bottom w:val="single" w:sz="4" w:space="0" w:color="auto"/>
              <w:right w:val="single" w:sz="4" w:space="0" w:color="auto"/>
            </w:tcBorders>
            <w:hideMark/>
          </w:tcPr>
          <w:p w14:paraId="63D47DBF" w14:textId="77777777" w:rsidR="00DB2767" w:rsidRPr="00631C1C" w:rsidRDefault="00DB2767">
            <w:pPr>
              <w:spacing w:before="40" w:after="40"/>
              <w:rPr>
                <w:sz w:val="18"/>
                <w:szCs w:val="18"/>
              </w:rPr>
            </w:pPr>
            <w:r w:rsidRPr="00631C1C">
              <w:rPr>
                <w:sz w:val="18"/>
                <w:szCs w:val="18"/>
              </w:rPr>
              <w:t>2020</w:t>
            </w:r>
          </w:p>
        </w:tc>
      </w:tr>
      <w:tr w:rsidR="00F234CD" w:rsidRPr="00631C1C" w14:paraId="14166F7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6B7372F" w14:textId="77777777" w:rsidR="00DB2767" w:rsidRPr="00631C1C" w:rsidRDefault="00DB2767">
            <w:pPr>
              <w:spacing w:before="40" w:after="40"/>
              <w:rPr>
                <w:sz w:val="18"/>
                <w:szCs w:val="18"/>
              </w:rPr>
            </w:pPr>
            <w:r w:rsidRPr="00631C1C">
              <w:rPr>
                <w:sz w:val="18"/>
                <w:szCs w:val="18"/>
              </w:rPr>
              <w:t>Button zinc silver oxide batteries with a mercury content &lt; 2% and button zinc air batteries with a mercury content &lt; 2%</w:t>
            </w:r>
          </w:p>
        </w:tc>
        <w:tc>
          <w:tcPr>
            <w:tcW w:w="2598" w:type="dxa"/>
            <w:tcBorders>
              <w:top w:val="single" w:sz="4" w:space="0" w:color="auto"/>
              <w:left w:val="single" w:sz="4" w:space="0" w:color="auto"/>
              <w:bottom w:val="single" w:sz="4" w:space="0" w:color="auto"/>
              <w:right w:val="single" w:sz="4" w:space="0" w:color="auto"/>
            </w:tcBorders>
            <w:hideMark/>
          </w:tcPr>
          <w:p w14:paraId="5DCCC7B6" w14:textId="77777777" w:rsidR="00DB2767" w:rsidRPr="00631C1C" w:rsidRDefault="00DB2767">
            <w:pPr>
              <w:spacing w:before="40" w:after="40"/>
              <w:rPr>
                <w:sz w:val="18"/>
                <w:szCs w:val="18"/>
              </w:rPr>
            </w:pPr>
            <w:r w:rsidRPr="00631C1C">
              <w:rPr>
                <w:sz w:val="18"/>
                <w:szCs w:val="18"/>
              </w:rPr>
              <w:t>2025</w:t>
            </w:r>
          </w:p>
        </w:tc>
      </w:tr>
      <w:tr w:rsidR="00F234CD" w:rsidRPr="00631C1C" w14:paraId="27FE868E"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BBE82EB" w14:textId="77777777" w:rsidR="00DB2767" w:rsidRPr="00631C1C" w:rsidRDefault="00DB2767">
            <w:pPr>
              <w:spacing w:before="40" w:after="40"/>
              <w:rPr>
                <w:sz w:val="18"/>
                <w:szCs w:val="18"/>
              </w:rPr>
            </w:pPr>
            <w:r w:rsidRPr="00631C1C">
              <w:rPr>
                <w:sz w:val="18"/>
                <w:szCs w:val="18"/>
              </w:rPr>
              <w:t>Switches and relays, except very high accuracy capacitance and loss measurement bridges and high frequency radio frequency switches and relays in monitoring and control instruments with a maximum mercury content of 20 mg per bridge, switch or relay</w:t>
            </w:r>
          </w:p>
        </w:tc>
        <w:tc>
          <w:tcPr>
            <w:tcW w:w="2598" w:type="dxa"/>
            <w:tcBorders>
              <w:top w:val="single" w:sz="4" w:space="0" w:color="auto"/>
              <w:left w:val="single" w:sz="4" w:space="0" w:color="auto"/>
              <w:bottom w:val="single" w:sz="4" w:space="0" w:color="auto"/>
              <w:right w:val="single" w:sz="4" w:space="0" w:color="auto"/>
            </w:tcBorders>
            <w:hideMark/>
          </w:tcPr>
          <w:p w14:paraId="16B139AE" w14:textId="77777777" w:rsidR="00DB2767" w:rsidRPr="00631C1C" w:rsidRDefault="00DB2767">
            <w:pPr>
              <w:spacing w:before="40" w:after="40"/>
              <w:rPr>
                <w:sz w:val="18"/>
                <w:szCs w:val="18"/>
              </w:rPr>
            </w:pPr>
            <w:r w:rsidRPr="00631C1C">
              <w:rPr>
                <w:sz w:val="18"/>
                <w:szCs w:val="18"/>
              </w:rPr>
              <w:t>2020</w:t>
            </w:r>
          </w:p>
        </w:tc>
      </w:tr>
      <w:tr w:rsidR="00F234CD" w:rsidRPr="00631C1C" w14:paraId="7F10936F"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A7CADDB" w14:textId="77777777" w:rsidR="00DB2767" w:rsidRPr="00631C1C" w:rsidRDefault="00DB2767">
            <w:pPr>
              <w:spacing w:before="40" w:after="40"/>
              <w:rPr>
                <w:sz w:val="18"/>
                <w:szCs w:val="18"/>
              </w:rPr>
            </w:pPr>
            <w:r w:rsidRPr="00631C1C">
              <w:rPr>
                <w:sz w:val="18"/>
                <w:szCs w:val="18"/>
              </w:rPr>
              <w:t>Very high accuracy capacitance and loss measurement bridges and high frequency radio frequency switches and relays in monitoring and control instruments with a maximum mercury content of 20 mg per bridge switch or relay, except those used for research and development purposes</w:t>
            </w:r>
          </w:p>
        </w:tc>
        <w:tc>
          <w:tcPr>
            <w:tcW w:w="2598" w:type="dxa"/>
            <w:tcBorders>
              <w:top w:val="single" w:sz="4" w:space="0" w:color="auto"/>
              <w:left w:val="single" w:sz="4" w:space="0" w:color="auto"/>
              <w:bottom w:val="single" w:sz="4" w:space="0" w:color="auto"/>
              <w:right w:val="single" w:sz="4" w:space="0" w:color="auto"/>
            </w:tcBorders>
            <w:hideMark/>
          </w:tcPr>
          <w:p w14:paraId="4C269435" w14:textId="77777777" w:rsidR="00DB2767" w:rsidRPr="00631C1C" w:rsidRDefault="00DB2767">
            <w:pPr>
              <w:spacing w:before="40" w:after="40"/>
              <w:rPr>
                <w:sz w:val="18"/>
                <w:szCs w:val="18"/>
              </w:rPr>
            </w:pPr>
            <w:r w:rsidRPr="00631C1C">
              <w:rPr>
                <w:sz w:val="18"/>
                <w:szCs w:val="18"/>
              </w:rPr>
              <w:t>2025</w:t>
            </w:r>
          </w:p>
        </w:tc>
      </w:tr>
      <w:tr w:rsidR="00F234CD" w:rsidRPr="00631C1C" w14:paraId="115CF2D5"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9F515E4" w14:textId="77777777" w:rsidR="00DB2767" w:rsidRPr="00631C1C" w:rsidRDefault="00DB2767">
            <w:pPr>
              <w:spacing w:before="40" w:after="40"/>
              <w:rPr>
                <w:sz w:val="18"/>
                <w:szCs w:val="18"/>
              </w:rPr>
            </w:pPr>
            <w:r w:rsidRPr="00631C1C">
              <w:rPr>
                <w:sz w:val="18"/>
                <w:szCs w:val="18"/>
              </w:rPr>
              <w:t>Compact fluorescent lamps (CFLs) for general lighting purposes that are ≤ 30 watts with a mercury content exceeding 5 mg per lamp burner</w:t>
            </w:r>
          </w:p>
        </w:tc>
        <w:tc>
          <w:tcPr>
            <w:tcW w:w="2598" w:type="dxa"/>
            <w:tcBorders>
              <w:top w:val="single" w:sz="4" w:space="0" w:color="auto"/>
              <w:left w:val="single" w:sz="4" w:space="0" w:color="auto"/>
              <w:bottom w:val="single" w:sz="4" w:space="0" w:color="auto"/>
              <w:right w:val="single" w:sz="4" w:space="0" w:color="auto"/>
            </w:tcBorders>
            <w:hideMark/>
          </w:tcPr>
          <w:p w14:paraId="0A559C61" w14:textId="77777777" w:rsidR="00DB2767" w:rsidRPr="00631C1C" w:rsidRDefault="00DB2767">
            <w:pPr>
              <w:spacing w:before="40" w:after="40"/>
              <w:rPr>
                <w:sz w:val="18"/>
                <w:szCs w:val="18"/>
              </w:rPr>
            </w:pPr>
            <w:r w:rsidRPr="00631C1C">
              <w:rPr>
                <w:sz w:val="18"/>
                <w:szCs w:val="18"/>
              </w:rPr>
              <w:t>2020</w:t>
            </w:r>
          </w:p>
        </w:tc>
      </w:tr>
      <w:tr w:rsidR="00F234CD" w:rsidRPr="00631C1C" w14:paraId="62E00A8C"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5DC94B2" w14:textId="77777777" w:rsidR="00DB2767" w:rsidRPr="00631C1C" w:rsidRDefault="00DB2767">
            <w:pPr>
              <w:spacing w:before="40" w:after="40"/>
              <w:rPr>
                <w:sz w:val="18"/>
                <w:szCs w:val="18"/>
              </w:rPr>
            </w:pPr>
            <w:r w:rsidRPr="00631C1C">
              <w:rPr>
                <w:sz w:val="18"/>
                <w:szCs w:val="18"/>
              </w:rPr>
              <w:t>Compact fluorescent lamps (CFLs) for general lighting purposes that are &gt; 30 watts</w:t>
            </w:r>
          </w:p>
        </w:tc>
        <w:tc>
          <w:tcPr>
            <w:tcW w:w="2598" w:type="dxa"/>
            <w:tcBorders>
              <w:top w:val="single" w:sz="4" w:space="0" w:color="auto"/>
              <w:left w:val="single" w:sz="4" w:space="0" w:color="auto"/>
              <w:bottom w:val="single" w:sz="4" w:space="0" w:color="auto"/>
              <w:right w:val="single" w:sz="4" w:space="0" w:color="auto"/>
            </w:tcBorders>
            <w:hideMark/>
          </w:tcPr>
          <w:p w14:paraId="6A4136CB" w14:textId="77777777" w:rsidR="00DB2767" w:rsidRPr="00631C1C" w:rsidRDefault="00DB2767">
            <w:pPr>
              <w:spacing w:before="40" w:after="40"/>
              <w:rPr>
                <w:sz w:val="18"/>
                <w:szCs w:val="18"/>
              </w:rPr>
            </w:pPr>
            <w:r w:rsidRPr="00631C1C">
              <w:rPr>
                <w:sz w:val="18"/>
                <w:szCs w:val="18"/>
              </w:rPr>
              <w:t>2026</w:t>
            </w:r>
          </w:p>
        </w:tc>
      </w:tr>
      <w:tr w:rsidR="00F234CD" w:rsidRPr="00631C1C" w14:paraId="7DFEC6F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48017FEA" w14:textId="77777777" w:rsidR="00DB2767" w:rsidRPr="00631C1C" w:rsidRDefault="00DB2767">
            <w:pPr>
              <w:spacing w:before="40" w:after="40"/>
              <w:rPr>
                <w:sz w:val="18"/>
                <w:szCs w:val="18"/>
              </w:rPr>
            </w:pPr>
            <w:r w:rsidRPr="00631C1C">
              <w:rPr>
                <w:sz w:val="18"/>
                <w:szCs w:val="18"/>
              </w:rPr>
              <w:t>Compact fluorescent lamps with an integrated ballast (</w:t>
            </w:r>
            <w:proofErr w:type="spellStart"/>
            <w:r w:rsidRPr="00631C1C">
              <w:rPr>
                <w:sz w:val="18"/>
                <w:szCs w:val="18"/>
              </w:rPr>
              <w:t>CFL.i</w:t>
            </w:r>
            <w:proofErr w:type="spellEnd"/>
            <w:r w:rsidRPr="00631C1C">
              <w:rPr>
                <w:sz w:val="18"/>
                <w:szCs w:val="18"/>
              </w:rPr>
              <w:t>) for general lighting purposes that are ≤ 30 watts with a mercury content not exceeding 5 mg per lamp burner</w:t>
            </w:r>
          </w:p>
        </w:tc>
        <w:tc>
          <w:tcPr>
            <w:tcW w:w="2598" w:type="dxa"/>
            <w:tcBorders>
              <w:top w:val="single" w:sz="4" w:space="0" w:color="auto"/>
              <w:left w:val="single" w:sz="4" w:space="0" w:color="auto"/>
              <w:bottom w:val="single" w:sz="4" w:space="0" w:color="auto"/>
              <w:right w:val="single" w:sz="4" w:space="0" w:color="auto"/>
            </w:tcBorders>
            <w:hideMark/>
          </w:tcPr>
          <w:p w14:paraId="7C9512CA" w14:textId="77777777" w:rsidR="00DB2767" w:rsidRPr="00631C1C" w:rsidRDefault="00DB2767">
            <w:pPr>
              <w:spacing w:before="40" w:after="40"/>
              <w:rPr>
                <w:sz w:val="18"/>
                <w:szCs w:val="18"/>
              </w:rPr>
            </w:pPr>
            <w:r w:rsidRPr="00631C1C">
              <w:rPr>
                <w:sz w:val="18"/>
                <w:szCs w:val="18"/>
              </w:rPr>
              <w:t>2025</w:t>
            </w:r>
          </w:p>
        </w:tc>
      </w:tr>
      <w:tr w:rsidR="00F234CD" w:rsidRPr="00631C1C" w14:paraId="03B15216"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223EE0A" w14:textId="77777777" w:rsidR="00DB2767" w:rsidRPr="00631C1C" w:rsidRDefault="00DB2767">
            <w:pPr>
              <w:spacing w:before="40" w:after="40"/>
              <w:rPr>
                <w:sz w:val="18"/>
                <w:szCs w:val="18"/>
              </w:rPr>
            </w:pPr>
            <w:r w:rsidRPr="00631C1C">
              <w:rPr>
                <w:sz w:val="18"/>
                <w:szCs w:val="18"/>
              </w:rPr>
              <w:t>Compact fluorescent lamps with a non-integrated ballast (CFL.ni) for general lighting purposes that are ≤ 30 watts with a mercury content not exceeding 5 mg per lamp burner</w:t>
            </w:r>
          </w:p>
        </w:tc>
        <w:tc>
          <w:tcPr>
            <w:tcW w:w="2598" w:type="dxa"/>
            <w:tcBorders>
              <w:top w:val="single" w:sz="4" w:space="0" w:color="auto"/>
              <w:left w:val="single" w:sz="4" w:space="0" w:color="auto"/>
              <w:bottom w:val="single" w:sz="4" w:space="0" w:color="auto"/>
              <w:right w:val="single" w:sz="4" w:space="0" w:color="auto"/>
            </w:tcBorders>
            <w:hideMark/>
          </w:tcPr>
          <w:p w14:paraId="276FB64C" w14:textId="77777777" w:rsidR="00DB2767" w:rsidRPr="00631C1C" w:rsidRDefault="00DB2767">
            <w:pPr>
              <w:spacing w:before="40" w:after="40"/>
              <w:rPr>
                <w:sz w:val="18"/>
                <w:szCs w:val="18"/>
              </w:rPr>
            </w:pPr>
            <w:r w:rsidRPr="00631C1C">
              <w:rPr>
                <w:sz w:val="18"/>
                <w:szCs w:val="18"/>
              </w:rPr>
              <w:t>2026</w:t>
            </w:r>
          </w:p>
        </w:tc>
      </w:tr>
      <w:tr w:rsidR="00F234CD" w:rsidRPr="00631C1C" w14:paraId="08F1672B"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44A6CC9D" w14:textId="77777777" w:rsidR="00DB2767" w:rsidRPr="00631C1C" w:rsidRDefault="00DB2767">
            <w:pPr>
              <w:spacing w:before="40" w:after="40"/>
              <w:rPr>
                <w:sz w:val="18"/>
                <w:szCs w:val="18"/>
              </w:rPr>
            </w:pPr>
            <w:r w:rsidRPr="00631C1C">
              <w:rPr>
                <w:sz w:val="18"/>
                <w:szCs w:val="18"/>
              </w:rPr>
              <w:t>Linear fluorescent lamps (LFLs) for general lighting purposes:</w:t>
            </w:r>
          </w:p>
          <w:p w14:paraId="4E048CD5" w14:textId="77777777" w:rsidR="00DB2767" w:rsidRPr="00631C1C" w:rsidRDefault="00DB2767" w:rsidP="00DB2767">
            <w:pPr>
              <w:keepNext/>
              <w:keepLines/>
              <w:numPr>
                <w:ilvl w:val="0"/>
                <w:numId w:val="79"/>
              </w:numPr>
              <w:tabs>
                <w:tab w:val="left" w:pos="720"/>
              </w:tabs>
              <w:spacing w:before="40" w:after="40"/>
              <w:rPr>
                <w:sz w:val="18"/>
                <w:szCs w:val="18"/>
              </w:rPr>
            </w:pPr>
            <w:r w:rsidRPr="00631C1C">
              <w:rPr>
                <w:sz w:val="18"/>
                <w:szCs w:val="18"/>
              </w:rPr>
              <w:t xml:space="preserve">Triband phosphor &lt; 60 watts with a mercury content exceeding 5 mg per </w:t>
            </w:r>
            <w:proofErr w:type="gramStart"/>
            <w:r w:rsidRPr="00631C1C">
              <w:rPr>
                <w:sz w:val="18"/>
                <w:szCs w:val="18"/>
              </w:rPr>
              <w:t>lamp;</w:t>
            </w:r>
            <w:proofErr w:type="gramEnd"/>
          </w:p>
          <w:p w14:paraId="1F9BB381" w14:textId="77777777" w:rsidR="00DB2767" w:rsidRPr="00631C1C" w:rsidRDefault="00DB2767" w:rsidP="00DB2767">
            <w:pPr>
              <w:keepNext/>
              <w:keepLines/>
              <w:numPr>
                <w:ilvl w:val="0"/>
                <w:numId w:val="79"/>
              </w:numPr>
              <w:tabs>
                <w:tab w:val="left" w:pos="720"/>
              </w:tabs>
              <w:spacing w:before="40" w:after="40"/>
              <w:rPr>
                <w:sz w:val="18"/>
                <w:szCs w:val="18"/>
              </w:rPr>
            </w:pPr>
            <w:proofErr w:type="spellStart"/>
            <w:r w:rsidRPr="00631C1C">
              <w:rPr>
                <w:sz w:val="18"/>
                <w:szCs w:val="18"/>
              </w:rPr>
              <w:t>Halophosphate</w:t>
            </w:r>
            <w:proofErr w:type="spellEnd"/>
            <w:r w:rsidRPr="00631C1C">
              <w:rPr>
                <w:sz w:val="18"/>
                <w:szCs w:val="18"/>
              </w:rPr>
              <w:t xml:space="preserve"> phosphor ≤ 40 watts with a mercury content exceeding 10 mg per lamp </w:t>
            </w:r>
          </w:p>
        </w:tc>
        <w:tc>
          <w:tcPr>
            <w:tcW w:w="2598" w:type="dxa"/>
            <w:tcBorders>
              <w:top w:val="single" w:sz="4" w:space="0" w:color="auto"/>
              <w:left w:val="single" w:sz="4" w:space="0" w:color="auto"/>
              <w:bottom w:val="single" w:sz="4" w:space="0" w:color="auto"/>
              <w:right w:val="single" w:sz="4" w:space="0" w:color="auto"/>
            </w:tcBorders>
            <w:hideMark/>
          </w:tcPr>
          <w:p w14:paraId="33421376" w14:textId="77777777" w:rsidR="00DB2767" w:rsidRPr="00631C1C" w:rsidRDefault="00DB2767">
            <w:pPr>
              <w:keepNext/>
              <w:keepLines/>
              <w:spacing w:before="40" w:after="40"/>
              <w:rPr>
                <w:sz w:val="18"/>
                <w:szCs w:val="18"/>
              </w:rPr>
            </w:pPr>
            <w:r w:rsidRPr="00631C1C">
              <w:rPr>
                <w:sz w:val="18"/>
                <w:szCs w:val="18"/>
              </w:rPr>
              <w:t>2020</w:t>
            </w:r>
          </w:p>
        </w:tc>
      </w:tr>
      <w:tr w:rsidR="00F234CD" w:rsidRPr="00631C1C" w14:paraId="1765803D"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00F932C" w14:textId="77777777" w:rsidR="00DB2767" w:rsidRPr="00631C1C" w:rsidRDefault="00DB2767">
            <w:pPr>
              <w:spacing w:before="40" w:after="40"/>
              <w:rPr>
                <w:sz w:val="18"/>
                <w:szCs w:val="18"/>
              </w:rPr>
            </w:pPr>
            <w:r w:rsidRPr="00631C1C">
              <w:rPr>
                <w:sz w:val="18"/>
                <w:szCs w:val="18"/>
              </w:rPr>
              <w:t>Linear fluorescent lamps (LFLs) for general lighting purposes:</w:t>
            </w:r>
          </w:p>
          <w:p w14:paraId="608DBB73" w14:textId="77777777" w:rsidR="00DB2767" w:rsidRPr="00631C1C" w:rsidRDefault="00DB2767" w:rsidP="00DB2767">
            <w:pPr>
              <w:numPr>
                <w:ilvl w:val="0"/>
                <w:numId w:val="80"/>
              </w:numPr>
              <w:spacing w:before="40" w:after="40"/>
              <w:rPr>
                <w:sz w:val="18"/>
                <w:szCs w:val="18"/>
              </w:rPr>
            </w:pPr>
            <w:proofErr w:type="spellStart"/>
            <w:r w:rsidRPr="00631C1C">
              <w:rPr>
                <w:sz w:val="18"/>
                <w:szCs w:val="18"/>
              </w:rPr>
              <w:t>Halophosphate</w:t>
            </w:r>
            <w:proofErr w:type="spellEnd"/>
            <w:r w:rsidRPr="00631C1C">
              <w:rPr>
                <w:sz w:val="18"/>
                <w:szCs w:val="18"/>
              </w:rPr>
              <w:t xml:space="preserve"> phosphor ≤ 40 watts with a mercury content not exceeding 10 mg per lamp </w:t>
            </w:r>
          </w:p>
          <w:p w14:paraId="385D1B05" w14:textId="77777777" w:rsidR="00DB2767" w:rsidRPr="00631C1C" w:rsidRDefault="00DB2767" w:rsidP="00DB2767">
            <w:pPr>
              <w:numPr>
                <w:ilvl w:val="0"/>
                <w:numId w:val="80"/>
              </w:numPr>
              <w:spacing w:before="40" w:after="40"/>
              <w:rPr>
                <w:sz w:val="18"/>
                <w:szCs w:val="18"/>
              </w:rPr>
            </w:pPr>
            <w:proofErr w:type="spellStart"/>
            <w:r w:rsidRPr="00631C1C">
              <w:rPr>
                <w:sz w:val="18"/>
                <w:szCs w:val="18"/>
              </w:rPr>
              <w:t>Halophosphate</w:t>
            </w:r>
            <w:proofErr w:type="spellEnd"/>
            <w:r w:rsidRPr="00631C1C">
              <w:rPr>
                <w:sz w:val="18"/>
                <w:szCs w:val="18"/>
              </w:rPr>
              <w:t xml:space="preserve"> phosphor &gt; 40 watts</w:t>
            </w:r>
          </w:p>
        </w:tc>
        <w:tc>
          <w:tcPr>
            <w:tcW w:w="2598" w:type="dxa"/>
            <w:tcBorders>
              <w:top w:val="single" w:sz="4" w:space="0" w:color="auto"/>
              <w:left w:val="single" w:sz="4" w:space="0" w:color="auto"/>
              <w:bottom w:val="single" w:sz="4" w:space="0" w:color="auto"/>
              <w:right w:val="single" w:sz="4" w:space="0" w:color="auto"/>
            </w:tcBorders>
            <w:hideMark/>
          </w:tcPr>
          <w:p w14:paraId="66E26C66" w14:textId="77777777" w:rsidR="00DB2767" w:rsidRPr="00631C1C" w:rsidRDefault="00DB2767">
            <w:pPr>
              <w:spacing w:before="40" w:after="40"/>
              <w:rPr>
                <w:sz w:val="18"/>
                <w:szCs w:val="18"/>
              </w:rPr>
            </w:pPr>
            <w:r w:rsidRPr="00631C1C">
              <w:rPr>
                <w:sz w:val="18"/>
                <w:szCs w:val="18"/>
              </w:rPr>
              <w:t>2026</w:t>
            </w:r>
          </w:p>
        </w:tc>
      </w:tr>
      <w:tr w:rsidR="00F234CD" w:rsidRPr="00631C1C" w14:paraId="1150D9A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BF56F51" w14:textId="77777777" w:rsidR="00DB2767" w:rsidRPr="00631C1C" w:rsidRDefault="00DB2767">
            <w:pPr>
              <w:spacing w:before="40" w:after="40"/>
              <w:rPr>
                <w:sz w:val="18"/>
                <w:szCs w:val="18"/>
              </w:rPr>
            </w:pPr>
            <w:r w:rsidRPr="00631C1C">
              <w:rPr>
                <w:sz w:val="18"/>
                <w:szCs w:val="18"/>
              </w:rPr>
              <w:t>Linear fluorescent lamps (LFLs) for general lighting purposes:</w:t>
            </w:r>
          </w:p>
          <w:p w14:paraId="01BC3106" w14:textId="77777777" w:rsidR="00DB2767" w:rsidRPr="00631C1C" w:rsidRDefault="00DB2767" w:rsidP="00DB2767">
            <w:pPr>
              <w:numPr>
                <w:ilvl w:val="0"/>
                <w:numId w:val="81"/>
              </w:numPr>
              <w:spacing w:before="40" w:after="40"/>
              <w:rPr>
                <w:sz w:val="18"/>
                <w:szCs w:val="18"/>
              </w:rPr>
            </w:pPr>
            <w:r w:rsidRPr="00631C1C">
              <w:rPr>
                <w:sz w:val="18"/>
                <w:szCs w:val="18"/>
              </w:rPr>
              <w:t>Triband phosphor &lt; 60 watts with a mercury content not exceeding 5 mg/lamp</w:t>
            </w:r>
          </w:p>
          <w:p w14:paraId="2BB1684E" w14:textId="77777777" w:rsidR="00DB2767" w:rsidRPr="00631C1C" w:rsidRDefault="00DB2767" w:rsidP="00DB2767">
            <w:pPr>
              <w:numPr>
                <w:ilvl w:val="0"/>
                <w:numId w:val="81"/>
              </w:numPr>
              <w:spacing w:before="40" w:after="40"/>
              <w:rPr>
                <w:sz w:val="18"/>
                <w:szCs w:val="18"/>
              </w:rPr>
            </w:pPr>
            <w:r w:rsidRPr="00631C1C">
              <w:rPr>
                <w:sz w:val="18"/>
                <w:szCs w:val="18"/>
              </w:rPr>
              <w:t>Triband phosphor ≥ 60 watts with a mercury content not exceeding 5 mg per lamp</w:t>
            </w:r>
          </w:p>
          <w:p w14:paraId="4FFB49DC" w14:textId="77777777" w:rsidR="00DB2767" w:rsidRPr="00631C1C" w:rsidRDefault="00DB2767" w:rsidP="00DB2767">
            <w:pPr>
              <w:numPr>
                <w:ilvl w:val="0"/>
                <w:numId w:val="81"/>
              </w:numPr>
              <w:spacing w:before="40" w:after="40"/>
              <w:rPr>
                <w:sz w:val="18"/>
                <w:szCs w:val="18"/>
              </w:rPr>
            </w:pPr>
            <w:r w:rsidRPr="00631C1C">
              <w:rPr>
                <w:sz w:val="18"/>
                <w:szCs w:val="18"/>
              </w:rPr>
              <w:t>Triband phosphor ≥ 60 watts with a mercury content exceeding 5 mg per lamp</w:t>
            </w:r>
          </w:p>
        </w:tc>
        <w:tc>
          <w:tcPr>
            <w:tcW w:w="2598" w:type="dxa"/>
            <w:tcBorders>
              <w:top w:val="single" w:sz="4" w:space="0" w:color="auto"/>
              <w:left w:val="single" w:sz="4" w:space="0" w:color="auto"/>
              <w:bottom w:val="single" w:sz="4" w:space="0" w:color="auto"/>
              <w:right w:val="single" w:sz="4" w:space="0" w:color="auto"/>
            </w:tcBorders>
            <w:hideMark/>
          </w:tcPr>
          <w:p w14:paraId="764D5F60" w14:textId="77777777" w:rsidR="00DB2767" w:rsidRPr="00631C1C" w:rsidRDefault="00DB2767">
            <w:pPr>
              <w:spacing w:before="40" w:after="40"/>
              <w:rPr>
                <w:sz w:val="18"/>
                <w:szCs w:val="18"/>
              </w:rPr>
            </w:pPr>
            <w:r w:rsidRPr="00631C1C">
              <w:rPr>
                <w:sz w:val="18"/>
                <w:szCs w:val="18"/>
              </w:rPr>
              <w:t>2027</w:t>
            </w:r>
          </w:p>
        </w:tc>
      </w:tr>
      <w:tr w:rsidR="00F234CD" w:rsidRPr="00631C1C" w14:paraId="3372D9FA"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5BA347A" w14:textId="77777777" w:rsidR="00DB2767" w:rsidRPr="00631C1C" w:rsidRDefault="00DB2767">
            <w:pPr>
              <w:spacing w:before="40" w:after="40"/>
              <w:rPr>
                <w:sz w:val="18"/>
                <w:szCs w:val="18"/>
              </w:rPr>
            </w:pPr>
            <w:r w:rsidRPr="00631C1C">
              <w:rPr>
                <w:sz w:val="18"/>
                <w:szCs w:val="18"/>
              </w:rPr>
              <w:t>Non-linear fluorescent lamps (NFLs) (e.g., U-bend and circular) for general lighting purposes:</w:t>
            </w:r>
          </w:p>
          <w:p w14:paraId="337C2C99" w14:textId="77777777" w:rsidR="00DB2767" w:rsidRPr="00631C1C" w:rsidRDefault="00DB2767" w:rsidP="00DB2767">
            <w:pPr>
              <w:numPr>
                <w:ilvl w:val="0"/>
                <w:numId w:val="82"/>
              </w:numPr>
              <w:spacing w:before="40" w:after="40"/>
              <w:ind w:left="318" w:hanging="318"/>
              <w:rPr>
                <w:sz w:val="18"/>
                <w:szCs w:val="18"/>
              </w:rPr>
            </w:pPr>
            <w:r w:rsidRPr="00631C1C">
              <w:rPr>
                <w:sz w:val="18"/>
                <w:szCs w:val="18"/>
              </w:rPr>
              <w:t>Triband phosphor, all wattages</w:t>
            </w:r>
          </w:p>
        </w:tc>
        <w:tc>
          <w:tcPr>
            <w:tcW w:w="2598" w:type="dxa"/>
            <w:tcBorders>
              <w:top w:val="single" w:sz="4" w:space="0" w:color="auto"/>
              <w:left w:val="single" w:sz="4" w:space="0" w:color="auto"/>
              <w:bottom w:val="single" w:sz="4" w:space="0" w:color="auto"/>
              <w:right w:val="single" w:sz="4" w:space="0" w:color="auto"/>
            </w:tcBorders>
            <w:hideMark/>
          </w:tcPr>
          <w:p w14:paraId="3DC7C239" w14:textId="77777777" w:rsidR="00DB2767" w:rsidRPr="00631C1C" w:rsidRDefault="00DB2767">
            <w:pPr>
              <w:spacing w:before="40" w:after="40"/>
              <w:rPr>
                <w:sz w:val="18"/>
                <w:szCs w:val="18"/>
              </w:rPr>
            </w:pPr>
            <w:r w:rsidRPr="00631C1C">
              <w:rPr>
                <w:sz w:val="18"/>
                <w:szCs w:val="18"/>
              </w:rPr>
              <w:t>2027</w:t>
            </w:r>
          </w:p>
        </w:tc>
      </w:tr>
      <w:tr w:rsidR="00F234CD" w:rsidRPr="00631C1C" w14:paraId="497DD7F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8211A6B" w14:textId="77777777" w:rsidR="00DB2767" w:rsidRPr="00631C1C" w:rsidRDefault="00DB2767" w:rsidP="00DB2767">
            <w:pPr>
              <w:numPr>
                <w:ilvl w:val="0"/>
                <w:numId w:val="82"/>
              </w:numPr>
              <w:spacing w:before="40" w:after="40"/>
              <w:ind w:left="318" w:hanging="318"/>
              <w:rPr>
                <w:sz w:val="18"/>
                <w:szCs w:val="18"/>
              </w:rPr>
            </w:pPr>
            <w:proofErr w:type="spellStart"/>
            <w:r w:rsidRPr="00631C1C">
              <w:rPr>
                <w:sz w:val="18"/>
                <w:szCs w:val="18"/>
              </w:rPr>
              <w:t>Halophosphate</w:t>
            </w:r>
            <w:proofErr w:type="spellEnd"/>
            <w:r w:rsidRPr="00631C1C">
              <w:rPr>
                <w:sz w:val="18"/>
                <w:szCs w:val="18"/>
              </w:rPr>
              <w:t xml:space="preserve"> phosphor, all wattages</w:t>
            </w:r>
          </w:p>
        </w:tc>
        <w:tc>
          <w:tcPr>
            <w:tcW w:w="2598" w:type="dxa"/>
            <w:tcBorders>
              <w:top w:val="single" w:sz="4" w:space="0" w:color="auto"/>
              <w:left w:val="single" w:sz="4" w:space="0" w:color="auto"/>
              <w:bottom w:val="single" w:sz="4" w:space="0" w:color="auto"/>
              <w:right w:val="single" w:sz="4" w:space="0" w:color="auto"/>
            </w:tcBorders>
            <w:hideMark/>
          </w:tcPr>
          <w:p w14:paraId="08FF6978" w14:textId="77777777" w:rsidR="00DB2767" w:rsidRPr="00631C1C" w:rsidRDefault="00DB2767">
            <w:pPr>
              <w:spacing w:before="40" w:after="40"/>
              <w:rPr>
                <w:sz w:val="18"/>
                <w:szCs w:val="18"/>
              </w:rPr>
            </w:pPr>
            <w:r w:rsidRPr="00631C1C">
              <w:rPr>
                <w:sz w:val="18"/>
                <w:szCs w:val="18"/>
              </w:rPr>
              <w:t>2026</w:t>
            </w:r>
          </w:p>
        </w:tc>
      </w:tr>
      <w:tr w:rsidR="00F234CD" w:rsidRPr="00631C1C" w14:paraId="61A6BA92"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BD3017C" w14:textId="77777777" w:rsidR="00DB2767" w:rsidRPr="00631C1C" w:rsidRDefault="00DB2767">
            <w:pPr>
              <w:spacing w:before="40" w:after="40"/>
              <w:rPr>
                <w:sz w:val="18"/>
                <w:szCs w:val="18"/>
              </w:rPr>
            </w:pPr>
            <w:r w:rsidRPr="00631C1C">
              <w:rPr>
                <w:sz w:val="18"/>
                <w:szCs w:val="18"/>
              </w:rPr>
              <w:t xml:space="preserve">High pressure mercury vapour lamps (HPMV) for general lighting purposes </w:t>
            </w:r>
          </w:p>
        </w:tc>
        <w:tc>
          <w:tcPr>
            <w:tcW w:w="2598" w:type="dxa"/>
            <w:tcBorders>
              <w:top w:val="single" w:sz="4" w:space="0" w:color="auto"/>
              <w:left w:val="single" w:sz="4" w:space="0" w:color="auto"/>
              <w:bottom w:val="single" w:sz="4" w:space="0" w:color="auto"/>
              <w:right w:val="single" w:sz="4" w:space="0" w:color="auto"/>
            </w:tcBorders>
            <w:hideMark/>
          </w:tcPr>
          <w:p w14:paraId="68ECDB52" w14:textId="77777777" w:rsidR="00DB2767" w:rsidRPr="00631C1C" w:rsidRDefault="00DB2767">
            <w:pPr>
              <w:spacing w:before="40" w:after="40"/>
              <w:rPr>
                <w:sz w:val="18"/>
                <w:szCs w:val="18"/>
              </w:rPr>
            </w:pPr>
            <w:r w:rsidRPr="00631C1C">
              <w:rPr>
                <w:sz w:val="18"/>
                <w:szCs w:val="18"/>
              </w:rPr>
              <w:t>2020</w:t>
            </w:r>
          </w:p>
        </w:tc>
      </w:tr>
      <w:tr w:rsidR="00F234CD" w:rsidRPr="00631C1C" w14:paraId="3679DA5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4504E73" w14:textId="77777777" w:rsidR="00DB2767" w:rsidRPr="00631C1C" w:rsidRDefault="00DB2767">
            <w:pPr>
              <w:spacing w:before="40" w:after="40"/>
              <w:rPr>
                <w:sz w:val="18"/>
                <w:szCs w:val="18"/>
              </w:rPr>
            </w:pPr>
            <w:r w:rsidRPr="00631C1C">
              <w:rPr>
                <w:sz w:val="18"/>
                <w:szCs w:val="18"/>
              </w:rPr>
              <w:t xml:space="preserve">Mercury in cold cathode fluorescent lamps and external electrode fluorescent lamps (CCFL and EEFL) for electronic displays: </w:t>
            </w:r>
          </w:p>
          <w:p w14:paraId="27DE82B2" w14:textId="77777777" w:rsidR="00DB2767" w:rsidRPr="00631C1C" w:rsidRDefault="00DB2767" w:rsidP="00DB2767">
            <w:pPr>
              <w:numPr>
                <w:ilvl w:val="0"/>
                <w:numId w:val="83"/>
              </w:numPr>
              <w:tabs>
                <w:tab w:val="left" w:pos="720"/>
              </w:tabs>
              <w:spacing w:before="40" w:after="40"/>
              <w:rPr>
                <w:sz w:val="18"/>
                <w:szCs w:val="18"/>
              </w:rPr>
            </w:pPr>
            <w:r w:rsidRPr="00631C1C">
              <w:rPr>
                <w:sz w:val="18"/>
                <w:szCs w:val="18"/>
              </w:rPr>
              <w:lastRenderedPageBreak/>
              <w:t>Short length (≤ 500 mm) with mercury content exceeding 3.5 mg per lamp</w:t>
            </w:r>
          </w:p>
          <w:p w14:paraId="1E48B63E" w14:textId="77777777" w:rsidR="00DB2767" w:rsidRPr="00631C1C" w:rsidRDefault="00DB2767" w:rsidP="00DB2767">
            <w:pPr>
              <w:numPr>
                <w:ilvl w:val="0"/>
                <w:numId w:val="83"/>
              </w:numPr>
              <w:tabs>
                <w:tab w:val="left" w:pos="720"/>
              </w:tabs>
              <w:spacing w:before="40" w:after="40"/>
              <w:rPr>
                <w:sz w:val="18"/>
                <w:szCs w:val="18"/>
              </w:rPr>
            </w:pPr>
            <w:r w:rsidRPr="00631C1C">
              <w:rPr>
                <w:sz w:val="18"/>
                <w:szCs w:val="18"/>
              </w:rPr>
              <w:t>Medium length (&gt; 500 mm and ≤ 1,500 mm) with mercury content exceeding 5 mg per lamp</w:t>
            </w:r>
          </w:p>
          <w:p w14:paraId="66841840" w14:textId="77777777" w:rsidR="00DB2767" w:rsidRPr="00631C1C" w:rsidRDefault="00DB2767" w:rsidP="00DB2767">
            <w:pPr>
              <w:numPr>
                <w:ilvl w:val="0"/>
                <w:numId w:val="83"/>
              </w:numPr>
              <w:tabs>
                <w:tab w:val="left" w:pos="720"/>
              </w:tabs>
              <w:spacing w:before="40" w:after="40"/>
              <w:rPr>
                <w:sz w:val="18"/>
                <w:szCs w:val="18"/>
              </w:rPr>
            </w:pPr>
            <w:r w:rsidRPr="00631C1C">
              <w:rPr>
                <w:sz w:val="18"/>
                <w:szCs w:val="18"/>
              </w:rPr>
              <w:t>Long length (&gt; 1,500 mm) with mercury content exceeding 13 mg per lamp</w:t>
            </w:r>
          </w:p>
        </w:tc>
        <w:tc>
          <w:tcPr>
            <w:tcW w:w="2598" w:type="dxa"/>
            <w:tcBorders>
              <w:top w:val="single" w:sz="4" w:space="0" w:color="auto"/>
              <w:left w:val="single" w:sz="4" w:space="0" w:color="auto"/>
              <w:bottom w:val="single" w:sz="4" w:space="0" w:color="auto"/>
              <w:right w:val="single" w:sz="4" w:space="0" w:color="auto"/>
            </w:tcBorders>
            <w:hideMark/>
          </w:tcPr>
          <w:p w14:paraId="74A34423" w14:textId="77777777" w:rsidR="00DB2767" w:rsidRPr="00631C1C" w:rsidRDefault="00DB2767">
            <w:pPr>
              <w:spacing w:before="40" w:after="40"/>
              <w:rPr>
                <w:sz w:val="18"/>
                <w:szCs w:val="18"/>
              </w:rPr>
            </w:pPr>
            <w:r w:rsidRPr="00631C1C">
              <w:rPr>
                <w:sz w:val="18"/>
                <w:szCs w:val="18"/>
              </w:rPr>
              <w:lastRenderedPageBreak/>
              <w:t>2020</w:t>
            </w:r>
          </w:p>
        </w:tc>
      </w:tr>
      <w:tr w:rsidR="00F234CD" w:rsidRPr="00631C1C" w14:paraId="1C8739BA"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BBA1D89" w14:textId="77777777" w:rsidR="00DB2767" w:rsidRPr="00631C1C" w:rsidRDefault="00DB2767">
            <w:pPr>
              <w:spacing w:before="40" w:after="40"/>
              <w:rPr>
                <w:sz w:val="18"/>
                <w:szCs w:val="18"/>
              </w:rPr>
            </w:pPr>
            <w:r w:rsidRPr="00631C1C">
              <w:rPr>
                <w:sz w:val="18"/>
                <w:szCs w:val="18"/>
              </w:rPr>
              <w:t>Cold cathode fluorescent lamps (CCFL) and external electrode fluorescent lamps (EEFL) of all lengths for electronic displays, not included in the listing directly above</w:t>
            </w:r>
          </w:p>
        </w:tc>
        <w:tc>
          <w:tcPr>
            <w:tcW w:w="2598" w:type="dxa"/>
            <w:tcBorders>
              <w:top w:val="single" w:sz="4" w:space="0" w:color="auto"/>
              <w:left w:val="single" w:sz="4" w:space="0" w:color="auto"/>
              <w:bottom w:val="single" w:sz="4" w:space="0" w:color="auto"/>
              <w:right w:val="single" w:sz="4" w:space="0" w:color="auto"/>
            </w:tcBorders>
            <w:hideMark/>
          </w:tcPr>
          <w:p w14:paraId="2E0BFA1F" w14:textId="77777777" w:rsidR="00DB2767" w:rsidRPr="00631C1C" w:rsidRDefault="00DB2767">
            <w:pPr>
              <w:spacing w:before="40" w:after="40"/>
              <w:rPr>
                <w:sz w:val="18"/>
                <w:szCs w:val="18"/>
              </w:rPr>
            </w:pPr>
            <w:r w:rsidRPr="00631C1C">
              <w:rPr>
                <w:sz w:val="18"/>
                <w:szCs w:val="18"/>
              </w:rPr>
              <w:t>2025</w:t>
            </w:r>
          </w:p>
        </w:tc>
      </w:tr>
      <w:tr w:rsidR="00F234CD" w:rsidRPr="00631C1C" w14:paraId="279A61D9"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0ABE4C78" w14:textId="77777777" w:rsidR="00DB2767" w:rsidRPr="00631C1C" w:rsidRDefault="00DB2767">
            <w:pPr>
              <w:spacing w:before="40" w:after="40"/>
              <w:rPr>
                <w:sz w:val="18"/>
                <w:szCs w:val="18"/>
              </w:rPr>
            </w:pPr>
            <w:r w:rsidRPr="00631C1C">
              <w:rPr>
                <w:sz w:val="18"/>
                <w:szCs w:val="18"/>
              </w:rPr>
              <w:t>Cosmetics (with mercury content above 1ppm), including skin lightening soaps and creams, and not including eye area cosmetics where mercury is used as a preservative and no effective and safe substitute preservatives are available</w:t>
            </w:r>
            <w:r w:rsidRPr="00631C1C">
              <w:rPr>
                <w:sz w:val="18"/>
                <w:szCs w:val="18"/>
                <w:vertAlign w:val="superscript"/>
              </w:rPr>
              <w:t>1/</w:t>
            </w:r>
          </w:p>
        </w:tc>
        <w:tc>
          <w:tcPr>
            <w:tcW w:w="2598" w:type="dxa"/>
            <w:tcBorders>
              <w:top w:val="single" w:sz="4" w:space="0" w:color="auto"/>
              <w:left w:val="single" w:sz="4" w:space="0" w:color="auto"/>
              <w:bottom w:val="single" w:sz="4" w:space="0" w:color="auto"/>
              <w:right w:val="single" w:sz="4" w:space="0" w:color="auto"/>
            </w:tcBorders>
            <w:hideMark/>
          </w:tcPr>
          <w:p w14:paraId="41885E67" w14:textId="77777777" w:rsidR="00DB2767" w:rsidRPr="00631C1C" w:rsidRDefault="00DB2767">
            <w:pPr>
              <w:keepNext/>
              <w:keepLines/>
              <w:spacing w:before="40" w:after="40"/>
              <w:rPr>
                <w:sz w:val="18"/>
                <w:szCs w:val="18"/>
              </w:rPr>
            </w:pPr>
            <w:r w:rsidRPr="00631C1C">
              <w:rPr>
                <w:sz w:val="18"/>
                <w:szCs w:val="18"/>
              </w:rPr>
              <w:t>2020</w:t>
            </w:r>
          </w:p>
        </w:tc>
      </w:tr>
      <w:tr w:rsidR="00F234CD" w:rsidRPr="00631C1C" w14:paraId="4026E398"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8A87FCC" w14:textId="77777777" w:rsidR="00DB2767" w:rsidRPr="00631C1C" w:rsidRDefault="00DB2767">
            <w:pPr>
              <w:spacing w:before="40" w:after="40"/>
              <w:rPr>
                <w:sz w:val="18"/>
                <w:szCs w:val="18"/>
              </w:rPr>
            </w:pPr>
            <w:r w:rsidRPr="00631C1C">
              <w:rPr>
                <w:sz w:val="18"/>
                <w:szCs w:val="18"/>
              </w:rPr>
              <w:t>Cosmetics, including skin-lightening soaps and creams, and not including eye area cosmetics where mercury is used as a preservative and no effective and safe substitute preservatives are available</w:t>
            </w:r>
            <w:r w:rsidRPr="00631C1C">
              <w:rPr>
                <w:sz w:val="18"/>
                <w:szCs w:val="18"/>
                <w:vertAlign w:val="superscript"/>
              </w:rPr>
              <w:t>1/</w:t>
            </w:r>
          </w:p>
        </w:tc>
        <w:tc>
          <w:tcPr>
            <w:tcW w:w="2598" w:type="dxa"/>
            <w:tcBorders>
              <w:top w:val="single" w:sz="4" w:space="0" w:color="auto"/>
              <w:left w:val="single" w:sz="4" w:space="0" w:color="auto"/>
              <w:bottom w:val="single" w:sz="4" w:space="0" w:color="auto"/>
              <w:right w:val="single" w:sz="4" w:space="0" w:color="auto"/>
            </w:tcBorders>
            <w:hideMark/>
          </w:tcPr>
          <w:p w14:paraId="233B9744" w14:textId="77777777" w:rsidR="00DB2767" w:rsidRPr="00631C1C" w:rsidRDefault="00DB2767">
            <w:pPr>
              <w:spacing w:before="40" w:after="40"/>
              <w:rPr>
                <w:sz w:val="18"/>
                <w:szCs w:val="18"/>
              </w:rPr>
            </w:pPr>
            <w:r w:rsidRPr="00631C1C">
              <w:rPr>
                <w:sz w:val="18"/>
                <w:szCs w:val="18"/>
              </w:rPr>
              <w:t>2025</w:t>
            </w:r>
          </w:p>
        </w:tc>
      </w:tr>
      <w:tr w:rsidR="00F234CD" w:rsidRPr="00631C1C" w14:paraId="5A152A0B"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EF61A88" w14:textId="77777777" w:rsidR="00DB2767" w:rsidRPr="00631C1C" w:rsidRDefault="00DB2767">
            <w:pPr>
              <w:spacing w:before="40" w:after="40"/>
              <w:rPr>
                <w:sz w:val="18"/>
                <w:szCs w:val="18"/>
              </w:rPr>
            </w:pPr>
            <w:r w:rsidRPr="00631C1C">
              <w:rPr>
                <w:sz w:val="18"/>
                <w:szCs w:val="18"/>
              </w:rPr>
              <w:t xml:space="preserve">Pesticides, biocides and topical antiseptics </w:t>
            </w:r>
          </w:p>
        </w:tc>
        <w:tc>
          <w:tcPr>
            <w:tcW w:w="2598" w:type="dxa"/>
            <w:tcBorders>
              <w:top w:val="single" w:sz="4" w:space="0" w:color="auto"/>
              <w:left w:val="single" w:sz="4" w:space="0" w:color="auto"/>
              <w:bottom w:val="single" w:sz="4" w:space="0" w:color="auto"/>
              <w:right w:val="single" w:sz="4" w:space="0" w:color="auto"/>
            </w:tcBorders>
            <w:hideMark/>
          </w:tcPr>
          <w:p w14:paraId="3264A4DB" w14:textId="77777777" w:rsidR="00DB2767" w:rsidRPr="00631C1C" w:rsidRDefault="00DB2767">
            <w:pPr>
              <w:spacing w:before="40" w:after="40"/>
              <w:rPr>
                <w:sz w:val="18"/>
                <w:szCs w:val="18"/>
              </w:rPr>
            </w:pPr>
            <w:r w:rsidRPr="00631C1C">
              <w:rPr>
                <w:sz w:val="18"/>
                <w:szCs w:val="18"/>
              </w:rPr>
              <w:t>2020</w:t>
            </w:r>
          </w:p>
        </w:tc>
      </w:tr>
      <w:tr w:rsidR="00F234CD" w:rsidRPr="00631C1C" w14:paraId="47EFDF4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8FAC295" w14:textId="77777777" w:rsidR="00DB2767" w:rsidRPr="00631C1C" w:rsidRDefault="00DB2767">
            <w:pPr>
              <w:spacing w:before="40" w:after="40"/>
              <w:rPr>
                <w:sz w:val="18"/>
                <w:szCs w:val="18"/>
              </w:rPr>
            </w:pPr>
            <w:r w:rsidRPr="00631C1C">
              <w:rPr>
                <w:sz w:val="18"/>
                <w:szCs w:val="18"/>
              </w:rPr>
              <w:t>The following non-electronic measuring devices except non</w:t>
            </w:r>
            <w:r w:rsidRPr="00631C1C">
              <w:rPr>
                <w:sz w:val="18"/>
                <w:szCs w:val="18"/>
              </w:rPr>
              <w:noBreakHyphen/>
              <w:t>electronic measuring devices installed in large-scale equipment or those used for high precision measurement, where no suitable mercury</w:t>
            </w:r>
            <w:r w:rsidRPr="00631C1C">
              <w:rPr>
                <w:sz w:val="18"/>
                <w:szCs w:val="18"/>
              </w:rPr>
              <w:noBreakHyphen/>
              <w:t>free alternative is available:</w:t>
            </w:r>
          </w:p>
          <w:p w14:paraId="4707BF1F" w14:textId="77777777" w:rsidR="00DB2767" w:rsidRPr="00631C1C" w:rsidRDefault="00DB2767" w:rsidP="00DB2767">
            <w:pPr>
              <w:numPr>
                <w:ilvl w:val="0"/>
                <w:numId w:val="84"/>
              </w:numPr>
              <w:tabs>
                <w:tab w:val="left" w:pos="720"/>
              </w:tabs>
              <w:spacing w:before="40" w:after="40"/>
              <w:rPr>
                <w:sz w:val="18"/>
                <w:szCs w:val="18"/>
              </w:rPr>
            </w:pPr>
            <w:proofErr w:type="gramStart"/>
            <w:r w:rsidRPr="00631C1C">
              <w:rPr>
                <w:sz w:val="18"/>
                <w:szCs w:val="18"/>
              </w:rPr>
              <w:t>Barometers;</w:t>
            </w:r>
            <w:proofErr w:type="gramEnd"/>
          </w:p>
          <w:p w14:paraId="0F3BDECF" w14:textId="77777777" w:rsidR="00DB2767" w:rsidRPr="00631C1C" w:rsidRDefault="00DB2767" w:rsidP="00DB2767">
            <w:pPr>
              <w:numPr>
                <w:ilvl w:val="0"/>
                <w:numId w:val="84"/>
              </w:numPr>
              <w:tabs>
                <w:tab w:val="left" w:pos="720"/>
              </w:tabs>
              <w:spacing w:before="40" w:after="40"/>
              <w:rPr>
                <w:sz w:val="18"/>
                <w:szCs w:val="18"/>
              </w:rPr>
            </w:pPr>
            <w:proofErr w:type="gramStart"/>
            <w:r w:rsidRPr="00631C1C">
              <w:rPr>
                <w:sz w:val="18"/>
                <w:szCs w:val="18"/>
              </w:rPr>
              <w:t>Hygrometers;</w:t>
            </w:r>
            <w:proofErr w:type="gramEnd"/>
          </w:p>
          <w:p w14:paraId="06DF56D0" w14:textId="77777777" w:rsidR="00DB2767" w:rsidRPr="00631C1C" w:rsidRDefault="00DB2767" w:rsidP="00DB2767">
            <w:pPr>
              <w:numPr>
                <w:ilvl w:val="0"/>
                <w:numId w:val="84"/>
              </w:numPr>
              <w:tabs>
                <w:tab w:val="left" w:pos="720"/>
              </w:tabs>
              <w:spacing w:before="40" w:after="40"/>
              <w:rPr>
                <w:sz w:val="18"/>
                <w:szCs w:val="18"/>
              </w:rPr>
            </w:pPr>
            <w:proofErr w:type="gramStart"/>
            <w:r w:rsidRPr="00631C1C">
              <w:rPr>
                <w:sz w:val="18"/>
                <w:szCs w:val="18"/>
              </w:rPr>
              <w:t>Manometers;</w:t>
            </w:r>
            <w:proofErr w:type="gramEnd"/>
          </w:p>
          <w:p w14:paraId="41121219" w14:textId="77777777" w:rsidR="00DB2767" w:rsidRPr="00631C1C" w:rsidRDefault="00DB2767" w:rsidP="00DB2767">
            <w:pPr>
              <w:numPr>
                <w:ilvl w:val="0"/>
                <w:numId w:val="84"/>
              </w:numPr>
              <w:tabs>
                <w:tab w:val="left" w:pos="720"/>
              </w:tabs>
              <w:spacing w:before="40" w:after="40"/>
              <w:rPr>
                <w:sz w:val="18"/>
                <w:szCs w:val="18"/>
              </w:rPr>
            </w:pPr>
            <w:proofErr w:type="gramStart"/>
            <w:r w:rsidRPr="00631C1C">
              <w:rPr>
                <w:sz w:val="18"/>
                <w:szCs w:val="18"/>
              </w:rPr>
              <w:t>Thermometers;</w:t>
            </w:r>
            <w:proofErr w:type="gramEnd"/>
          </w:p>
          <w:p w14:paraId="6D4D2D2F" w14:textId="77777777" w:rsidR="00DB2767" w:rsidRPr="00631C1C" w:rsidRDefault="00DB2767" w:rsidP="00DB2767">
            <w:pPr>
              <w:numPr>
                <w:ilvl w:val="0"/>
                <w:numId w:val="84"/>
              </w:numPr>
              <w:tabs>
                <w:tab w:val="left" w:pos="720"/>
              </w:tabs>
              <w:spacing w:before="40" w:after="40"/>
              <w:rPr>
                <w:sz w:val="18"/>
                <w:szCs w:val="18"/>
              </w:rPr>
            </w:pPr>
            <w:r w:rsidRPr="00631C1C">
              <w:rPr>
                <w:sz w:val="18"/>
                <w:szCs w:val="18"/>
              </w:rPr>
              <w:t>Sphygmomanometers.</w:t>
            </w:r>
          </w:p>
        </w:tc>
        <w:tc>
          <w:tcPr>
            <w:tcW w:w="2598" w:type="dxa"/>
            <w:tcBorders>
              <w:top w:val="single" w:sz="4" w:space="0" w:color="auto"/>
              <w:left w:val="single" w:sz="4" w:space="0" w:color="auto"/>
              <w:bottom w:val="single" w:sz="4" w:space="0" w:color="auto"/>
              <w:right w:val="single" w:sz="4" w:space="0" w:color="auto"/>
            </w:tcBorders>
            <w:hideMark/>
          </w:tcPr>
          <w:p w14:paraId="44CB57B0" w14:textId="77777777" w:rsidR="00DB2767" w:rsidRPr="00631C1C" w:rsidRDefault="00DB2767">
            <w:pPr>
              <w:spacing w:before="40" w:after="40"/>
              <w:rPr>
                <w:sz w:val="18"/>
                <w:szCs w:val="18"/>
              </w:rPr>
            </w:pPr>
            <w:r w:rsidRPr="00631C1C">
              <w:rPr>
                <w:sz w:val="18"/>
                <w:szCs w:val="18"/>
              </w:rPr>
              <w:t>2020</w:t>
            </w:r>
          </w:p>
        </w:tc>
      </w:tr>
      <w:tr w:rsidR="00F234CD" w:rsidRPr="00631C1C" w14:paraId="1DD8B7E0"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85515DC" w14:textId="77777777" w:rsidR="00DB2767" w:rsidRPr="00631C1C" w:rsidRDefault="00DB2767">
            <w:pPr>
              <w:spacing w:before="40" w:after="40"/>
              <w:rPr>
                <w:sz w:val="18"/>
                <w:szCs w:val="18"/>
              </w:rPr>
            </w:pPr>
            <w:r w:rsidRPr="00631C1C">
              <w:rPr>
                <w:sz w:val="18"/>
                <w:szCs w:val="18"/>
              </w:rPr>
              <w:t xml:space="preserve">Strain gauges to be used in plethysmographs; </w:t>
            </w:r>
          </w:p>
        </w:tc>
        <w:tc>
          <w:tcPr>
            <w:tcW w:w="2598" w:type="dxa"/>
            <w:tcBorders>
              <w:top w:val="single" w:sz="4" w:space="0" w:color="auto"/>
              <w:left w:val="single" w:sz="4" w:space="0" w:color="auto"/>
              <w:bottom w:val="single" w:sz="4" w:space="0" w:color="auto"/>
              <w:right w:val="single" w:sz="4" w:space="0" w:color="auto"/>
            </w:tcBorders>
            <w:hideMark/>
          </w:tcPr>
          <w:p w14:paraId="533470D0" w14:textId="77777777" w:rsidR="00DB2767" w:rsidRPr="00631C1C" w:rsidRDefault="00DB2767">
            <w:pPr>
              <w:spacing w:before="40" w:after="40"/>
              <w:rPr>
                <w:sz w:val="18"/>
                <w:szCs w:val="18"/>
              </w:rPr>
            </w:pPr>
            <w:r w:rsidRPr="00631C1C">
              <w:rPr>
                <w:sz w:val="18"/>
                <w:szCs w:val="18"/>
              </w:rPr>
              <w:t>2025</w:t>
            </w:r>
          </w:p>
        </w:tc>
      </w:tr>
      <w:tr w:rsidR="00F234CD" w:rsidRPr="00631C1C" w14:paraId="12589BF8"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1E12DDD3" w14:textId="77777777" w:rsidR="00DB2767" w:rsidRPr="00631C1C" w:rsidRDefault="00DB2767">
            <w:pPr>
              <w:spacing w:before="40" w:after="40"/>
              <w:rPr>
                <w:sz w:val="18"/>
                <w:szCs w:val="18"/>
              </w:rPr>
            </w:pPr>
            <w:r w:rsidRPr="00631C1C">
              <w:rPr>
                <w:sz w:val="18"/>
                <w:szCs w:val="18"/>
              </w:rPr>
              <w:t>The following electrical and electronic measuring devices, except those installed in large-scale equipment or those used for high precision measurement, where no suitable mercury</w:t>
            </w:r>
            <w:r w:rsidRPr="00631C1C">
              <w:rPr>
                <w:sz w:val="18"/>
                <w:szCs w:val="18"/>
              </w:rPr>
              <w:noBreakHyphen/>
              <w:t>free alternative is available:</w:t>
            </w:r>
          </w:p>
          <w:p w14:paraId="54D4AC23" w14:textId="77777777" w:rsidR="00DB2767" w:rsidRPr="00631C1C" w:rsidRDefault="00DB2767" w:rsidP="00DB2767">
            <w:pPr>
              <w:keepNext/>
              <w:keepLines/>
              <w:numPr>
                <w:ilvl w:val="0"/>
                <w:numId w:val="85"/>
              </w:numPr>
              <w:tabs>
                <w:tab w:val="left" w:pos="720"/>
              </w:tabs>
              <w:spacing w:before="60" w:after="40"/>
              <w:ind w:left="357" w:hanging="357"/>
              <w:rPr>
                <w:sz w:val="18"/>
                <w:szCs w:val="18"/>
              </w:rPr>
            </w:pPr>
            <w:r w:rsidRPr="00631C1C">
              <w:rPr>
                <w:sz w:val="18"/>
                <w:szCs w:val="18"/>
              </w:rPr>
              <w:t>Melt pressure transducers, melt pressure transmitters and melt pressure sensors</w:t>
            </w:r>
          </w:p>
        </w:tc>
        <w:tc>
          <w:tcPr>
            <w:tcW w:w="2598" w:type="dxa"/>
            <w:tcBorders>
              <w:top w:val="single" w:sz="4" w:space="0" w:color="auto"/>
              <w:left w:val="single" w:sz="4" w:space="0" w:color="auto"/>
              <w:bottom w:val="single" w:sz="4" w:space="0" w:color="auto"/>
              <w:right w:val="single" w:sz="4" w:space="0" w:color="auto"/>
            </w:tcBorders>
            <w:hideMark/>
          </w:tcPr>
          <w:p w14:paraId="7DDC954D" w14:textId="77777777" w:rsidR="00DB2767" w:rsidRPr="00631C1C" w:rsidRDefault="00DB2767">
            <w:pPr>
              <w:spacing w:before="40" w:after="40"/>
              <w:rPr>
                <w:sz w:val="18"/>
                <w:szCs w:val="18"/>
              </w:rPr>
            </w:pPr>
            <w:r w:rsidRPr="00631C1C">
              <w:rPr>
                <w:sz w:val="18"/>
                <w:szCs w:val="18"/>
              </w:rPr>
              <w:t>2025</w:t>
            </w:r>
          </w:p>
        </w:tc>
      </w:tr>
      <w:tr w:rsidR="00F234CD" w:rsidRPr="00631C1C" w14:paraId="0C372279"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C642945" w14:textId="77777777" w:rsidR="00DB2767" w:rsidRPr="00631C1C" w:rsidRDefault="00DB2767">
            <w:pPr>
              <w:spacing w:before="40" w:after="40"/>
              <w:rPr>
                <w:sz w:val="18"/>
                <w:szCs w:val="18"/>
              </w:rPr>
            </w:pPr>
            <w:r w:rsidRPr="00631C1C">
              <w:rPr>
                <w:sz w:val="18"/>
                <w:szCs w:val="18"/>
              </w:rPr>
              <w:t>Mercury vacuum pumps</w:t>
            </w:r>
          </w:p>
        </w:tc>
        <w:tc>
          <w:tcPr>
            <w:tcW w:w="2598" w:type="dxa"/>
            <w:tcBorders>
              <w:top w:val="single" w:sz="4" w:space="0" w:color="auto"/>
              <w:left w:val="single" w:sz="4" w:space="0" w:color="auto"/>
              <w:bottom w:val="single" w:sz="4" w:space="0" w:color="auto"/>
              <w:right w:val="single" w:sz="4" w:space="0" w:color="auto"/>
            </w:tcBorders>
            <w:hideMark/>
          </w:tcPr>
          <w:p w14:paraId="59903466" w14:textId="77777777" w:rsidR="00DB2767" w:rsidRPr="00631C1C" w:rsidRDefault="00DB2767">
            <w:pPr>
              <w:spacing w:before="40" w:after="40"/>
              <w:rPr>
                <w:sz w:val="18"/>
                <w:szCs w:val="18"/>
              </w:rPr>
            </w:pPr>
            <w:r w:rsidRPr="00631C1C">
              <w:rPr>
                <w:sz w:val="18"/>
                <w:szCs w:val="18"/>
              </w:rPr>
              <w:t>2025</w:t>
            </w:r>
          </w:p>
        </w:tc>
      </w:tr>
      <w:tr w:rsidR="00F234CD" w:rsidRPr="00631C1C" w14:paraId="391590B1"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A322146" w14:textId="77777777" w:rsidR="00DB2767" w:rsidRPr="00631C1C" w:rsidRDefault="00DB2767">
            <w:pPr>
              <w:spacing w:before="40" w:after="40"/>
              <w:rPr>
                <w:sz w:val="18"/>
                <w:szCs w:val="18"/>
              </w:rPr>
            </w:pPr>
            <w:r w:rsidRPr="00631C1C">
              <w:rPr>
                <w:sz w:val="18"/>
                <w:szCs w:val="18"/>
              </w:rPr>
              <w:t>Tyre balancers and wheel weights</w:t>
            </w:r>
          </w:p>
        </w:tc>
        <w:tc>
          <w:tcPr>
            <w:tcW w:w="2598" w:type="dxa"/>
            <w:tcBorders>
              <w:top w:val="single" w:sz="4" w:space="0" w:color="auto"/>
              <w:left w:val="single" w:sz="4" w:space="0" w:color="auto"/>
              <w:bottom w:val="single" w:sz="4" w:space="0" w:color="auto"/>
              <w:right w:val="single" w:sz="4" w:space="0" w:color="auto"/>
            </w:tcBorders>
            <w:hideMark/>
          </w:tcPr>
          <w:p w14:paraId="30333F71" w14:textId="77777777" w:rsidR="00DB2767" w:rsidRPr="00631C1C" w:rsidRDefault="00DB2767">
            <w:pPr>
              <w:spacing w:before="40" w:after="40"/>
              <w:rPr>
                <w:sz w:val="18"/>
                <w:szCs w:val="18"/>
              </w:rPr>
            </w:pPr>
            <w:r w:rsidRPr="00631C1C">
              <w:rPr>
                <w:sz w:val="18"/>
                <w:szCs w:val="18"/>
              </w:rPr>
              <w:t>2025</w:t>
            </w:r>
          </w:p>
        </w:tc>
      </w:tr>
      <w:tr w:rsidR="00F234CD" w:rsidRPr="00631C1C" w14:paraId="1199FD7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0B5CAA73" w14:textId="77777777" w:rsidR="00DB2767" w:rsidRPr="00631C1C" w:rsidRDefault="00DB2767">
            <w:pPr>
              <w:spacing w:before="40" w:after="40"/>
              <w:rPr>
                <w:sz w:val="18"/>
                <w:szCs w:val="18"/>
              </w:rPr>
            </w:pPr>
            <w:r w:rsidRPr="00631C1C">
              <w:rPr>
                <w:sz w:val="18"/>
                <w:szCs w:val="18"/>
              </w:rPr>
              <w:t>Photographic film and paper</w:t>
            </w:r>
          </w:p>
        </w:tc>
        <w:tc>
          <w:tcPr>
            <w:tcW w:w="2598" w:type="dxa"/>
            <w:tcBorders>
              <w:top w:val="single" w:sz="4" w:space="0" w:color="auto"/>
              <w:left w:val="single" w:sz="4" w:space="0" w:color="auto"/>
              <w:bottom w:val="single" w:sz="4" w:space="0" w:color="auto"/>
              <w:right w:val="single" w:sz="4" w:space="0" w:color="auto"/>
            </w:tcBorders>
            <w:hideMark/>
          </w:tcPr>
          <w:p w14:paraId="7D03B093" w14:textId="77777777" w:rsidR="00DB2767" w:rsidRPr="00631C1C" w:rsidRDefault="00DB2767">
            <w:pPr>
              <w:spacing w:before="40" w:after="40"/>
              <w:rPr>
                <w:sz w:val="18"/>
                <w:szCs w:val="18"/>
              </w:rPr>
            </w:pPr>
            <w:r w:rsidRPr="00631C1C">
              <w:rPr>
                <w:sz w:val="18"/>
                <w:szCs w:val="18"/>
              </w:rPr>
              <w:t>2025</w:t>
            </w:r>
          </w:p>
        </w:tc>
      </w:tr>
      <w:tr w:rsidR="00F234CD" w:rsidRPr="00631C1C" w14:paraId="3FE80356" w14:textId="77777777" w:rsidTr="00D15603">
        <w:trPr>
          <w:trHeight w:val="336"/>
          <w:jc w:val="right"/>
        </w:trPr>
        <w:tc>
          <w:tcPr>
            <w:tcW w:w="5709" w:type="dxa"/>
            <w:tcBorders>
              <w:top w:val="single" w:sz="4" w:space="0" w:color="auto"/>
              <w:left w:val="single" w:sz="4" w:space="0" w:color="auto"/>
              <w:bottom w:val="single" w:sz="4" w:space="0" w:color="auto"/>
              <w:right w:val="single" w:sz="4" w:space="0" w:color="auto"/>
            </w:tcBorders>
            <w:hideMark/>
          </w:tcPr>
          <w:p w14:paraId="5B9CFCF7" w14:textId="77777777" w:rsidR="00DB2767" w:rsidRPr="00631C1C" w:rsidRDefault="00DB2767">
            <w:pPr>
              <w:spacing w:before="40" w:after="40"/>
              <w:rPr>
                <w:sz w:val="18"/>
                <w:szCs w:val="18"/>
              </w:rPr>
            </w:pPr>
            <w:r w:rsidRPr="00631C1C">
              <w:rPr>
                <w:sz w:val="18"/>
                <w:szCs w:val="18"/>
              </w:rPr>
              <w:t>Propellant for satellites and spacecraft</w:t>
            </w:r>
          </w:p>
        </w:tc>
        <w:tc>
          <w:tcPr>
            <w:tcW w:w="2598" w:type="dxa"/>
            <w:tcBorders>
              <w:top w:val="single" w:sz="4" w:space="0" w:color="auto"/>
              <w:left w:val="single" w:sz="4" w:space="0" w:color="auto"/>
              <w:bottom w:val="single" w:sz="4" w:space="0" w:color="auto"/>
              <w:right w:val="single" w:sz="4" w:space="0" w:color="auto"/>
            </w:tcBorders>
            <w:hideMark/>
          </w:tcPr>
          <w:p w14:paraId="30A187EB" w14:textId="77777777" w:rsidR="00DB2767" w:rsidRPr="00631C1C" w:rsidRDefault="00DB2767">
            <w:pPr>
              <w:spacing w:before="40" w:after="40"/>
              <w:rPr>
                <w:sz w:val="18"/>
                <w:szCs w:val="18"/>
              </w:rPr>
            </w:pPr>
            <w:r w:rsidRPr="00631C1C">
              <w:rPr>
                <w:sz w:val="18"/>
                <w:szCs w:val="18"/>
              </w:rPr>
              <w:t>2025</w:t>
            </w:r>
          </w:p>
        </w:tc>
      </w:tr>
      <w:tr w:rsidR="00F234CD" w:rsidRPr="00631C1C" w14:paraId="6D49F555" w14:textId="77777777" w:rsidTr="00D15603">
        <w:trPr>
          <w:trHeight w:val="604"/>
          <w:jc w:val="right"/>
        </w:trPr>
        <w:tc>
          <w:tcPr>
            <w:tcW w:w="5709" w:type="dxa"/>
            <w:tcBorders>
              <w:top w:val="single" w:sz="4" w:space="0" w:color="auto"/>
              <w:left w:val="single" w:sz="4" w:space="0" w:color="auto"/>
              <w:bottom w:val="single" w:sz="12" w:space="0" w:color="auto"/>
              <w:right w:val="single" w:sz="4" w:space="0" w:color="auto"/>
            </w:tcBorders>
            <w:shd w:val="clear" w:color="auto" w:fill="D9D9D9"/>
            <w:hideMark/>
          </w:tcPr>
          <w:p w14:paraId="42D4C03A" w14:textId="77777777" w:rsidR="00DB2767" w:rsidRPr="00631C1C" w:rsidRDefault="00DB2767">
            <w:pPr>
              <w:spacing w:before="40" w:after="40"/>
              <w:rPr>
                <w:sz w:val="18"/>
                <w:szCs w:val="18"/>
              </w:rPr>
            </w:pPr>
            <w:r w:rsidRPr="00631C1C">
              <w:rPr>
                <w:sz w:val="18"/>
                <w:szCs w:val="18"/>
              </w:rPr>
              <w:t>Dental amalgam, except for when its use is considered necessary by the dental practitioner based on the needs of the patient</w:t>
            </w:r>
          </w:p>
        </w:tc>
        <w:tc>
          <w:tcPr>
            <w:tcW w:w="2598" w:type="dxa"/>
            <w:tcBorders>
              <w:top w:val="single" w:sz="4" w:space="0" w:color="auto"/>
              <w:left w:val="single" w:sz="4" w:space="0" w:color="auto"/>
              <w:bottom w:val="single" w:sz="12" w:space="0" w:color="auto"/>
              <w:right w:val="single" w:sz="4" w:space="0" w:color="auto"/>
            </w:tcBorders>
            <w:shd w:val="clear" w:color="auto" w:fill="D9D9D9"/>
            <w:hideMark/>
          </w:tcPr>
          <w:p w14:paraId="76DF3D92" w14:textId="77777777" w:rsidR="00DB2767" w:rsidRPr="00631C1C" w:rsidRDefault="00DB2767">
            <w:pPr>
              <w:spacing w:before="40" w:after="40"/>
              <w:rPr>
                <w:sz w:val="18"/>
                <w:szCs w:val="18"/>
              </w:rPr>
            </w:pPr>
            <w:r w:rsidRPr="00631C1C">
              <w:rPr>
                <w:sz w:val="18"/>
                <w:szCs w:val="18"/>
              </w:rPr>
              <w:t>2034</w:t>
            </w:r>
          </w:p>
        </w:tc>
      </w:tr>
    </w:tbl>
    <w:p w14:paraId="4955C247" w14:textId="77777777" w:rsidR="00DB2767" w:rsidRPr="00631C1C" w:rsidRDefault="00DB2767" w:rsidP="00DB2767">
      <w:pPr>
        <w:pStyle w:val="Normal-pool"/>
        <w:tabs>
          <w:tab w:val="clear" w:pos="624"/>
          <w:tab w:val="clear" w:pos="1871"/>
          <w:tab w:val="clear" w:pos="2495"/>
          <w:tab w:val="clear" w:pos="3119"/>
          <w:tab w:val="clear" w:pos="3742"/>
          <w:tab w:val="left" w:pos="1814"/>
          <w:tab w:val="left" w:pos="2381"/>
          <w:tab w:val="left" w:pos="2948"/>
          <w:tab w:val="left" w:pos="3515"/>
          <w:tab w:val="left" w:pos="4082"/>
        </w:tabs>
        <w:spacing w:before="60" w:after="120"/>
        <w:ind w:left="1247"/>
        <w:rPr>
          <w:sz w:val="18"/>
          <w:szCs w:val="18"/>
        </w:rPr>
      </w:pPr>
      <w:r w:rsidRPr="00631C1C">
        <w:rPr>
          <w:sz w:val="18"/>
          <w:szCs w:val="18"/>
          <w:vertAlign w:val="superscript"/>
        </w:rPr>
        <w:tab/>
        <w:t>1/</w:t>
      </w:r>
      <w:r w:rsidRPr="00631C1C">
        <w:rPr>
          <w:sz w:val="18"/>
          <w:szCs w:val="18"/>
        </w:rPr>
        <w:t xml:space="preserve"> The intention is not to cover cosmetics, soaps or creams with trace contaminants of mercury.</w:t>
      </w:r>
    </w:p>
    <w:p w14:paraId="7A0AF621" w14:textId="77777777" w:rsidR="00DB2767" w:rsidRPr="00631C1C" w:rsidRDefault="00DB2767" w:rsidP="00DB2767">
      <w:pPr>
        <w:pStyle w:val="NormalNonumber"/>
        <w:numPr>
          <w:ilvl w:val="0"/>
          <w:numId w:val="78"/>
        </w:numPr>
        <w:spacing w:before="240"/>
        <w:ind w:left="1247" w:firstLine="624"/>
        <w:rPr>
          <w:rFonts w:asciiTheme="majorBidi" w:hAnsiTheme="majorBidi" w:cstheme="majorBidi"/>
          <w:iCs/>
        </w:rPr>
      </w:pPr>
      <w:r w:rsidRPr="00631C1C">
        <w:rPr>
          <w:rFonts w:asciiTheme="majorBidi" w:hAnsiTheme="majorBidi" w:cstheme="majorBidi"/>
          <w:i/>
        </w:rPr>
        <w:t>Also decides</w:t>
      </w:r>
      <w:r w:rsidRPr="00631C1C">
        <w:rPr>
          <w:rFonts w:asciiTheme="majorBidi" w:hAnsiTheme="majorBidi" w:cstheme="majorBidi"/>
          <w:iCs/>
        </w:rPr>
        <w:t xml:space="preserve"> to undertake, at its twelfth meeting, a review of the need for the exception to use dental amalgam considered in part I of annex A to the </w:t>
      </w:r>
      <w:proofErr w:type="gramStart"/>
      <w:r w:rsidRPr="00631C1C">
        <w:rPr>
          <w:rFonts w:asciiTheme="majorBidi" w:hAnsiTheme="majorBidi" w:cstheme="majorBidi"/>
          <w:iCs/>
        </w:rPr>
        <w:t>Convention;</w:t>
      </w:r>
      <w:proofErr w:type="gramEnd"/>
    </w:p>
    <w:p w14:paraId="1191561D" w14:textId="77777777" w:rsidR="00DB2767" w:rsidRPr="00631C1C" w:rsidRDefault="00DB2767" w:rsidP="00DB2767">
      <w:pPr>
        <w:pStyle w:val="NormalNonumber"/>
        <w:numPr>
          <w:ilvl w:val="0"/>
          <w:numId w:val="78"/>
        </w:numPr>
        <w:ind w:left="1247" w:firstLine="624"/>
        <w:rPr>
          <w:rFonts w:asciiTheme="majorBidi" w:hAnsiTheme="majorBidi" w:cstheme="majorBidi"/>
          <w:iCs/>
        </w:rPr>
      </w:pPr>
      <w:r w:rsidRPr="00631C1C">
        <w:rPr>
          <w:rFonts w:asciiTheme="majorBidi" w:hAnsiTheme="majorBidi" w:cstheme="majorBidi"/>
          <w:i/>
          <w:iCs/>
        </w:rPr>
        <w:t xml:space="preserve">Further decides </w:t>
      </w:r>
      <w:r w:rsidRPr="00631C1C">
        <w:rPr>
          <w:rFonts w:asciiTheme="majorBidi" w:hAnsiTheme="majorBidi" w:cstheme="majorBidi"/>
        </w:rPr>
        <w:t>to amend part II of annex A to the Convention as set out in the following table:</w:t>
      </w:r>
      <w:r w:rsidRPr="00631C1C">
        <w:rPr>
          <w:rFonts w:asciiTheme="majorBidi" w:hAnsiTheme="majorBidi" w:cstheme="majorBidi"/>
          <w:vertAlign w:val="superscript"/>
        </w:rPr>
        <w:footnoteReference w:id="11"/>
      </w:r>
    </w:p>
    <w:tbl>
      <w:tblPr>
        <w:tblW w:w="83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0"/>
        <w:gridCol w:w="5800"/>
      </w:tblGrid>
      <w:tr w:rsidR="00F234CD" w:rsidRPr="00631C1C" w14:paraId="7A26A85B" w14:textId="77777777" w:rsidTr="003417F0">
        <w:trPr>
          <w:trHeight w:val="57"/>
          <w:tblHeader/>
          <w:jc w:val="right"/>
        </w:trPr>
        <w:tc>
          <w:tcPr>
            <w:tcW w:w="2509" w:type="dxa"/>
            <w:tcBorders>
              <w:top w:val="single" w:sz="4" w:space="0" w:color="auto"/>
              <w:left w:val="single" w:sz="4" w:space="0" w:color="auto"/>
              <w:bottom w:val="single" w:sz="12" w:space="0" w:color="auto"/>
              <w:right w:val="single" w:sz="4" w:space="0" w:color="auto"/>
            </w:tcBorders>
            <w:vAlign w:val="bottom"/>
            <w:hideMark/>
          </w:tcPr>
          <w:p w14:paraId="0FA14F69" w14:textId="77777777" w:rsidR="00DB2767" w:rsidRPr="00631C1C"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631C1C">
              <w:rPr>
                <w:rFonts w:asciiTheme="majorBidi" w:hAnsiTheme="majorBidi" w:cstheme="majorBidi"/>
                <w:i/>
                <w:iCs/>
                <w:sz w:val="18"/>
                <w:szCs w:val="18"/>
              </w:rPr>
              <w:lastRenderedPageBreak/>
              <w:t>Mercury-added products</w:t>
            </w:r>
          </w:p>
        </w:tc>
        <w:tc>
          <w:tcPr>
            <w:tcW w:w="5798" w:type="dxa"/>
            <w:tcBorders>
              <w:top w:val="single" w:sz="4" w:space="0" w:color="auto"/>
              <w:left w:val="single" w:sz="4" w:space="0" w:color="auto"/>
              <w:bottom w:val="single" w:sz="12" w:space="0" w:color="auto"/>
              <w:right w:val="single" w:sz="4" w:space="0" w:color="auto"/>
            </w:tcBorders>
            <w:vAlign w:val="bottom"/>
            <w:hideMark/>
          </w:tcPr>
          <w:p w14:paraId="3A701D73" w14:textId="77777777" w:rsidR="00DB2767" w:rsidRPr="00631C1C"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631C1C">
              <w:rPr>
                <w:rFonts w:asciiTheme="majorBidi" w:hAnsiTheme="majorBidi" w:cstheme="majorBidi"/>
                <w:i/>
                <w:iCs/>
                <w:sz w:val="18"/>
                <w:szCs w:val="18"/>
              </w:rPr>
              <w:t xml:space="preserve">Provisions </w:t>
            </w:r>
          </w:p>
        </w:tc>
      </w:tr>
      <w:tr w:rsidR="00F234CD" w:rsidRPr="00631C1C" w14:paraId="28E919DA" w14:textId="77777777" w:rsidTr="003417F0">
        <w:trPr>
          <w:trHeight w:val="57"/>
          <w:jc w:val="right"/>
        </w:trPr>
        <w:tc>
          <w:tcPr>
            <w:tcW w:w="2509" w:type="dxa"/>
            <w:vMerge w:val="restart"/>
            <w:tcBorders>
              <w:top w:val="single" w:sz="12" w:space="0" w:color="auto"/>
              <w:left w:val="single" w:sz="4" w:space="0" w:color="auto"/>
              <w:bottom w:val="nil"/>
              <w:right w:val="single" w:sz="4" w:space="0" w:color="auto"/>
            </w:tcBorders>
            <w:hideMark/>
          </w:tcPr>
          <w:p w14:paraId="38159442" w14:textId="77777777" w:rsidR="00DB2767" w:rsidRPr="00631C1C"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b/>
                <w:bCs/>
                <w:sz w:val="18"/>
                <w:szCs w:val="18"/>
              </w:rPr>
            </w:pPr>
            <w:r w:rsidRPr="00631C1C">
              <w:rPr>
                <w:rFonts w:asciiTheme="majorBidi" w:hAnsiTheme="majorBidi" w:cstheme="majorBidi"/>
                <w:sz w:val="18"/>
                <w:szCs w:val="18"/>
              </w:rPr>
              <w:t>Dental amalgam</w:t>
            </w:r>
          </w:p>
        </w:tc>
        <w:tc>
          <w:tcPr>
            <w:tcW w:w="5798" w:type="dxa"/>
            <w:tcBorders>
              <w:top w:val="single" w:sz="12" w:space="0" w:color="auto"/>
              <w:left w:val="single" w:sz="4" w:space="0" w:color="auto"/>
              <w:bottom w:val="nil"/>
              <w:right w:val="single" w:sz="4" w:space="0" w:color="auto"/>
            </w:tcBorders>
            <w:hideMark/>
          </w:tcPr>
          <w:p w14:paraId="2EE582B7" w14:textId="77777777" w:rsidR="00DB2767" w:rsidRPr="00631C1C"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631C1C">
              <w:rPr>
                <w:rFonts w:asciiTheme="majorBidi" w:hAnsiTheme="majorBidi" w:cstheme="majorBidi"/>
                <w:sz w:val="18"/>
                <w:szCs w:val="18"/>
              </w:rPr>
              <w:t xml:space="preserve">Measures to be taken by a Party to phase down the use of dental amalgam shall </w:t>
            </w:r>
            <w:proofErr w:type="gramStart"/>
            <w:r w:rsidRPr="00631C1C">
              <w:rPr>
                <w:rFonts w:asciiTheme="majorBidi" w:hAnsiTheme="majorBidi" w:cstheme="majorBidi"/>
                <w:sz w:val="18"/>
                <w:szCs w:val="18"/>
              </w:rPr>
              <w:t>take into account</w:t>
            </w:r>
            <w:proofErr w:type="gramEnd"/>
            <w:r w:rsidRPr="00631C1C">
              <w:rPr>
                <w:rFonts w:asciiTheme="majorBidi" w:hAnsiTheme="majorBidi" w:cstheme="majorBidi"/>
                <w:sz w:val="18"/>
                <w:szCs w:val="18"/>
              </w:rPr>
              <w:t xml:space="preserve"> the Party’s domestic circumstances and relevant international guidance and shall include two or more of the measures from the following list:</w:t>
            </w:r>
          </w:p>
          <w:p w14:paraId="35D47F0C"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 xml:space="preserve">Setting national objectives aiming at dental caries prevention and health promotion, thereby minimizing the need for dental </w:t>
            </w:r>
            <w:proofErr w:type="gramStart"/>
            <w:r w:rsidRPr="00631C1C">
              <w:rPr>
                <w:rFonts w:asciiTheme="majorBidi" w:hAnsiTheme="majorBidi" w:cstheme="majorBidi"/>
                <w:sz w:val="18"/>
                <w:szCs w:val="18"/>
              </w:rPr>
              <w:t>restoration;</w:t>
            </w:r>
            <w:proofErr w:type="gramEnd"/>
            <w:r w:rsidRPr="00631C1C">
              <w:rPr>
                <w:rFonts w:asciiTheme="majorBidi" w:hAnsiTheme="majorBidi" w:cstheme="majorBidi"/>
                <w:sz w:val="18"/>
                <w:szCs w:val="18"/>
              </w:rPr>
              <w:t xml:space="preserve"> </w:t>
            </w:r>
          </w:p>
          <w:p w14:paraId="341ABDA9"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 xml:space="preserve">Setting national objectives aiming at minimizing its </w:t>
            </w:r>
            <w:proofErr w:type="gramStart"/>
            <w:r w:rsidRPr="00631C1C">
              <w:rPr>
                <w:rFonts w:asciiTheme="majorBidi" w:hAnsiTheme="majorBidi" w:cstheme="majorBidi"/>
                <w:sz w:val="18"/>
                <w:szCs w:val="18"/>
              </w:rPr>
              <w:t>use;</w:t>
            </w:r>
            <w:proofErr w:type="gramEnd"/>
          </w:p>
          <w:p w14:paraId="00EACF1F"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Promoting the use of cost-effective and clinically effective mercury</w:t>
            </w:r>
            <w:r w:rsidRPr="00631C1C">
              <w:rPr>
                <w:rFonts w:asciiTheme="majorBidi" w:hAnsiTheme="majorBidi" w:cstheme="majorBidi"/>
                <w:sz w:val="18"/>
                <w:szCs w:val="18"/>
              </w:rPr>
              <w:noBreakHyphen/>
              <w:t xml:space="preserve">free alternatives for dental </w:t>
            </w:r>
            <w:proofErr w:type="gramStart"/>
            <w:r w:rsidRPr="00631C1C">
              <w:rPr>
                <w:rFonts w:asciiTheme="majorBidi" w:hAnsiTheme="majorBidi" w:cstheme="majorBidi"/>
                <w:sz w:val="18"/>
                <w:szCs w:val="18"/>
              </w:rPr>
              <w:t>restoration;</w:t>
            </w:r>
            <w:proofErr w:type="gramEnd"/>
            <w:r w:rsidRPr="00631C1C">
              <w:rPr>
                <w:rFonts w:asciiTheme="majorBidi" w:hAnsiTheme="majorBidi" w:cstheme="majorBidi"/>
                <w:sz w:val="18"/>
                <w:szCs w:val="18"/>
              </w:rPr>
              <w:t xml:space="preserve"> </w:t>
            </w:r>
          </w:p>
          <w:p w14:paraId="4B1879C1" w14:textId="77777777" w:rsidR="00DB2767" w:rsidRPr="00B92164"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Promoting research and development of quality mercury</w:t>
            </w:r>
            <w:r w:rsidRPr="00631C1C">
              <w:rPr>
                <w:rFonts w:asciiTheme="majorBidi" w:hAnsiTheme="majorBidi" w:cstheme="majorBidi"/>
                <w:sz w:val="18"/>
                <w:szCs w:val="18"/>
              </w:rPr>
              <w:noBreakHyphen/>
              <w:t xml:space="preserve">free materials for dental </w:t>
            </w:r>
            <w:proofErr w:type="gramStart"/>
            <w:r w:rsidRPr="00631C1C">
              <w:rPr>
                <w:rFonts w:asciiTheme="majorBidi" w:hAnsiTheme="majorBidi" w:cstheme="majorBidi"/>
                <w:sz w:val="18"/>
                <w:szCs w:val="18"/>
              </w:rPr>
              <w:t>restoration;</w:t>
            </w:r>
            <w:proofErr w:type="gramEnd"/>
          </w:p>
          <w:p w14:paraId="0503C260"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Encouraging representative professional organizations and dental schools to educate and train dental professionals and students on the use of mercury</w:t>
            </w:r>
            <w:r w:rsidRPr="00631C1C">
              <w:rPr>
                <w:rFonts w:asciiTheme="majorBidi" w:hAnsiTheme="majorBidi" w:cstheme="majorBidi"/>
                <w:sz w:val="18"/>
                <w:szCs w:val="18"/>
              </w:rPr>
              <w:noBreakHyphen/>
              <w:t xml:space="preserve">free dental restoration alternatives and on promoting best management </w:t>
            </w:r>
            <w:proofErr w:type="gramStart"/>
            <w:r w:rsidRPr="00631C1C">
              <w:rPr>
                <w:rFonts w:asciiTheme="majorBidi" w:hAnsiTheme="majorBidi" w:cstheme="majorBidi"/>
                <w:sz w:val="18"/>
                <w:szCs w:val="18"/>
              </w:rPr>
              <w:t>practices;</w:t>
            </w:r>
            <w:proofErr w:type="gramEnd"/>
          </w:p>
          <w:p w14:paraId="7C4492F8"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bCs/>
                <w:sz w:val="18"/>
                <w:szCs w:val="18"/>
              </w:rPr>
              <w:t>D</w:t>
            </w:r>
            <w:r w:rsidRPr="00631C1C">
              <w:rPr>
                <w:rFonts w:asciiTheme="majorBidi" w:hAnsiTheme="majorBidi" w:cstheme="majorBidi"/>
                <w:sz w:val="18"/>
                <w:szCs w:val="18"/>
              </w:rPr>
              <w:t>iscouraging insurance policies and programmes that favour dental amalgam use over mercury</w:t>
            </w:r>
            <w:r w:rsidRPr="00631C1C">
              <w:rPr>
                <w:rFonts w:asciiTheme="majorBidi" w:hAnsiTheme="majorBidi" w:cstheme="majorBidi"/>
                <w:sz w:val="18"/>
                <w:szCs w:val="18"/>
              </w:rPr>
              <w:noBreakHyphen/>
              <w:t xml:space="preserve">free dental </w:t>
            </w:r>
            <w:proofErr w:type="gramStart"/>
            <w:r w:rsidRPr="00631C1C">
              <w:rPr>
                <w:rFonts w:asciiTheme="majorBidi" w:hAnsiTheme="majorBidi" w:cstheme="majorBidi"/>
                <w:sz w:val="18"/>
                <w:szCs w:val="18"/>
              </w:rPr>
              <w:t>restoration;</w:t>
            </w:r>
            <w:proofErr w:type="gramEnd"/>
            <w:r w:rsidRPr="00631C1C">
              <w:rPr>
                <w:rFonts w:asciiTheme="majorBidi" w:hAnsiTheme="majorBidi" w:cstheme="majorBidi"/>
                <w:sz w:val="18"/>
                <w:szCs w:val="18"/>
              </w:rPr>
              <w:t xml:space="preserve"> </w:t>
            </w:r>
          </w:p>
          <w:p w14:paraId="6DC739D7"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 xml:space="preserve">Encouraging insurance policies and programmes that favour the use of quality alternatives to dental amalgam for dental </w:t>
            </w:r>
            <w:proofErr w:type="gramStart"/>
            <w:r w:rsidRPr="00631C1C">
              <w:rPr>
                <w:rFonts w:asciiTheme="majorBidi" w:hAnsiTheme="majorBidi" w:cstheme="majorBidi"/>
                <w:sz w:val="18"/>
                <w:szCs w:val="18"/>
              </w:rPr>
              <w:t>restoration;</w:t>
            </w:r>
            <w:proofErr w:type="gramEnd"/>
          </w:p>
          <w:p w14:paraId="0F02CFCA"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 xml:space="preserve">Restricting the use of dental amalgam to its encapsulated </w:t>
            </w:r>
            <w:proofErr w:type="gramStart"/>
            <w:r w:rsidRPr="00631C1C">
              <w:rPr>
                <w:rFonts w:asciiTheme="majorBidi" w:hAnsiTheme="majorBidi" w:cstheme="majorBidi"/>
                <w:sz w:val="18"/>
                <w:szCs w:val="18"/>
              </w:rPr>
              <w:t>form;</w:t>
            </w:r>
            <w:proofErr w:type="gramEnd"/>
          </w:p>
          <w:p w14:paraId="79EA3466" w14:textId="77777777" w:rsidR="00DB2767" w:rsidRPr="00631C1C" w:rsidRDefault="00DB2767" w:rsidP="00F16F39">
            <w:pPr>
              <w:keepNext/>
              <w:keepLines/>
              <w:numPr>
                <w:ilvl w:val="0"/>
                <w:numId w:val="86"/>
              </w:numPr>
              <w:tabs>
                <w:tab w:val="left" w:pos="720"/>
              </w:tabs>
              <w:spacing w:before="40" w:after="40"/>
              <w:ind w:left="454" w:hanging="454"/>
              <w:rPr>
                <w:rFonts w:asciiTheme="majorBidi" w:hAnsiTheme="majorBidi" w:cstheme="majorBidi"/>
                <w:b/>
                <w:bCs/>
                <w:sz w:val="18"/>
                <w:szCs w:val="18"/>
              </w:rPr>
            </w:pPr>
            <w:r w:rsidRPr="00631C1C">
              <w:rPr>
                <w:rFonts w:asciiTheme="majorBidi" w:hAnsiTheme="majorBidi" w:cstheme="majorBidi"/>
                <w:sz w:val="18"/>
                <w:szCs w:val="18"/>
              </w:rPr>
              <w:t>Promoting the use of best environmental practices in dental facilities to reduce releases of mercury and mercury compounds to water and land.</w:t>
            </w:r>
          </w:p>
        </w:tc>
      </w:tr>
      <w:tr w:rsidR="00F234CD" w:rsidRPr="00631C1C" w14:paraId="3FDDA257" w14:textId="77777777" w:rsidTr="003417F0">
        <w:trPr>
          <w:trHeight w:val="57"/>
          <w:jc w:val="right"/>
        </w:trPr>
        <w:tc>
          <w:tcPr>
            <w:tcW w:w="2509" w:type="dxa"/>
            <w:vMerge/>
            <w:tcBorders>
              <w:top w:val="single" w:sz="4" w:space="0" w:color="auto"/>
              <w:left w:val="single" w:sz="4" w:space="0" w:color="auto"/>
              <w:bottom w:val="nil"/>
              <w:right w:val="single" w:sz="4" w:space="0" w:color="auto"/>
            </w:tcBorders>
            <w:vAlign w:val="center"/>
            <w:hideMark/>
          </w:tcPr>
          <w:p w14:paraId="11919026" w14:textId="77777777" w:rsidR="00DB2767" w:rsidRPr="00631C1C" w:rsidRDefault="00DB2767">
            <w:pPr>
              <w:tabs>
                <w:tab w:val="clear" w:pos="1247"/>
                <w:tab w:val="clear" w:pos="1814"/>
                <w:tab w:val="clear" w:pos="2381"/>
                <w:tab w:val="clear" w:pos="2948"/>
                <w:tab w:val="clear" w:pos="3515"/>
              </w:tabs>
              <w:rPr>
                <w:rFonts w:asciiTheme="majorBidi" w:hAnsiTheme="majorBidi" w:cstheme="majorBidi"/>
                <w:sz w:val="18"/>
                <w:szCs w:val="18"/>
              </w:rPr>
            </w:pPr>
          </w:p>
        </w:tc>
        <w:tc>
          <w:tcPr>
            <w:tcW w:w="5798" w:type="dxa"/>
            <w:tcBorders>
              <w:top w:val="nil"/>
              <w:left w:val="single" w:sz="4" w:space="0" w:color="auto"/>
              <w:bottom w:val="nil"/>
              <w:right w:val="single" w:sz="4" w:space="0" w:color="auto"/>
            </w:tcBorders>
            <w:hideMark/>
          </w:tcPr>
          <w:p w14:paraId="1853AE04" w14:textId="77777777" w:rsidR="00DB2767" w:rsidRPr="00631C1C" w:rsidRDefault="00DB2767">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631C1C">
              <w:rPr>
                <w:rFonts w:asciiTheme="majorBidi" w:hAnsiTheme="majorBidi" w:cstheme="majorBidi"/>
                <w:sz w:val="18"/>
                <w:szCs w:val="18"/>
              </w:rPr>
              <w:t>In addition, Parties shall:</w:t>
            </w:r>
          </w:p>
          <w:p w14:paraId="5D47895F" w14:textId="77777777" w:rsidR="00DB2767" w:rsidRPr="00631C1C" w:rsidRDefault="00DB2767" w:rsidP="00D929DB">
            <w:pPr>
              <w:numPr>
                <w:ilvl w:val="0"/>
                <w:numId w:val="87"/>
              </w:numPr>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 xml:space="preserve">Exclude or not allow, by taking measures as appropriate, the use of mercury in bulk form by dental </w:t>
            </w:r>
            <w:proofErr w:type="gramStart"/>
            <w:r w:rsidRPr="00631C1C">
              <w:rPr>
                <w:rFonts w:asciiTheme="majorBidi" w:hAnsiTheme="majorBidi" w:cstheme="majorBidi"/>
                <w:sz w:val="18"/>
                <w:szCs w:val="18"/>
              </w:rPr>
              <w:t>practitioners;</w:t>
            </w:r>
            <w:proofErr w:type="gramEnd"/>
            <w:r w:rsidRPr="00631C1C">
              <w:rPr>
                <w:rFonts w:asciiTheme="majorBidi" w:hAnsiTheme="majorBidi" w:cstheme="majorBidi"/>
                <w:sz w:val="18"/>
                <w:szCs w:val="18"/>
              </w:rPr>
              <w:t xml:space="preserve"> </w:t>
            </w:r>
          </w:p>
          <w:p w14:paraId="1C6DEB03" w14:textId="77777777" w:rsidR="00DB2767" w:rsidRPr="00631C1C" w:rsidRDefault="00DB2767" w:rsidP="00DB2767">
            <w:pPr>
              <w:numPr>
                <w:ilvl w:val="0"/>
                <w:numId w:val="87"/>
              </w:numPr>
              <w:spacing w:before="40" w:after="40"/>
              <w:ind w:left="454" w:hanging="454"/>
              <w:rPr>
                <w:rFonts w:asciiTheme="majorBidi" w:hAnsiTheme="majorBidi" w:cstheme="majorBidi"/>
                <w:sz w:val="18"/>
                <w:szCs w:val="18"/>
              </w:rPr>
            </w:pPr>
            <w:r w:rsidRPr="00631C1C">
              <w:rPr>
                <w:rFonts w:asciiTheme="majorBidi" w:hAnsiTheme="majorBidi" w:cstheme="majorBidi"/>
                <w:sz w:val="18"/>
                <w:szCs w:val="18"/>
              </w:rPr>
              <w:t>Exclude or not allow, by taking measures as appropriate, or recommend against the use of dental amalgam for the dental treatment of deciduous teeth, of patients under 15 years and of pregnant and breastfeeding women, except when considered necessary by the dental practitioner based on the needs of the patient.</w:t>
            </w:r>
          </w:p>
        </w:tc>
      </w:tr>
      <w:tr w:rsidR="00F234CD" w:rsidRPr="00631C1C" w14:paraId="68CEBEC5" w14:textId="77777777" w:rsidTr="003417F0">
        <w:trPr>
          <w:trHeight w:val="1086"/>
          <w:jc w:val="right"/>
        </w:trPr>
        <w:tc>
          <w:tcPr>
            <w:tcW w:w="2509" w:type="dxa"/>
            <w:vMerge w:val="restart"/>
            <w:tcBorders>
              <w:top w:val="nil"/>
              <w:left w:val="single" w:sz="4" w:space="0" w:color="auto"/>
              <w:bottom w:val="single" w:sz="12" w:space="0" w:color="auto"/>
              <w:right w:val="single" w:sz="4" w:space="0" w:color="auto"/>
            </w:tcBorders>
          </w:tcPr>
          <w:p w14:paraId="34A9ABB0" w14:textId="77777777" w:rsidR="00DB2767" w:rsidRPr="00F94282" w:rsidRDefault="00DB2767">
            <w:pPr>
              <w:snapToGrid w:val="0"/>
              <w:spacing w:before="40" w:after="40"/>
              <w:ind w:right="4060"/>
              <w:rPr>
                <w:rFonts w:asciiTheme="majorBidi" w:hAnsiTheme="majorBidi" w:cstheme="majorBidi"/>
                <w:sz w:val="18"/>
                <w:szCs w:val="18"/>
              </w:rPr>
            </w:pPr>
          </w:p>
        </w:tc>
        <w:tc>
          <w:tcPr>
            <w:tcW w:w="5798" w:type="dxa"/>
            <w:tcBorders>
              <w:top w:val="nil"/>
              <w:left w:val="single" w:sz="4" w:space="0" w:color="auto"/>
              <w:bottom w:val="single" w:sz="4" w:space="0" w:color="auto"/>
              <w:right w:val="single" w:sz="4" w:space="0" w:color="auto"/>
            </w:tcBorders>
            <w:hideMark/>
          </w:tcPr>
          <w:p w14:paraId="6C2C4EBC" w14:textId="77777777" w:rsidR="00DB2767" w:rsidRPr="00F94282" w:rsidRDefault="00DB2767">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F94282">
              <w:rPr>
                <w:rFonts w:asciiTheme="majorBidi" w:hAnsiTheme="majorBidi" w:cstheme="majorBidi"/>
                <w:sz w:val="18"/>
                <w:szCs w:val="18"/>
              </w:rPr>
              <w:t>In addition, Parties that have not yet phased out dental amalgam shall:</w:t>
            </w:r>
          </w:p>
          <w:p w14:paraId="7AD56D4B" w14:textId="77777777" w:rsidR="00DB2767" w:rsidRPr="00D929DB" w:rsidRDefault="00DB2767" w:rsidP="001B5B02">
            <w:pPr>
              <w:pStyle w:val="ListParagraph"/>
              <w:numPr>
                <w:ilvl w:val="0"/>
                <w:numId w:val="92"/>
              </w:numPr>
              <w:spacing w:before="40" w:after="40"/>
              <w:ind w:left="493" w:hanging="425"/>
              <w:rPr>
                <w:rFonts w:asciiTheme="majorBidi" w:hAnsiTheme="majorBidi" w:cstheme="majorBidi"/>
                <w:sz w:val="18"/>
                <w:szCs w:val="18"/>
              </w:rPr>
            </w:pPr>
            <w:r w:rsidRPr="00D929DB">
              <w:rPr>
                <w:rFonts w:asciiTheme="majorBidi" w:hAnsiTheme="majorBidi" w:cstheme="majorBidi"/>
                <w:sz w:val="18"/>
                <w:szCs w:val="18"/>
              </w:rPr>
              <w:t>Submit to the secretariat a national action plan or a report based on available information with respect to progress they have made or are making to phase down or phase out dental amalgam every four years as part of national reporting.</w:t>
            </w:r>
          </w:p>
        </w:tc>
      </w:tr>
      <w:tr w:rsidR="00F234CD" w:rsidRPr="00631C1C" w14:paraId="0E1C1F43" w14:textId="77777777" w:rsidTr="003417F0">
        <w:trPr>
          <w:trHeight w:val="778"/>
          <w:jc w:val="right"/>
        </w:trPr>
        <w:tc>
          <w:tcPr>
            <w:tcW w:w="2509" w:type="dxa"/>
            <w:vMerge/>
            <w:tcBorders>
              <w:top w:val="single" w:sz="4" w:space="0" w:color="auto"/>
              <w:left w:val="single" w:sz="4" w:space="0" w:color="auto"/>
              <w:bottom w:val="single" w:sz="12" w:space="0" w:color="auto"/>
              <w:right w:val="single" w:sz="4" w:space="0" w:color="auto"/>
            </w:tcBorders>
            <w:vAlign w:val="center"/>
            <w:hideMark/>
          </w:tcPr>
          <w:p w14:paraId="5E797464" w14:textId="77777777" w:rsidR="00DB2767" w:rsidRPr="00F94282" w:rsidRDefault="00DB2767">
            <w:pPr>
              <w:tabs>
                <w:tab w:val="clear" w:pos="1247"/>
                <w:tab w:val="clear" w:pos="1814"/>
                <w:tab w:val="clear" w:pos="2381"/>
                <w:tab w:val="clear" w:pos="2948"/>
                <w:tab w:val="clear" w:pos="3515"/>
              </w:tabs>
              <w:rPr>
                <w:rFonts w:asciiTheme="majorBidi" w:hAnsiTheme="majorBidi" w:cstheme="majorBidi"/>
                <w:sz w:val="18"/>
                <w:szCs w:val="18"/>
              </w:rPr>
            </w:pPr>
          </w:p>
        </w:tc>
        <w:tc>
          <w:tcPr>
            <w:tcW w:w="5798" w:type="dxa"/>
            <w:tcBorders>
              <w:top w:val="single" w:sz="4" w:space="0" w:color="auto"/>
              <w:left w:val="single" w:sz="4" w:space="0" w:color="auto"/>
              <w:bottom w:val="single" w:sz="12" w:space="0" w:color="auto"/>
              <w:right w:val="single" w:sz="4" w:space="0" w:color="auto"/>
            </w:tcBorders>
            <w:shd w:val="clear" w:color="auto" w:fill="D9D9D9"/>
            <w:hideMark/>
          </w:tcPr>
          <w:p w14:paraId="7472FE96" w14:textId="77777777" w:rsidR="00DB2767" w:rsidRPr="00F94282" w:rsidRDefault="00DB2767">
            <w:pPr>
              <w:spacing w:before="40" w:after="40"/>
              <w:rPr>
                <w:rFonts w:asciiTheme="majorBidi" w:hAnsiTheme="majorBidi" w:cstheme="majorBidi"/>
                <w:sz w:val="18"/>
                <w:szCs w:val="18"/>
              </w:rPr>
            </w:pPr>
            <w:r w:rsidRPr="00F94282">
              <w:rPr>
                <w:rFonts w:asciiTheme="majorBidi" w:hAnsiTheme="majorBidi" w:cstheme="majorBidi"/>
                <w:sz w:val="18"/>
                <w:szCs w:val="18"/>
              </w:rPr>
              <w:t>In addition, Parties that have not yet phased out dental amalgam shall:</w:t>
            </w:r>
          </w:p>
          <w:p w14:paraId="7A9DADA9" w14:textId="788E433C" w:rsidR="00DB2767" w:rsidRPr="00F94282" w:rsidRDefault="00DB2767" w:rsidP="001B5B02">
            <w:pPr>
              <w:pStyle w:val="Normal-pool-Table"/>
              <w:numPr>
                <w:ilvl w:val="0"/>
                <w:numId w:val="93"/>
              </w:numPr>
              <w:ind w:left="454" w:hanging="386"/>
            </w:pPr>
            <w:r w:rsidRPr="00F94282">
              <w:t>Take measures, as appropriate, to not allow, or significantly phase down, dental amalgam unless its use is considered necessary by the dental practitioner based on the needs of the patient.</w:t>
            </w:r>
          </w:p>
        </w:tc>
      </w:tr>
    </w:tbl>
    <w:p w14:paraId="67E81259" w14:textId="77777777" w:rsidR="00DB2767" w:rsidRPr="00631C1C" w:rsidRDefault="00DB2767" w:rsidP="00DB2767">
      <w:pPr>
        <w:pStyle w:val="NormalNonumber"/>
        <w:numPr>
          <w:ilvl w:val="0"/>
          <w:numId w:val="78"/>
        </w:numPr>
        <w:spacing w:before="240"/>
        <w:ind w:left="1247" w:firstLine="624"/>
        <w:rPr>
          <w:rFonts w:asciiTheme="majorBidi" w:hAnsiTheme="majorBidi" w:cstheme="majorBidi"/>
        </w:rPr>
      </w:pPr>
      <w:r w:rsidRPr="00631C1C">
        <w:rPr>
          <w:rFonts w:asciiTheme="majorBidi" w:hAnsiTheme="majorBidi" w:cstheme="majorBidi"/>
          <w:i/>
          <w:iCs/>
        </w:rPr>
        <w:t>Recognizes</w:t>
      </w:r>
      <w:r w:rsidRPr="00631C1C">
        <w:rPr>
          <w:rFonts w:asciiTheme="majorBidi" w:hAnsiTheme="majorBidi" w:cstheme="majorBidi"/>
        </w:rPr>
        <w:t xml:space="preserve"> that, for purposes of reporting, for those parties for which the amendment to part I of annex A has entered into force and which have not availed themselves of any exemptions available under article 6, reporting on part II would not be </w:t>
      </w:r>
      <w:proofErr w:type="gramStart"/>
      <w:r w:rsidRPr="00631C1C">
        <w:rPr>
          <w:rFonts w:asciiTheme="majorBidi" w:hAnsiTheme="majorBidi" w:cstheme="majorBidi"/>
        </w:rPr>
        <w:t>applicable;</w:t>
      </w:r>
      <w:proofErr w:type="gramEnd"/>
    </w:p>
    <w:p w14:paraId="06CA2541" w14:textId="77777777" w:rsidR="00234823" w:rsidRDefault="00DB2767" w:rsidP="00DB2767">
      <w:pPr>
        <w:pStyle w:val="NormalNonumber"/>
        <w:numPr>
          <w:ilvl w:val="0"/>
          <w:numId w:val="78"/>
        </w:numPr>
        <w:ind w:left="1247" w:firstLine="624"/>
        <w:rPr>
          <w:rFonts w:asciiTheme="majorBidi" w:hAnsiTheme="majorBidi" w:cstheme="majorBidi"/>
        </w:rPr>
        <w:sectPr w:rsidR="00234823"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iCs/>
        </w:rPr>
        <w:t xml:space="preserve">Requests </w:t>
      </w:r>
      <w:r w:rsidRPr="00631C1C">
        <w:rPr>
          <w:rFonts w:asciiTheme="majorBidi" w:hAnsiTheme="majorBidi" w:cstheme="majorBidi"/>
        </w:rPr>
        <w:t>the secretariat to draft a revised reporting format under article 21 to reflect the amendments to annex A and to revise the reporting guidance and the online electronic tool thereon.</w:t>
      </w:r>
    </w:p>
    <w:p w14:paraId="07066F07" w14:textId="1A5CD722" w:rsidR="00DB2767" w:rsidRPr="00631C1C" w:rsidRDefault="00DB2767">
      <w:pPr>
        <w:tabs>
          <w:tab w:val="clear" w:pos="1247"/>
          <w:tab w:val="clear" w:pos="1814"/>
          <w:tab w:val="clear" w:pos="2381"/>
          <w:tab w:val="clear" w:pos="2948"/>
          <w:tab w:val="clear" w:pos="3515"/>
        </w:tabs>
      </w:pPr>
      <w:r w:rsidRPr="00631C1C">
        <w:br w:type="page"/>
      </w:r>
    </w:p>
    <w:p w14:paraId="1CDE06F6" w14:textId="77777777" w:rsidR="00312042" w:rsidRPr="00631C1C" w:rsidRDefault="00312042" w:rsidP="00312042">
      <w:pPr>
        <w:pStyle w:val="CH2"/>
        <w:rPr>
          <w:rFonts w:asciiTheme="majorBidi" w:hAnsiTheme="majorBidi" w:cstheme="majorBidi"/>
        </w:rPr>
      </w:pPr>
      <w:bookmarkStart w:id="17" w:name="_Toc213853061"/>
      <w:r w:rsidRPr="00631C1C">
        <w:rPr>
          <w:rFonts w:asciiTheme="majorBidi" w:hAnsiTheme="majorBidi" w:cstheme="majorBidi"/>
        </w:rPr>
        <w:lastRenderedPageBreak/>
        <w:tab/>
      </w:r>
      <w:r w:rsidRPr="00631C1C">
        <w:rPr>
          <w:rFonts w:asciiTheme="majorBidi" w:hAnsiTheme="majorBidi" w:cstheme="majorBidi"/>
        </w:rPr>
        <w:tab/>
      </w:r>
      <w:bookmarkStart w:id="18" w:name="_Toc219712801"/>
      <w:r w:rsidRPr="00631C1C">
        <w:rPr>
          <w:rFonts w:asciiTheme="majorBidi" w:hAnsiTheme="majorBidi" w:cstheme="majorBidi"/>
        </w:rPr>
        <w:t>Decision MC-6/4: Advancing work related to mercury</w:t>
      </w:r>
      <w:r w:rsidRPr="00631C1C">
        <w:rPr>
          <w:rFonts w:asciiTheme="majorBidi" w:hAnsiTheme="majorBidi" w:cstheme="majorBidi"/>
        </w:rPr>
        <w:noBreakHyphen/>
        <w:t>added cosmetics</w:t>
      </w:r>
      <w:bookmarkEnd w:id="17"/>
      <w:bookmarkEnd w:id="18"/>
    </w:p>
    <w:p w14:paraId="0CBDC44F"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6720B0B9" w14:textId="3967811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that paragraph 1 of article 4 of the Minamata Convention on Mercury provides that parties shall not allow the manufacture, import or export of mercury-added cosmetics listed in </w:t>
      </w:r>
      <w:r w:rsidR="005A7F2F">
        <w:rPr>
          <w:rFonts w:asciiTheme="majorBidi" w:hAnsiTheme="majorBidi" w:cstheme="majorBidi"/>
        </w:rPr>
        <w:t xml:space="preserve">part I of </w:t>
      </w:r>
      <w:r w:rsidRPr="00631C1C">
        <w:rPr>
          <w:rFonts w:asciiTheme="majorBidi" w:hAnsiTheme="majorBidi" w:cstheme="majorBidi"/>
        </w:rPr>
        <w:t xml:space="preserve">annex A to the Convention after the phase-out date specified for those products, except where an exclusion is specified in annex A or the party has a registered exemption pursuant to article 6, </w:t>
      </w:r>
    </w:p>
    <w:p w14:paraId="6C289D3B" w14:textId="7B26F523"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that, despite the listing of cosmetics in annex A, some cosmetics not allowed under the Convention are finding their way into global commerce,</w:t>
      </w:r>
    </w:p>
    <w:p w14:paraId="6D24D7DE" w14:textId="3E867E34"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 xml:space="preserve">the work undertaken during the most recent intersessional period pursuant to decision MC-5/5, </w:t>
      </w:r>
    </w:p>
    <w:p w14:paraId="397A4E2B" w14:textId="48A46F26"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Welcomes </w:t>
      </w:r>
      <w:r w:rsidRPr="00631C1C">
        <w:rPr>
          <w:rFonts w:asciiTheme="majorBidi" w:hAnsiTheme="majorBidi" w:cstheme="majorBidi"/>
        </w:rPr>
        <w:t>the report on cosmetics listed in part I of annex A;</w:t>
      </w:r>
      <w:bookmarkStart w:id="19" w:name="_Hlk213162114"/>
      <w:r w:rsidR="00726D06" w:rsidRPr="00631C1C">
        <w:rPr>
          <w:rStyle w:val="FootnoteReference"/>
          <w:rFonts w:asciiTheme="majorBidi" w:hAnsiTheme="majorBidi" w:cstheme="majorBidi"/>
        </w:rPr>
        <w:footnoteReference w:id="12"/>
      </w:r>
    </w:p>
    <w:p w14:paraId="24159E77" w14:textId="7477D03F"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Encourages</w:t>
      </w:r>
      <w:r w:rsidRPr="00631C1C">
        <w:rPr>
          <w:rFonts w:asciiTheme="majorBidi" w:hAnsiTheme="majorBidi" w:cstheme="majorBidi"/>
          <w:iCs/>
        </w:rPr>
        <w:t xml:space="preserve"> parties without national legislation or other measures, or otherwise facing challenges in implementing their obligations regarding mercury-added cosmetics, to inform the secretariat and to consider the application of article 14 </w:t>
      </w:r>
      <w:r w:rsidR="00B82420">
        <w:rPr>
          <w:rFonts w:asciiTheme="majorBidi" w:hAnsiTheme="majorBidi" w:cstheme="majorBidi"/>
          <w:iCs/>
        </w:rPr>
        <w:t>and/</w:t>
      </w:r>
      <w:r w:rsidRPr="00631C1C">
        <w:rPr>
          <w:rFonts w:asciiTheme="majorBidi" w:hAnsiTheme="majorBidi" w:cstheme="majorBidi"/>
          <w:iCs/>
        </w:rPr>
        <w:t xml:space="preserve">or 15 to their </w:t>
      </w:r>
      <w:proofErr w:type="gramStart"/>
      <w:r w:rsidRPr="00631C1C">
        <w:rPr>
          <w:rFonts w:asciiTheme="majorBidi" w:hAnsiTheme="majorBidi" w:cstheme="majorBidi"/>
          <w:iCs/>
        </w:rPr>
        <w:t>situation;</w:t>
      </w:r>
      <w:bookmarkStart w:id="20" w:name="_Hlk213162322"/>
      <w:bookmarkEnd w:id="19"/>
      <w:proofErr w:type="gramEnd"/>
    </w:p>
    <w:p w14:paraId="6C6D02B6" w14:textId="67AFB767"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 xml:space="preserve">the Global Mercury Partnership to continue its efforts, in consultation with interested parties, to compile and disseminate information related to the presence of mercury in </w:t>
      </w:r>
      <w:proofErr w:type="gramStart"/>
      <w:r w:rsidRPr="00631C1C">
        <w:rPr>
          <w:rFonts w:asciiTheme="majorBidi" w:hAnsiTheme="majorBidi" w:cstheme="majorBidi"/>
        </w:rPr>
        <w:t>cosmetics;</w:t>
      </w:r>
      <w:proofErr w:type="gramEnd"/>
    </w:p>
    <w:p w14:paraId="2D0DE4E6" w14:textId="5B1BCC6C"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bookmarkStart w:id="21" w:name="_Hlk213162594"/>
      <w:bookmarkEnd w:id="20"/>
      <w:r w:rsidRPr="00631C1C">
        <w:rPr>
          <w:rFonts w:asciiTheme="majorBidi" w:hAnsiTheme="majorBidi" w:cstheme="majorBidi"/>
          <w:i/>
          <w:iCs/>
        </w:rPr>
        <w:t>Invites</w:t>
      </w:r>
      <w:r w:rsidRPr="00631C1C">
        <w:rPr>
          <w:rFonts w:asciiTheme="majorBidi" w:hAnsiTheme="majorBidi" w:cstheme="majorBidi"/>
        </w:rPr>
        <w:t xml:space="preserve"> the secretariat, subject to the availability of resources, and in collaboration with the Global Mercury Partnership, to gather and provide to the Conference of the Parties at its seventh meeting available information on mechanisms for supporting enforcement and the identification of the presence of mercury in cosmetics, including field sampling and analysis </w:t>
      </w:r>
      <w:proofErr w:type="gramStart"/>
      <w:r w:rsidRPr="00631C1C">
        <w:rPr>
          <w:rFonts w:asciiTheme="majorBidi" w:hAnsiTheme="majorBidi" w:cstheme="majorBidi"/>
        </w:rPr>
        <w:t>equipment;</w:t>
      </w:r>
      <w:proofErr w:type="gramEnd"/>
    </w:p>
    <w:p w14:paraId="09130ADF" w14:textId="547E3B8D"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Also invites </w:t>
      </w:r>
      <w:r w:rsidRPr="00631C1C">
        <w:rPr>
          <w:rFonts w:asciiTheme="majorBidi" w:hAnsiTheme="majorBidi" w:cstheme="majorBidi"/>
        </w:rPr>
        <w:t xml:space="preserve">the secretariat, subject to the availability of resources, to compile and synthesize the information provided by parties in their national reports, or submitted pursuant to paragraph 2 above, related to the challenges in preventing the manufacture, import and export of mercury-added cosmetics, including enforcement challenges, and to report on the matter to the Conference of the Parties at its seventh meeting; </w:t>
      </w:r>
    </w:p>
    <w:p w14:paraId="3A94D325" w14:textId="56A49C05"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Further invites</w:t>
      </w:r>
      <w:r w:rsidRPr="00631C1C">
        <w:rPr>
          <w:rFonts w:asciiTheme="majorBidi" w:hAnsiTheme="majorBidi" w:cstheme="majorBidi"/>
        </w:rPr>
        <w:t xml:space="preserve"> the secretariat, subject to the availability of resources, to work with the </w:t>
      </w:r>
      <w:r w:rsidR="004541FD" w:rsidRPr="00631C1C">
        <w:rPr>
          <w:rFonts w:asciiTheme="majorBidi" w:hAnsiTheme="majorBidi" w:cstheme="majorBidi"/>
        </w:rPr>
        <w:t>International Criminal Police Organization (INTERPOL)</w:t>
      </w:r>
      <w:r w:rsidR="004472EC">
        <w:rPr>
          <w:rFonts w:asciiTheme="majorBidi" w:hAnsiTheme="majorBidi" w:cstheme="majorBidi"/>
        </w:rPr>
        <w:t>,</w:t>
      </w:r>
      <w:r w:rsidR="004541FD" w:rsidRPr="00631C1C">
        <w:rPr>
          <w:rFonts w:asciiTheme="majorBidi" w:hAnsiTheme="majorBidi" w:cstheme="majorBidi"/>
        </w:rPr>
        <w:t xml:space="preserve"> </w:t>
      </w:r>
      <w:r w:rsidRPr="00631C1C">
        <w:rPr>
          <w:rFonts w:asciiTheme="majorBidi" w:hAnsiTheme="majorBidi" w:cstheme="majorBidi"/>
        </w:rPr>
        <w:t xml:space="preserve">the World Customs Organization and other relevant international organizations with expertise </w:t>
      </w:r>
      <w:r w:rsidR="00441DD5">
        <w:rPr>
          <w:rFonts w:asciiTheme="majorBidi" w:hAnsiTheme="majorBidi" w:cstheme="majorBidi"/>
        </w:rPr>
        <w:t>related to</w:t>
      </w:r>
      <w:r w:rsidRPr="00631C1C">
        <w:rPr>
          <w:rFonts w:asciiTheme="majorBidi" w:hAnsiTheme="majorBidi" w:cstheme="majorBidi"/>
        </w:rPr>
        <w:t xml:space="preserve"> the illegal trade of products to further investigate the major sources of manufacture, import and export of mercury-added cosmetics with greater than trace amounts or, for some parties, no more than 1 part per million of mercury that are no longer allowed under article 4, and to report on the matter to the Conference of the Parties at its seventh meeting, including in its report any specific proposals from the relevant international organizations;</w:t>
      </w:r>
    </w:p>
    <w:bookmarkEnd w:id="21"/>
    <w:p w14:paraId="7A750CE0" w14:textId="77777777"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rPr>
      </w:pPr>
      <w:r w:rsidRPr="00631C1C">
        <w:rPr>
          <w:rFonts w:asciiTheme="majorBidi" w:hAnsiTheme="majorBidi" w:cstheme="majorBidi"/>
          <w:i/>
        </w:rPr>
        <w:t>Invites</w:t>
      </w:r>
      <w:r w:rsidRPr="00631C1C">
        <w:rPr>
          <w:rFonts w:asciiTheme="majorBidi" w:hAnsiTheme="majorBidi" w:cstheme="majorBidi"/>
          <w:iCs/>
        </w:rPr>
        <w:t xml:space="preserve"> the World Health Organization to:</w:t>
      </w:r>
    </w:p>
    <w:p w14:paraId="777BF6CA" w14:textId="32845512" w:rsidR="00312042" w:rsidRPr="00631C1C"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Cs/>
        </w:rPr>
        <w:t xml:space="preserve">Consult with the United Nations Environment Programme and the Biodiversity Research Institute to provide lessons learned from the Global Environment Facility pilot project on the </w:t>
      </w:r>
      <w:r w:rsidRPr="00631C1C">
        <w:rPr>
          <w:rFonts w:asciiTheme="majorBidi" w:hAnsiTheme="majorBidi" w:cstheme="majorBidi"/>
        </w:rPr>
        <w:t xml:space="preserve">elimination of mercury-added cosmetics in Gabon, Jamaica and Sri </w:t>
      </w:r>
      <w:proofErr w:type="gramStart"/>
      <w:r w:rsidRPr="00631C1C">
        <w:rPr>
          <w:rFonts w:asciiTheme="majorBidi" w:hAnsiTheme="majorBidi" w:cstheme="majorBidi"/>
        </w:rPr>
        <w:t>Lanka;</w:t>
      </w:r>
      <w:proofErr w:type="gramEnd"/>
      <w:r w:rsidRPr="00631C1C">
        <w:rPr>
          <w:rFonts w:asciiTheme="majorBidi" w:hAnsiTheme="majorBidi" w:cstheme="majorBidi"/>
        </w:rPr>
        <w:t xml:space="preserve"> </w:t>
      </w:r>
    </w:p>
    <w:p w14:paraId="69B7A8AE" w14:textId="19C0624B" w:rsidR="00312042" w:rsidRPr="00631C1C"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Prepare, with support from the Global Mercury Partnership, an illustrative national public health system-wide strategy focused on reduction measures for mercury-added cosmetics, and for skin-lightening products that may not contain mercury, that parties may utilize </w:t>
      </w:r>
      <w:proofErr w:type="gramStart"/>
      <w:r w:rsidRPr="00631C1C">
        <w:rPr>
          <w:rFonts w:asciiTheme="majorBidi" w:hAnsiTheme="majorBidi" w:cstheme="majorBidi"/>
        </w:rPr>
        <w:t>domestically;</w:t>
      </w:r>
      <w:proofErr w:type="gramEnd"/>
    </w:p>
    <w:p w14:paraId="45CEFA72" w14:textId="09093BEF" w:rsidR="00312042" w:rsidRPr="00631C1C"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rPr>
        <w:t>Share the lessons learned and an outline of the strategy with the secretariat by 31 December 2026.</w:t>
      </w:r>
    </w:p>
    <w:p w14:paraId="306ABC16" w14:textId="77777777" w:rsidR="00312042" w:rsidRPr="00631C1C" w:rsidRDefault="00312042" w:rsidP="00312042">
      <w:pPr>
        <w:pStyle w:val="Normal-pool"/>
        <w:rPr>
          <w:rFonts w:asciiTheme="majorBidi" w:hAnsiTheme="majorBidi" w:cstheme="majorBidi"/>
        </w:rPr>
      </w:pPr>
      <w:r w:rsidRPr="00631C1C">
        <w:rPr>
          <w:rFonts w:asciiTheme="majorBidi" w:hAnsiTheme="majorBidi" w:cstheme="majorBidi"/>
        </w:rPr>
        <w:br w:type="page"/>
      </w:r>
    </w:p>
    <w:p w14:paraId="09BE5536" w14:textId="77777777" w:rsidR="00312042" w:rsidRPr="00631C1C" w:rsidRDefault="00312042" w:rsidP="00312042">
      <w:pPr>
        <w:pStyle w:val="CH2"/>
        <w:rPr>
          <w:rFonts w:asciiTheme="majorBidi" w:hAnsiTheme="majorBidi" w:cstheme="majorBidi"/>
        </w:rPr>
      </w:pPr>
      <w:bookmarkStart w:id="22" w:name="_Toc213853062"/>
      <w:r w:rsidRPr="00631C1C">
        <w:rPr>
          <w:rFonts w:asciiTheme="majorBidi" w:hAnsiTheme="majorBidi" w:cstheme="majorBidi"/>
        </w:rPr>
        <w:lastRenderedPageBreak/>
        <w:tab/>
      </w:r>
      <w:r w:rsidRPr="00631C1C">
        <w:rPr>
          <w:rFonts w:asciiTheme="majorBidi" w:hAnsiTheme="majorBidi" w:cstheme="majorBidi"/>
        </w:rPr>
        <w:tab/>
      </w:r>
      <w:bookmarkStart w:id="23" w:name="_Toc219712802"/>
      <w:r w:rsidRPr="00631C1C">
        <w:rPr>
          <w:rFonts w:asciiTheme="majorBidi" w:hAnsiTheme="majorBidi" w:cstheme="majorBidi"/>
        </w:rPr>
        <w:t>Decision MC-6/5: Consideration of the feasibility of mercury-free alternatives for manufacturing vinyl chloride monomer</w:t>
      </w:r>
      <w:bookmarkEnd w:id="22"/>
      <w:bookmarkEnd w:id="23"/>
    </w:p>
    <w:p w14:paraId="65D7BB74" w14:textId="77777777" w:rsidR="00312042" w:rsidRPr="00631C1C" w:rsidRDefault="00312042" w:rsidP="00312042">
      <w:pPr>
        <w:spacing w:after="120"/>
        <w:ind w:left="1260" w:firstLine="624"/>
        <w:rPr>
          <w:rFonts w:asciiTheme="majorBidi" w:hAnsiTheme="majorBidi" w:cstheme="majorBidi"/>
          <w:i/>
          <w:iCs/>
        </w:rPr>
      </w:pPr>
      <w:r w:rsidRPr="00631C1C">
        <w:rPr>
          <w:rFonts w:asciiTheme="majorBidi" w:hAnsiTheme="majorBidi" w:cstheme="majorBidi"/>
          <w:i/>
          <w:iCs/>
        </w:rPr>
        <w:t>The Conference of the Parties,</w:t>
      </w:r>
    </w:p>
    <w:p w14:paraId="203F2BE2" w14:textId="424CF94B"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the obligation, set out in paragraph 3 of article 5 of the Minamata Convention on Mercury, for each party to take measures to restrict the use of mercury or mercury compounds in the processes listed in part II of annex B</w:t>
      </w:r>
      <w:r w:rsidR="00D61D2B" w:rsidRPr="00631C1C">
        <w:rPr>
          <w:rFonts w:asciiTheme="majorBidi" w:hAnsiTheme="majorBidi" w:cstheme="majorBidi"/>
        </w:rPr>
        <w:t xml:space="preserve"> to the Convention</w:t>
      </w:r>
      <w:r w:rsidRPr="00631C1C">
        <w:rPr>
          <w:rFonts w:asciiTheme="majorBidi" w:hAnsiTheme="majorBidi" w:cstheme="majorBidi"/>
        </w:rPr>
        <w:t xml:space="preserve">, which, in the case of vinyl chloride monomer production, includes reporting to the Conference of the Parties on </w:t>
      </w:r>
      <w:r w:rsidR="00B04641">
        <w:rPr>
          <w:rFonts w:asciiTheme="majorBidi" w:hAnsiTheme="majorBidi" w:cstheme="majorBidi"/>
        </w:rPr>
        <w:t xml:space="preserve">the </w:t>
      </w:r>
      <w:r w:rsidRPr="00631C1C">
        <w:rPr>
          <w:rFonts w:asciiTheme="majorBidi" w:hAnsiTheme="majorBidi" w:cstheme="majorBidi"/>
        </w:rPr>
        <w:t>part</w:t>
      </w:r>
      <w:r w:rsidR="00CB12B4">
        <w:rPr>
          <w:rFonts w:asciiTheme="majorBidi" w:hAnsiTheme="majorBidi" w:cstheme="majorBidi"/>
        </w:rPr>
        <w:t>y</w:t>
      </w:r>
      <w:r w:rsidRPr="00631C1C">
        <w:rPr>
          <w:rFonts w:asciiTheme="majorBidi" w:hAnsiTheme="majorBidi" w:cstheme="majorBidi"/>
        </w:rPr>
        <w:t>’</w:t>
      </w:r>
      <w:r w:rsidR="00CB12B4">
        <w:rPr>
          <w:rFonts w:asciiTheme="majorBidi" w:hAnsiTheme="majorBidi" w:cstheme="majorBidi"/>
        </w:rPr>
        <w:t>s</w:t>
      </w:r>
      <w:r w:rsidRPr="00631C1C">
        <w:rPr>
          <w:rFonts w:asciiTheme="majorBidi" w:hAnsiTheme="majorBidi" w:cstheme="majorBidi"/>
        </w:rPr>
        <w:t xml:space="preserve"> efforts to develop and/or identify alternatives and phase out mercury use in accordance with article 21,</w:t>
      </w:r>
    </w:p>
    <w:p w14:paraId="32832F4E" w14:textId="1B3086A3"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part II of annex B lists vinyl chloride monomer production and measures to be taken by the parties, including not allowing the use of mercury in vinyl chloride monomer production five years after the Conference of the Parties has established that mercury-free catalysts based on existing processes have become technically and economically feasible,</w:t>
      </w:r>
    </w:p>
    <w:p w14:paraId="6DBA91A2" w14:textId="6C123453"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the work undertaken during the latest intersessional period pursuant to decision MC</w:t>
      </w:r>
      <w:r w:rsidR="004A22D4" w:rsidRPr="00631C1C">
        <w:rPr>
          <w:rFonts w:asciiTheme="majorBidi" w:hAnsiTheme="majorBidi" w:cstheme="majorBidi"/>
        </w:rPr>
        <w:t>-</w:t>
      </w:r>
      <w:r w:rsidRPr="00631C1C">
        <w:rPr>
          <w:rFonts w:asciiTheme="majorBidi" w:hAnsiTheme="majorBidi" w:cstheme="majorBidi"/>
        </w:rPr>
        <w:t>5/6,</w:t>
      </w:r>
    </w:p>
    <w:p w14:paraId="2971ECF0" w14:textId="2091B532"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bookmarkStart w:id="24" w:name="_Hlk217065927"/>
      <w:r w:rsidRPr="00631C1C">
        <w:rPr>
          <w:rFonts w:asciiTheme="majorBidi" w:hAnsiTheme="majorBidi" w:cstheme="majorBidi"/>
          <w:i/>
          <w:iCs/>
        </w:rPr>
        <w:t>Welcomes</w:t>
      </w:r>
      <w:r w:rsidRPr="00631C1C">
        <w:rPr>
          <w:rFonts w:asciiTheme="majorBidi" w:hAnsiTheme="majorBidi" w:cstheme="majorBidi"/>
        </w:rPr>
        <w:t xml:space="preserve"> the report on the economic and technical feasibility of mercury-free catalysts in vinyl chloride monomer production</w:t>
      </w:r>
      <w:bookmarkEnd w:id="24"/>
      <w:r w:rsidRPr="00631C1C">
        <w:rPr>
          <w:rFonts w:asciiTheme="majorBidi" w:hAnsiTheme="majorBidi" w:cstheme="majorBidi"/>
        </w:rPr>
        <w:t>;</w:t>
      </w:r>
      <w:r w:rsidR="00476C29">
        <w:rPr>
          <w:rStyle w:val="FootnoteReference"/>
          <w:rFonts w:cstheme="majorBidi"/>
        </w:rPr>
        <w:footnoteReference w:id="13"/>
      </w:r>
    </w:p>
    <w:p w14:paraId="129B7B0C" w14:textId="7B4DD2C5"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r w:rsidRPr="00631C1C">
        <w:rPr>
          <w:rFonts w:asciiTheme="majorBidi" w:hAnsiTheme="majorBidi" w:cstheme="majorBidi"/>
          <w:i/>
          <w:iCs/>
        </w:rPr>
        <w:t>Notes with appreciation</w:t>
      </w:r>
      <w:r w:rsidRPr="00631C1C">
        <w:rPr>
          <w:rFonts w:asciiTheme="majorBidi" w:hAnsiTheme="majorBidi" w:cstheme="majorBidi"/>
        </w:rPr>
        <w:t xml:space="preserve"> t</w:t>
      </w:r>
      <w:r w:rsidRPr="00631C1C">
        <w:rPr>
          <w:rFonts w:asciiTheme="majorBidi" w:hAnsiTheme="majorBidi" w:cstheme="majorBidi"/>
          <w:iCs/>
        </w:rPr>
        <w:t>he</w:t>
      </w:r>
      <w:r w:rsidRPr="00631C1C">
        <w:rPr>
          <w:rFonts w:asciiTheme="majorBidi" w:hAnsiTheme="majorBidi" w:cstheme="majorBidi"/>
        </w:rPr>
        <w:t xml:space="preserve"> </w:t>
      </w:r>
      <w:r w:rsidRPr="00631C1C">
        <w:rPr>
          <w:rFonts w:asciiTheme="majorBidi" w:hAnsiTheme="majorBidi" w:cstheme="majorBidi"/>
          <w:iCs/>
        </w:rPr>
        <w:t>progress</w:t>
      </w:r>
      <w:r w:rsidRPr="00631C1C">
        <w:rPr>
          <w:rFonts w:asciiTheme="majorBidi" w:hAnsiTheme="majorBidi" w:cstheme="majorBidi"/>
        </w:rPr>
        <w:t xml:space="preserve"> </w:t>
      </w:r>
      <w:r w:rsidRPr="00631C1C">
        <w:rPr>
          <w:rFonts w:asciiTheme="majorBidi" w:hAnsiTheme="majorBidi" w:cstheme="majorBidi"/>
          <w:iCs/>
        </w:rPr>
        <w:t xml:space="preserve">reported in eliminating the use of mercury in </w:t>
      </w:r>
      <w:r w:rsidRPr="00631C1C">
        <w:rPr>
          <w:rFonts w:asciiTheme="majorBidi" w:hAnsiTheme="majorBidi" w:cstheme="majorBidi"/>
        </w:rPr>
        <w:t xml:space="preserve">vinyl chloride monomer </w:t>
      </w:r>
      <w:proofErr w:type="gramStart"/>
      <w:r w:rsidRPr="00631C1C">
        <w:rPr>
          <w:rFonts w:asciiTheme="majorBidi" w:hAnsiTheme="majorBidi" w:cstheme="majorBidi"/>
        </w:rPr>
        <w:t>production;</w:t>
      </w:r>
      <w:proofErr w:type="gramEnd"/>
    </w:p>
    <w:p w14:paraId="71CC3640" w14:textId="648546FE"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r w:rsidRPr="00631C1C">
        <w:rPr>
          <w:rFonts w:asciiTheme="majorBidi" w:hAnsiTheme="majorBidi" w:cstheme="majorBidi"/>
          <w:i/>
        </w:rPr>
        <w:t xml:space="preserve">Notes </w:t>
      </w:r>
      <w:r w:rsidRPr="00631C1C">
        <w:rPr>
          <w:rFonts w:asciiTheme="majorBidi" w:hAnsiTheme="majorBidi" w:cstheme="majorBidi"/>
        </w:rPr>
        <w:t xml:space="preserve">that it </w:t>
      </w:r>
      <w:r w:rsidRPr="00631C1C">
        <w:rPr>
          <w:rFonts w:asciiTheme="majorBidi" w:hAnsiTheme="majorBidi" w:cstheme="majorBidi"/>
          <w:iCs/>
        </w:rPr>
        <w:t xml:space="preserve">has not been possible to reach consensus </w:t>
      </w:r>
      <w:r w:rsidR="00A22E8F" w:rsidRPr="00631C1C">
        <w:rPr>
          <w:rFonts w:asciiTheme="majorBidi" w:hAnsiTheme="majorBidi" w:cstheme="majorBidi"/>
          <w:iCs/>
        </w:rPr>
        <w:t xml:space="preserve">in </w:t>
      </w:r>
      <w:r w:rsidRPr="00631C1C">
        <w:rPr>
          <w:rFonts w:asciiTheme="majorBidi" w:hAnsiTheme="majorBidi" w:cstheme="majorBidi"/>
          <w:iCs/>
        </w:rPr>
        <w:t>establish</w:t>
      </w:r>
      <w:r w:rsidR="00A22E8F" w:rsidRPr="00631C1C">
        <w:rPr>
          <w:rFonts w:asciiTheme="majorBidi" w:hAnsiTheme="majorBidi" w:cstheme="majorBidi"/>
          <w:iCs/>
        </w:rPr>
        <w:t>ing</w:t>
      </w:r>
      <w:r w:rsidRPr="00631C1C">
        <w:rPr>
          <w:rFonts w:asciiTheme="majorBidi" w:hAnsiTheme="majorBidi" w:cstheme="majorBidi"/>
          <w:iCs/>
        </w:rPr>
        <w:t xml:space="preserve"> t</w:t>
      </w:r>
      <w:r w:rsidRPr="00631C1C">
        <w:rPr>
          <w:rFonts w:asciiTheme="majorBidi" w:hAnsiTheme="majorBidi" w:cstheme="majorBidi"/>
        </w:rPr>
        <w:t xml:space="preserve">he economic and technical feasibility of mercury-free catalysts in vinyl chloride monomer production at </w:t>
      </w:r>
      <w:r w:rsidR="006C56D8" w:rsidRPr="00631C1C">
        <w:rPr>
          <w:rFonts w:asciiTheme="majorBidi" w:hAnsiTheme="majorBidi" w:cstheme="majorBidi"/>
        </w:rPr>
        <w:t xml:space="preserve">the current </w:t>
      </w:r>
      <w:proofErr w:type="gramStart"/>
      <w:r w:rsidRPr="00631C1C">
        <w:rPr>
          <w:rFonts w:asciiTheme="majorBidi" w:hAnsiTheme="majorBidi" w:cstheme="majorBidi"/>
        </w:rPr>
        <w:t>meeting;</w:t>
      </w:r>
      <w:proofErr w:type="gramEnd"/>
    </w:p>
    <w:p w14:paraId="424A2C9C" w14:textId="38F4E78B" w:rsidR="00312042" w:rsidRPr="00631C1C" w:rsidRDefault="00312042" w:rsidP="00312042">
      <w:pPr>
        <w:numPr>
          <w:ilvl w:val="0"/>
          <w:numId w:val="45"/>
        </w:numPr>
        <w:tabs>
          <w:tab w:val="left" w:pos="624"/>
        </w:tabs>
        <w:spacing w:after="120"/>
        <w:ind w:left="1260" w:firstLine="624"/>
        <w:rPr>
          <w:rFonts w:asciiTheme="majorBidi" w:hAnsiTheme="majorBidi" w:cstheme="majorBidi"/>
          <w:iCs/>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rPr>
        <w:t xml:space="preserve">Agrees </w:t>
      </w:r>
      <w:r w:rsidRPr="00631C1C">
        <w:rPr>
          <w:rFonts w:asciiTheme="majorBidi" w:hAnsiTheme="majorBidi" w:cstheme="majorBidi"/>
          <w:iCs/>
        </w:rPr>
        <w:t>to reconsider the issue at its next meeting.</w:t>
      </w:r>
    </w:p>
    <w:p w14:paraId="329E4426" w14:textId="77777777" w:rsidR="00312042" w:rsidRPr="00631C1C" w:rsidRDefault="00312042" w:rsidP="00312042">
      <w:pPr>
        <w:pStyle w:val="Normal-pool"/>
        <w:rPr>
          <w:rFonts w:asciiTheme="majorBidi" w:hAnsiTheme="majorBidi" w:cstheme="majorBidi"/>
        </w:rPr>
      </w:pPr>
      <w:r w:rsidRPr="00631C1C">
        <w:rPr>
          <w:rFonts w:asciiTheme="majorBidi" w:hAnsiTheme="majorBidi" w:cstheme="majorBidi"/>
        </w:rPr>
        <w:br w:type="page"/>
      </w:r>
    </w:p>
    <w:p w14:paraId="7CA939B9" w14:textId="77777777" w:rsidR="00312042" w:rsidRPr="00631C1C" w:rsidRDefault="00312042" w:rsidP="00312042">
      <w:pPr>
        <w:pStyle w:val="CH2"/>
        <w:rPr>
          <w:rFonts w:asciiTheme="majorBidi" w:hAnsiTheme="majorBidi" w:cstheme="majorBidi"/>
        </w:rPr>
      </w:pPr>
      <w:bookmarkStart w:id="25" w:name="_Toc213853063"/>
      <w:r w:rsidRPr="00631C1C">
        <w:rPr>
          <w:rFonts w:asciiTheme="majorBidi" w:hAnsiTheme="majorBidi" w:cstheme="majorBidi"/>
        </w:rPr>
        <w:lastRenderedPageBreak/>
        <w:tab/>
      </w:r>
      <w:r w:rsidRPr="00631C1C">
        <w:rPr>
          <w:rFonts w:asciiTheme="majorBidi" w:hAnsiTheme="majorBidi" w:cstheme="majorBidi"/>
        </w:rPr>
        <w:tab/>
      </w:r>
      <w:bookmarkStart w:id="26" w:name="_Toc219712803"/>
      <w:r w:rsidRPr="00631C1C">
        <w:rPr>
          <w:rFonts w:asciiTheme="majorBidi" w:hAnsiTheme="majorBidi" w:cstheme="majorBidi"/>
        </w:rPr>
        <w:t>Decision MC-6/6: Timeline for considering requests by parties for extensions of exemptions</w:t>
      </w:r>
      <w:bookmarkEnd w:id="25"/>
      <w:bookmarkEnd w:id="26"/>
    </w:p>
    <w:p w14:paraId="031858D6"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5814A923" w14:textId="318612BC"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for the purpose of facilitating parties’ requests for extensions of exemptions under paragraph 6 of article 6 of the </w:t>
      </w:r>
      <w:r w:rsidR="00201F4C" w:rsidRPr="00631C1C">
        <w:rPr>
          <w:rFonts w:asciiTheme="majorBidi" w:hAnsiTheme="majorBidi" w:cstheme="majorBidi"/>
        </w:rPr>
        <w:t xml:space="preserve">Minamata </w:t>
      </w:r>
      <w:r w:rsidRPr="00631C1C">
        <w:rPr>
          <w:rFonts w:asciiTheme="majorBidi" w:hAnsiTheme="majorBidi" w:cstheme="majorBidi"/>
        </w:rPr>
        <w:t>Convention</w:t>
      </w:r>
      <w:r w:rsidR="00201F4C" w:rsidRPr="00631C1C">
        <w:rPr>
          <w:rFonts w:asciiTheme="majorBidi" w:hAnsiTheme="majorBidi" w:cstheme="majorBidi"/>
        </w:rPr>
        <w:t xml:space="preserve"> on Mercury</w:t>
      </w:r>
      <w:r w:rsidRPr="00631C1C">
        <w:rPr>
          <w:rFonts w:asciiTheme="majorBidi" w:hAnsiTheme="majorBidi" w:cstheme="majorBidi"/>
        </w:rPr>
        <w:t>, the timeline set out in the annex to the present decision.</w:t>
      </w:r>
    </w:p>
    <w:p w14:paraId="2BA981AE" w14:textId="77777777" w:rsidR="00312042" w:rsidRPr="00631C1C" w:rsidRDefault="00312042" w:rsidP="00DD1A7D">
      <w:pPr>
        <w:pStyle w:val="CH2"/>
      </w:pPr>
      <w:r w:rsidRPr="00631C1C">
        <w:tab/>
      </w:r>
      <w:r w:rsidRPr="00631C1C">
        <w:tab/>
      </w:r>
      <w:bookmarkStart w:id="27" w:name="_Toc216165200"/>
      <w:r w:rsidRPr="00631C1C">
        <w:t>Annex to decision MC-6/6</w:t>
      </w:r>
      <w:bookmarkEnd w:id="27"/>
    </w:p>
    <w:p w14:paraId="20E0B226" w14:textId="16D1DFE2"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Any request for an extension of an exemption should preferably be submitted at least </w:t>
      </w:r>
      <w:r w:rsidR="00BA046B" w:rsidRPr="00631C1C">
        <w:rPr>
          <w:rFonts w:asciiTheme="majorBidi" w:hAnsiTheme="majorBidi" w:cstheme="majorBidi"/>
        </w:rPr>
        <w:t xml:space="preserve">six </w:t>
      </w:r>
      <w:r w:rsidRPr="00631C1C">
        <w:rPr>
          <w:rFonts w:asciiTheme="majorBidi" w:hAnsiTheme="majorBidi" w:cstheme="majorBidi"/>
        </w:rPr>
        <w:t>months, but no less than two months, before the last meeting of the Conference of the Parties held before the expiry date of the exemption.</w:t>
      </w:r>
    </w:p>
    <w:p w14:paraId="671F2FA6" w14:textId="0C8696AE"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The request is expected to contain the information specified in paragraph 6 (a), (b) and (c) of article 6 of the </w:t>
      </w:r>
      <w:r w:rsidR="00AD2C02" w:rsidRPr="00631C1C">
        <w:rPr>
          <w:rFonts w:asciiTheme="majorBidi" w:hAnsiTheme="majorBidi" w:cstheme="majorBidi"/>
        </w:rPr>
        <w:t xml:space="preserve">Minamata </w:t>
      </w:r>
      <w:r w:rsidRPr="00631C1C">
        <w:rPr>
          <w:rFonts w:asciiTheme="majorBidi" w:hAnsiTheme="majorBidi" w:cstheme="majorBidi"/>
        </w:rPr>
        <w:t>Convention</w:t>
      </w:r>
      <w:r w:rsidR="00AD2C02" w:rsidRPr="00631C1C">
        <w:rPr>
          <w:rFonts w:asciiTheme="majorBidi" w:hAnsiTheme="majorBidi" w:cstheme="majorBidi"/>
        </w:rPr>
        <w:t xml:space="preserve"> on Mercury</w:t>
      </w:r>
      <w:r w:rsidRPr="00631C1C">
        <w:rPr>
          <w:rFonts w:asciiTheme="majorBidi" w:hAnsiTheme="majorBidi" w:cstheme="majorBidi"/>
        </w:rPr>
        <w:t xml:space="preserve"> for each mercury-added product or process included in the request so that the Conference of the Parties can fully consider the request.</w:t>
      </w:r>
    </w:p>
    <w:p w14:paraId="3273D6F6" w14:textId="77777777"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The secretariat may consult as needed with the party submitting the extension request.</w:t>
      </w:r>
    </w:p>
    <w:p w14:paraId="210A652C" w14:textId="1DD5CA3C"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E84D8D">
          <w:type w:val="continuous"/>
          <w:pgSz w:w="11906" w:h="16838" w:code="9"/>
          <w:pgMar w:top="907" w:right="992" w:bottom="1418" w:left="1418" w:header="539" w:footer="975" w:gutter="0"/>
          <w:cols w:space="539"/>
          <w:docGrid w:linePitch="360"/>
        </w:sectPr>
      </w:pPr>
      <w:r w:rsidRPr="00631C1C">
        <w:rPr>
          <w:rFonts w:asciiTheme="majorBidi" w:hAnsiTheme="majorBidi" w:cstheme="majorBidi"/>
        </w:rPr>
        <w:t>The request will be considered by the Conference of the Parties at its next meeting following the submission of the request.</w:t>
      </w:r>
    </w:p>
    <w:p w14:paraId="26D81F9A" w14:textId="77777777" w:rsidR="00312042" w:rsidRPr="00631C1C" w:rsidRDefault="00312042" w:rsidP="00312042">
      <w:pPr>
        <w:pStyle w:val="Normal-pool"/>
      </w:pPr>
      <w:r w:rsidRPr="00631C1C">
        <w:br w:type="page"/>
      </w:r>
    </w:p>
    <w:p w14:paraId="4C412FE3" w14:textId="0E03D31A" w:rsidR="00312042" w:rsidRPr="00631C1C" w:rsidRDefault="00312042" w:rsidP="00F234CD">
      <w:pPr>
        <w:pStyle w:val="CH2"/>
        <w:tabs>
          <w:tab w:val="right" w:pos="8872"/>
        </w:tabs>
        <w:rPr>
          <w:rFonts w:asciiTheme="majorBidi" w:hAnsiTheme="majorBidi" w:cstheme="majorBidi"/>
        </w:rPr>
      </w:pPr>
      <w:bookmarkStart w:id="28" w:name="_Toc213853064"/>
      <w:r w:rsidRPr="00631C1C">
        <w:rPr>
          <w:rFonts w:asciiTheme="majorBidi" w:hAnsiTheme="majorBidi" w:cstheme="majorBidi"/>
        </w:rPr>
        <w:lastRenderedPageBreak/>
        <w:tab/>
      </w:r>
      <w:r w:rsidRPr="00631C1C">
        <w:rPr>
          <w:rFonts w:asciiTheme="majorBidi" w:hAnsiTheme="majorBidi" w:cstheme="majorBidi"/>
        </w:rPr>
        <w:tab/>
      </w:r>
      <w:bookmarkStart w:id="29" w:name="_Toc219712804"/>
      <w:r w:rsidRPr="00631C1C">
        <w:rPr>
          <w:rFonts w:asciiTheme="majorBidi" w:hAnsiTheme="majorBidi" w:cstheme="majorBidi"/>
        </w:rPr>
        <w:t>Decision MC-6/7: Extensions of exemptions</w:t>
      </w:r>
      <w:bookmarkEnd w:id="28"/>
      <w:bookmarkEnd w:id="29"/>
    </w:p>
    <w:p w14:paraId="7BD6E23D" w14:textId="77777777" w:rsidR="00312042" w:rsidRPr="00631C1C" w:rsidRDefault="00312042" w:rsidP="00312042">
      <w:pPr>
        <w:spacing w:after="120"/>
        <w:ind w:left="1247" w:firstLine="624"/>
        <w:rPr>
          <w:rFonts w:asciiTheme="majorBidi" w:hAnsiTheme="majorBidi" w:cstheme="majorBidi"/>
          <w:i/>
        </w:rPr>
      </w:pPr>
      <w:r w:rsidRPr="00631C1C">
        <w:rPr>
          <w:rFonts w:asciiTheme="majorBidi" w:hAnsiTheme="majorBidi" w:cstheme="majorBidi"/>
          <w:i/>
        </w:rPr>
        <w:t>The Conference of the Parties,</w:t>
      </w:r>
    </w:p>
    <w:p w14:paraId="7DB24900" w14:textId="7B36882A" w:rsidR="00312042" w:rsidRPr="00631C1C" w:rsidRDefault="00312042" w:rsidP="00312042">
      <w:pPr>
        <w:spacing w:after="120"/>
        <w:ind w:left="1247" w:firstLine="624"/>
        <w:rPr>
          <w:rFonts w:asciiTheme="majorBidi" w:hAnsiTheme="majorBidi" w:cstheme="majorBidi"/>
        </w:rPr>
      </w:pPr>
      <w:r w:rsidRPr="006DD1C7">
        <w:rPr>
          <w:rFonts w:asciiTheme="majorBidi" w:hAnsiTheme="majorBidi" w:cstheme="majorBidi"/>
          <w:i/>
          <w:iCs/>
        </w:rPr>
        <w:t xml:space="preserve">Noting </w:t>
      </w:r>
      <w:r w:rsidRPr="00631C1C">
        <w:rPr>
          <w:rFonts w:asciiTheme="majorBidi" w:hAnsiTheme="majorBidi" w:cstheme="majorBidi"/>
        </w:rPr>
        <w:t xml:space="preserve">that paragraph 6 of article 6 of the Minamata Convention on Mercury provides that the Conference of the Parties may, at the request of a party, decide to extend an exemption from the </w:t>
      </w:r>
      <w:r w:rsidR="002B4DB8" w:rsidRPr="00631C1C">
        <w:rPr>
          <w:rFonts w:asciiTheme="majorBidi" w:hAnsiTheme="majorBidi" w:cstheme="majorBidi"/>
        </w:rPr>
        <w:t xml:space="preserve">relevant </w:t>
      </w:r>
      <w:r w:rsidRPr="006DD1C7">
        <w:rPr>
          <w:rFonts w:asciiTheme="majorBidi" w:hAnsiTheme="majorBidi" w:cstheme="majorBidi"/>
        </w:rPr>
        <w:t>phase</w:t>
      </w:r>
      <w:r w:rsidR="000472A2">
        <w:rPr>
          <w:rFonts w:asciiTheme="majorBidi" w:hAnsiTheme="majorBidi" w:cstheme="majorBidi"/>
        </w:rPr>
        <w:t>-</w:t>
      </w:r>
      <w:r w:rsidRPr="006DD1C7">
        <w:rPr>
          <w:rFonts w:asciiTheme="majorBidi" w:hAnsiTheme="majorBidi" w:cstheme="majorBidi"/>
        </w:rPr>
        <w:t>out</w:t>
      </w:r>
      <w:r w:rsidRPr="00631C1C">
        <w:rPr>
          <w:rFonts w:asciiTheme="majorBidi" w:hAnsiTheme="majorBidi" w:cstheme="majorBidi"/>
        </w:rPr>
        <w:t xml:space="preserve"> date listed in annex A </w:t>
      </w:r>
      <w:r w:rsidR="002B4DB8" w:rsidRPr="00631C1C">
        <w:rPr>
          <w:rFonts w:asciiTheme="majorBidi" w:hAnsiTheme="majorBidi" w:cstheme="majorBidi"/>
        </w:rPr>
        <w:t xml:space="preserve">or </w:t>
      </w:r>
      <w:r w:rsidRPr="00631C1C">
        <w:rPr>
          <w:rFonts w:asciiTheme="majorBidi" w:hAnsiTheme="majorBidi" w:cstheme="majorBidi"/>
        </w:rPr>
        <w:t>B</w:t>
      </w:r>
      <w:r w:rsidR="002B4DB8" w:rsidRPr="00631C1C">
        <w:rPr>
          <w:rFonts w:asciiTheme="majorBidi" w:hAnsiTheme="majorBidi" w:cstheme="majorBidi"/>
        </w:rPr>
        <w:t xml:space="preserve"> to the Convention</w:t>
      </w:r>
      <w:r w:rsidRPr="00631C1C">
        <w:rPr>
          <w:rFonts w:asciiTheme="majorBidi" w:hAnsiTheme="majorBidi" w:cstheme="majorBidi"/>
        </w:rPr>
        <w:t>,</w:t>
      </w:r>
    </w:p>
    <w:p w14:paraId="3BA7752B" w14:textId="0AD43D29" w:rsidR="00312042" w:rsidRPr="00631C1C" w:rsidRDefault="00312042" w:rsidP="00312042">
      <w:pPr>
        <w:spacing w:after="120"/>
        <w:ind w:left="1247" w:firstLine="624"/>
        <w:rPr>
          <w:rFonts w:asciiTheme="majorBidi" w:hAnsiTheme="majorBidi" w:cstheme="majorBidi"/>
        </w:rPr>
      </w:pPr>
      <w:r w:rsidRPr="00631C1C">
        <w:rPr>
          <w:rFonts w:asciiTheme="majorBidi" w:hAnsiTheme="majorBidi" w:cstheme="majorBidi"/>
          <w:i/>
        </w:rPr>
        <w:t>Recogni</w:t>
      </w:r>
      <w:r w:rsidR="006E0F4B" w:rsidRPr="00631C1C">
        <w:rPr>
          <w:rFonts w:asciiTheme="majorBidi" w:hAnsiTheme="majorBidi" w:cstheme="majorBidi"/>
          <w:i/>
        </w:rPr>
        <w:t>z</w:t>
      </w:r>
      <w:r w:rsidRPr="00631C1C">
        <w:rPr>
          <w:rFonts w:asciiTheme="majorBidi" w:hAnsiTheme="majorBidi" w:cstheme="majorBidi"/>
          <w:i/>
        </w:rPr>
        <w:t xml:space="preserve">ing </w:t>
      </w:r>
      <w:r w:rsidRPr="00631C1C">
        <w:rPr>
          <w:rFonts w:asciiTheme="majorBidi" w:hAnsiTheme="majorBidi" w:cstheme="majorBidi"/>
        </w:rPr>
        <w:t xml:space="preserve">that the sixth meeting of the Conference of the Parties </w:t>
      </w:r>
      <w:r w:rsidR="00E4655B">
        <w:rPr>
          <w:rFonts w:asciiTheme="majorBidi" w:hAnsiTheme="majorBidi" w:cstheme="majorBidi"/>
        </w:rPr>
        <w:t>marks</w:t>
      </w:r>
      <w:r w:rsidRPr="00631C1C">
        <w:rPr>
          <w:rFonts w:asciiTheme="majorBidi" w:hAnsiTheme="majorBidi" w:cstheme="majorBidi"/>
        </w:rPr>
        <w:t xml:space="preserve"> the first time that the Conference has been requested to consider such a request,</w:t>
      </w:r>
    </w:p>
    <w:p w14:paraId="2246C951" w14:textId="0B3AF1F0" w:rsidR="00312042" w:rsidRPr="00631C1C" w:rsidRDefault="00312042" w:rsidP="00312042">
      <w:pPr>
        <w:spacing w:after="120"/>
        <w:ind w:left="1247" w:firstLine="624"/>
        <w:rPr>
          <w:rFonts w:asciiTheme="majorBidi" w:hAnsiTheme="majorBidi" w:cstheme="majorBidi"/>
        </w:rPr>
      </w:pPr>
      <w:r w:rsidRPr="00631C1C">
        <w:rPr>
          <w:rFonts w:asciiTheme="majorBidi" w:hAnsiTheme="majorBidi" w:cstheme="majorBidi"/>
          <w:i/>
        </w:rPr>
        <w:t xml:space="preserve">Welcoming </w:t>
      </w:r>
      <w:r w:rsidRPr="00631C1C">
        <w:rPr>
          <w:rFonts w:asciiTheme="majorBidi" w:hAnsiTheme="majorBidi" w:cstheme="majorBidi"/>
          <w:iCs/>
        </w:rPr>
        <w:t>the revised exemption extension requests from two of the three parties</w:t>
      </w:r>
      <w:r w:rsidR="00A3320B">
        <w:rPr>
          <w:rFonts w:asciiTheme="majorBidi" w:hAnsiTheme="majorBidi" w:cstheme="majorBidi"/>
          <w:iCs/>
        </w:rPr>
        <w:t xml:space="preserve"> requesting extensions</w:t>
      </w:r>
      <w:r w:rsidR="006E0F4B" w:rsidRPr="00631C1C">
        <w:rPr>
          <w:rFonts w:asciiTheme="majorBidi" w:hAnsiTheme="majorBidi" w:cstheme="majorBidi"/>
          <w:iCs/>
        </w:rPr>
        <w:t>,</w:t>
      </w:r>
      <w:r w:rsidRPr="00631C1C">
        <w:rPr>
          <w:rFonts w:asciiTheme="majorBidi" w:hAnsiTheme="majorBidi" w:cstheme="majorBidi"/>
          <w:iCs/>
        </w:rPr>
        <w:t xml:space="preserve"> </w:t>
      </w:r>
      <w:r w:rsidR="00A3320B">
        <w:rPr>
          <w:rFonts w:asciiTheme="majorBidi" w:hAnsiTheme="majorBidi" w:cstheme="majorBidi"/>
          <w:iCs/>
        </w:rPr>
        <w:t>in</w:t>
      </w:r>
      <w:r w:rsidRPr="00631C1C">
        <w:rPr>
          <w:rFonts w:asciiTheme="majorBidi" w:hAnsiTheme="majorBidi" w:cstheme="majorBidi"/>
          <w:iCs/>
        </w:rPr>
        <w:t xml:space="preserve"> which </w:t>
      </w:r>
      <w:r w:rsidR="00A3320B">
        <w:rPr>
          <w:rFonts w:asciiTheme="majorBidi" w:hAnsiTheme="majorBidi" w:cstheme="majorBidi"/>
          <w:iCs/>
        </w:rPr>
        <w:t xml:space="preserve">they </w:t>
      </w:r>
      <w:r w:rsidRPr="00631C1C">
        <w:rPr>
          <w:rFonts w:asciiTheme="majorBidi" w:hAnsiTheme="majorBidi" w:cstheme="majorBidi"/>
          <w:iCs/>
        </w:rPr>
        <w:t xml:space="preserve">provide additional information related to paragraph 6 </w:t>
      </w:r>
      <w:r w:rsidR="006E0F4B" w:rsidRPr="00631C1C">
        <w:rPr>
          <w:rFonts w:asciiTheme="majorBidi" w:hAnsiTheme="majorBidi" w:cstheme="majorBidi"/>
          <w:iCs/>
        </w:rPr>
        <w:t xml:space="preserve">(a), (b) and (c) </w:t>
      </w:r>
      <w:r w:rsidRPr="00631C1C">
        <w:rPr>
          <w:rFonts w:asciiTheme="majorBidi" w:hAnsiTheme="majorBidi" w:cstheme="majorBidi"/>
          <w:iCs/>
        </w:rPr>
        <w:t>of article 6 for the consideration of the parties,</w:t>
      </w:r>
    </w:p>
    <w:p w14:paraId="10A5E1F9" w14:textId="6F6045D2" w:rsidR="00312042" w:rsidRPr="00631C1C" w:rsidRDefault="00312042" w:rsidP="00312042">
      <w:pPr>
        <w:spacing w:after="120"/>
        <w:ind w:left="1247" w:firstLine="624"/>
        <w:rPr>
          <w:rFonts w:asciiTheme="majorBidi" w:hAnsiTheme="majorBidi" w:cstheme="majorBidi"/>
          <w:iCs/>
        </w:rPr>
      </w:pPr>
      <w:r w:rsidRPr="00631C1C">
        <w:rPr>
          <w:rFonts w:asciiTheme="majorBidi" w:hAnsiTheme="majorBidi" w:cstheme="majorBidi"/>
          <w:i/>
        </w:rPr>
        <w:t xml:space="preserve">Highlighting </w:t>
      </w:r>
      <w:r w:rsidRPr="00631C1C">
        <w:rPr>
          <w:rFonts w:asciiTheme="majorBidi" w:hAnsiTheme="majorBidi" w:cstheme="majorBidi"/>
          <w:iCs/>
        </w:rPr>
        <w:t>the continued need to protect human health and the environment from the ongoing manufacture, import and export of the products listed in part I of annex A,</w:t>
      </w:r>
    </w:p>
    <w:p w14:paraId="46DAD41D" w14:textId="5B638DFC"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requests for the extension of exemptions and related information submitted to the Conference of the Parties </w:t>
      </w:r>
      <w:r w:rsidR="008E0F36" w:rsidRPr="00631C1C">
        <w:rPr>
          <w:rFonts w:asciiTheme="majorBidi" w:hAnsiTheme="majorBidi" w:cstheme="majorBidi"/>
        </w:rPr>
        <w:t xml:space="preserve">at its sixth meeting </w:t>
      </w:r>
      <w:r w:rsidRPr="00631C1C">
        <w:rPr>
          <w:rFonts w:asciiTheme="majorBidi" w:hAnsiTheme="majorBidi" w:cstheme="majorBidi"/>
        </w:rPr>
        <w:t xml:space="preserve">by Bangladesh, India and Thailand pursuant to paragraph 6 of article </w:t>
      </w:r>
      <w:proofErr w:type="gramStart"/>
      <w:r w:rsidRPr="00631C1C">
        <w:rPr>
          <w:rFonts w:asciiTheme="majorBidi" w:hAnsiTheme="majorBidi" w:cstheme="majorBidi"/>
        </w:rPr>
        <w:t>6;</w:t>
      </w:r>
      <w:proofErr w:type="gramEnd"/>
    </w:p>
    <w:p w14:paraId="54084163" w14:textId="62ADEED8"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Decides</w:t>
      </w:r>
      <w:r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Pr="00631C1C">
        <w:rPr>
          <w:rFonts w:asciiTheme="majorBidi" w:hAnsiTheme="majorBidi" w:cstheme="majorBidi"/>
        </w:rPr>
        <w:t>the phase-out dates as requested by Bangladesh;</w:t>
      </w:r>
      <w:r w:rsidR="00B43E9A">
        <w:rPr>
          <w:rStyle w:val="FootnoteReference"/>
          <w:rFonts w:cstheme="majorBidi"/>
        </w:rPr>
        <w:footnoteReference w:id="14"/>
      </w:r>
      <w:r w:rsidR="002463B1" w:rsidRPr="00631C1C">
        <w:rPr>
          <w:rStyle w:val="CommentReference"/>
          <w:rFonts w:asciiTheme="majorBidi" w:hAnsiTheme="majorBidi" w:cstheme="majorBidi"/>
          <w:sz w:val="20"/>
          <w:szCs w:val="20"/>
        </w:rPr>
        <w:t xml:space="preserve"> </w:t>
      </w:r>
    </w:p>
    <w:p w14:paraId="5BC15F89" w14:textId="01BA2C49" w:rsidR="00312042" w:rsidRPr="00631C1C"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Also d</w:t>
      </w:r>
      <w:r w:rsidR="00312042" w:rsidRPr="00631C1C">
        <w:rPr>
          <w:rFonts w:asciiTheme="majorBidi" w:hAnsiTheme="majorBidi" w:cstheme="majorBidi"/>
          <w:i/>
          <w:iCs/>
        </w:rPr>
        <w:t>ecides</w:t>
      </w:r>
      <w:r w:rsidR="00312042"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00312042" w:rsidRPr="00631C1C">
        <w:rPr>
          <w:rFonts w:asciiTheme="majorBidi" w:hAnsiTheme="majorBidi" w:cstheme="majorBidi"/>
        </w:rPr>
        <w:t>the phase-out dates as requested by India;</w:t>
      </w:r>
      <w:r w:rsidR="00C72250" w:rsidRPr="00631C1C">
        <w:rPr>
          <w:rStyle w:val="FootnoteReference"/>
          <w:rFonts w:asciiTheme="majorBidi" w:hAnsiTheme="majorBidi" w:cstheme="majorBidi"/>
        </w:rPr>
        <w:footnoteReference w:id="15"/>
      </w:r>
    </w:p>
    <w:p w14:paraId="247AEC2E" w14:textId="79EB03D4" w:rsidR="00312042" w:rsidRPr="00631C1C"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Further d</w:t>
      </w:r>
      <w:r w:rsidR="00312042" w:rsidRPr="00631C1C">
        <w:rPr>
          <w:rFonts w:asciiTheme="majorBidi" w:hAnsiTheme="majorBidi" w:cstheme="majorBidi"/>
          <w:i/>
          <w:iCs/>
        </w:rPr>
        <w:t>ecides</w:t>
      </w:r>
      <w:r w:rsidR="00312042"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00312042" w:rsidRPr="00631C1C">
        <w:rPr>
          <w:rFonts w:asciiTheme="majorBidi" w:hAnsiTheme="majorBidi" w:cstheme="majorBidi"/>
        </w:rPr>
        <w:t>the phase-out dates as requested by Thailand;</w:t>
      </w:r>
      <w:r w:rsidR="00C72250" w:rsidRPr="00631C1C">
        <w:rPr>
          <w:rStyle w:val="FootnoteReference"/>
          <w:rFonts w:asciiTheme="majorBidi" w:hAnsiTheme="majorBidi" w:cstheme="majorBidi"/>
        </w:rPr>
        <w:footnoteReference w:id="16"/>
      </w:r>
    </w:p>
    <w:p w14:paraId="1AC35949" w14:textId="6C41CDAA"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Notes</w:t>
      </w:r>
      <w:r w:rsidRPr="00631C1C">
        <w:rPr>
          <w:rFonts w:asciiTheme="majorBidi" w:hAnsiTheme="majorBidi" w:cstheme="majorBidi"/>
        </w:rPr>
        <w:t xml:space="preserve"> that, with </w:t>
      </w:r>
      <w:r w:rsidR="000B259B" w:rsidRPr="00631C1C">
        <w:rPr>
          <w:rFonts w:asciiTheme="majorBidi" w:hAnsiTheme="majorBidi" w:cstheme="majorBidi"/>
        </w:rPr>
        <w:t xml:space="preserve">the </w:t>
      </w:r>
      <w:r w:rsidRPr="00631C1C">
        <w:rPr>
          <w:rFonts w:asciiTheme="majorBidi" w:hAnsiTheme="majorBidi" w:cstheme="majorBidi"/>
        </w:rPr>
        <w:t xml:space="preserve">exception of the extensions of exemptions referred to in paragraphs 2, 3 and 4 </w:t>
      </w:r>
      <w:r w:rsidR="00C43948" w:rsidRPr="00631C1C">
        <w:rPr>
          <w:rFonts w:asciiTheme="majorBidi" w:hAnsiTheme="majorBidi" w:cstheme="majorBidi"/>
        </w:rPr>
        <w:t>above</w:t>
      </w:r>
      <w:r w:rsidRPr="00631C1C">
        <w:rPr>
          <w:rFonts w:asciiTheme="majorBidi" w:hAnsiTheme="majorBidi" w:cstheme="majorBidi"/>
        </w:rPr>
        <w:t>, all registered exemptions from the 2020 phase-out dates listed in annex A will expire after 31 December 2025</w:t>
      </w:r>
      <w:r w:rsidR="00341857" w:rsidRPr="00631C1C">
        <w:rPr>
          <w:rFonts w:asciiTheme="majorBidi" w:hAnsiTheme="majorBidi" w:cstheme="majorBidi"/>
        </w:rPr>
        <w:t>,</w:t>
      </w:r>
      <w:r w:rsidRPr="00631C1C">
        <w:rPr>
          <w:rFonts w:asciiTheme="majorBidi" w:hAnsiTheme="majorBidi" w:cstheme="majorBidi"/>
        </w:rPr>
        <w:t xml:space="preserve"> in accordance with paragraph</w:t>
      </w:r>
      <w:r w:rsidR="00C542E0" w:rsidRPr="00631C1C">
        <w:rPr>
          <w:rFonts w:asciiTheme="majorBidi" w:hAnsiTheme="majorBidi" w:cstheme="majorBidi"/>
        </w:rPr>
        <w:t> </w:t>
      </w:r>
      <w:r w:rsidRPr="00631C1C">
        <w:rPr>
          <w:rFonts w:asciiTheme="majorBidi" w:hAnsiTheme="majorBidi" w:cstheme="majorBidi"/>
        </w:rPr>
        <w:t>5 of article 6</w:t>
      </w:r>
      <w:r w:rsidR="00341857" w:rsidRPr="00631C1C">
        <w:rPr>
          <w:rFonts w:asciiTheme="majorBidi" w:hAnsiTheme="majorBidi" w:cstheme="majorBidi"/>
        </w:rPr>
        <w:t>,</w:t>
      </w:r>
      <w:r w:rsidRPr="00631C1C">
        <w:rPr>
          <w:rFonts w:asciiTheme="majorBidi" w:hAnsiTheme="majorBidi" w:cstheme="majorBidi"/>
        </w:rPr>
        <w:t xml:space="preserve"> and that after </w:t>
      </w:r>
      <w:r w:rsidR="00C542E0" w:rsidRPr="00631C1C">
        <w:rPr>
          <w:rFonts w:asciiTheme="majorBidi" w:hAnsiTheme="majorBidi" w:cstheme="majorBidi"/>
        </w:rPr>
        <w:t xml:space="preserve">that </w:t>
      </w:r>
      <w:r w:rsidRPr="00631C1C">
        <w:rPr>
          <w:rFonts w:asciiTheme="majorBidi" w:hAnsiTheme="majorBidi" w:cstheme="majorBidi"/>
        </w:rPr>
        <w:t>date</w:t>
      </w:r>
      <w:r w:rsidR="00EF2AF2" w:rsidRPr="00631C1C">
        <w:rPr>
          <w:rFonts w:asciiTheme="majorBidi" w:hAnsiTheme="majorBidi" w:cstheme="majorBidi"/>
        </w:rPr>
        <w:t>,</w:t>
      </w:r>
      <w:r w:rsidRPr="00631C1C">
        <w:rPr>
          <w:rFonts w:asciiTheme="majorBidi" w:hAnsiTheme="majorBidi" w:cstheme="majorBidi"/>
        </w:rPr>
        <w:t xml:space="preserve"> no State or regional economic integration organization may register for an exemption with respect to </w:t>
      </w:r>
      <w:r w:rsidR="009F51F9">
        <w:rPr>
          <w:rFonts w:asciiTheme="majorBidi" w:hAnsiTheme="majorBidi" w:cstheme="majorBidi"/>
        </w:rPr>
        <w:t>th</w:t>
      </w:r>
      <w:r w:rsidR="00A27EA5">
        <w:rPr>
          <w:rFonts w:asciiTheme="majorBidi" w:hAnsiTheme="majorBidi" w:cstheme="majorBidi"/>
        </w:rPr>
        <w:t>e</w:t>
      </w:r>
      <w:r w:rsidR="009F51F9">
        <w:rPr>
          <w:rFonts w:asciiTheme="majorBidi" w:hAnsiTheme="majorBidi" w:cstheme="majorBidi"/>
        </w:rPr>
        <w:t xml:space="preserve"> </w:t>
      </w:r>
      <w:r w:rsidR="00A27EA5">
        <w:rPr>
          <w:rFonts w:asciiTheme="majorBidi" w:hAnsiTheme="majorBidi" w:cstheme="majorBidi"/>
        </w:rPr>
        <w:t xml:space="preserve">2020 phase-out </w:t>
      </w:r>
      <w:r w:rsidR="009F51F9">
        <w:rPr>
          <w:rFonts w:asciiTheme="majorBidi" w:hAnsiTheme="majorBidi" w:cstheme="majorBidi"/>
        </w:rPr>
        <w:t>date</w:t>
      </w:r>
      <w:r w:rsidR="00A27EA5">
        <w:rPr>
          <w:rFonts w:asciiTheme="majorBidi" w:hAnsiTheme="majorBidi" w:cstheme="majorBidi"/>
        </w:rPr>
        <w:t>s</w:t>
      </w:r>
      <w:r w:rsidR="005439E0" w:rsidRPr="00631C1C">
        <w:rPr>
          <w:rFonts w:asciiTheme="majorBidi" w:hAnsiTheme="majorBidi" w:cstheme="majorBidi"/>
        </w:rPr>
        <w:t>,</w:t>
      </w:r>
      <w:r w:rsidRPr="00631C1C">
        <w:rPr>
          <w:rFonts w:asciiTheme="majorBidi" w:hAnsiTheme="majorBidi" w:cstheme="majorBidi"/>
        </w:rPr>
        <w:t xml:space="preserve"> in accordance with paragraph 8 of article 6;</w:t>
      </w:r>
    </w:p>
    <w:p w14:paraId="5344FE50" w14:textId="71CE0DC4"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iCs/>
        </w:rPr>
        <w:t>Requests</w:t>
      </w:r>
      <w:r w:rsidRPr="00631C1C">
        <w:rPr>
          <w:rFonts w:asciiTheme="majorBidi" w:hAnsiTheme="majorBidi" w:cstheme="majorBidi"/>
        </w:rPr>
        <w:t xml:space="preserve"> the </w:t>
      </w:r>
      <w:r w:rsidR="00BB1F59" w:rsidRPr="00631C1C">
        <w:rPr>
          <w:rFonts w:asciiTheme="majorBidi" w:hAnsiTheme="majorBidi" w:cstheme="majorBidi"/>
        </w:rPr>
        <w:t>s</w:t>
      </w:r>
      <w:r w:rsidRPr="00631C1C">
        <w:rPr>
          <w:rFonts w:asciiTheme="majorBidi" w:hAnsiTheme="majorBidi" w:cstheme="majorBidi"/>
        </w:rPr>
        <w:t>ecretariat to continue to maintain, update and make available on the website of the Convention the register established under paragraph 3 of article 6 and related information, as appropriate.</w:t>
      </w:r>
    </w:p>
    <w:p w14:paraId="7998AE53" w14:textId="77777777" w:rsidR="00312042" w:rsidRPr="00631C1C" w:rsidRDefault="00312042" w:rsidP="00312042">
      <w:pPr>
        <w:pStyle w:val="Normal-pool"/>
      </w:pPr>
      <w:r w:rsidRPr="00631C1C">
        <w:br w:type="page"/>
      </w:r>
    </w:p>
    <w:p w14:paraId="71648EF9" w14:textId="4A8B3CC1" w:rsidR="00312042" w:rsidRPr="00631C1C" w:rsidRDefault="00312042" w:rsidP="00312042">
      <w:pPr>
        <w:pStyle w:val="CH2"/>
        <w:rPr>
          <w:rFonts w:asciiTheme="majorBidi" w:hAnsiTheme="majorBidi" w:cstheme="majorBidi"/>
        </w:rPr>
      </w:pPr>
      <w:bookmarkStart w:id="30" w:name="_Toc213853065"/>
      <w:r w:rsidRPr="00631C1C">
        <w:rPr>
          <w:rFonts w:asciiTheme="majorBidi" w:hAnsiTheme="majorBidi" w:cstheme="majorBidi"/>
        </w:rPr>
        <w:lastRenderedPageBreak/>
        <w:tab/>
      </w:r>
      <w:r w:rsidRPr="00631C1C">
        <w:rPr>
          <w:rFonts w:asciiTheme="majorBidi" w:hAnsiTheme="majorBidi" w:cstheme="majorBidi"/>
        </w:rPr>
        <w:tab/>
      </w:r>
      <w:bookmarkStart w:id="31" w:name="_Toc219712805"/>
      <w:r w:rsidRPr="00631C1C">
        <w:rPr>
          <w:rFonts w:asciiTheme="majorBidi" w:hAnsiTheme="majorBidi" w:cstheme="majorBidi"/>
        </w:rPr>
        <w:t>Decision MC-6/8: Artisanal and small-scale gold mining: review of the implementation of article 7</w:t>
      </w:r>
      <w:bookmarkEnd w:id="30"/>
      <w:bookmarkEnd w:id="31"/>
    </w:p>
    <w:p w14:paraId="39CDEB28"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2BC32B62" w14:textId="5AA692DA"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that pollution from the use of mercury in gold mining, including artisanal and small</w:t>
      </w:r>
      <w:r w:rsidRPr="00631C1C">
        <w:rPr>
          <w:rFonts w:asciiTheme="majorBidi" w:hAnsiTheme="majorBidi" w:cstheme="majorBidi"/>
        </w:rPr>
        <w:noBreakHyphen/>
        <w:t>scale gold mining, remains the largest global source of anthropogenic mercury emissions,</w:t>
      </w:r>
    </w:p>
    <w:p w14:paraId="79641DDF" w14:textId="717A99D6"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efforts made by the relevant parties to develop, submit and implement their national action plans pursuant to paragraph 3 (a) and</w:t>
      </w:r>
      <w:r w:rsidR="006E01C6" w:rsidRPr="00631C1C">
        <w:rPr>
          <w:rFonts w:asciiTheme="majorBidi" w:hAnsiTheme="majorBidi" w:cstheme="majorBidi"/>
        </w:rPr>
        <w:t xml:space="preserve"> </w:t>
      </w:r>
      <w:r w:rsidRPr="00631C1C">
        <w:rPr>
          <w:rFonts w:asciiTheme="majorBidi" w:hAnsiTheme="majorBidi" w:cstheme="majorBidi"/>
        </w:rPr>
        <w:t>(b) of article 7</w:t>
      </w:r>
      <w:r w:rsidR="00AD2C02" w:rsidRPr="00631C1C">
        <w:rPr>
          <w:rFonts w:asciiTheme="majorBidi" w:hAnsiTheme="majorBidi" w:cstheme="majorBidi"/>
        </w:rPr>
        <w:t xml:space="preserve"> of the Minamata Convention on Mercury</w:t>
      </w:r>
      <w:r w:rsidRPr="00631C1C">
        <w:rPr>
          <w:rFonts w:asciiTheme="majorBidi" w:hAnsiTheme="majorBidi" w:cstheme="majorBidi"/>
        </w:rPr>
        <w:t>,</w:t>
      </w:r>
    </w:p>
    <w:p w14:paraId="10DAFAF6" w14:textId="076C9198" w:rsidR="00312042" w:rsidRPr="00631C1C" w:rsidRDefault="00312042" w:rsidP="00312042">
      <w:pPr>
        <w:pStyle w:val="NormalNonumber"/>
        <w:tabs>
          <w:tab w:val="clear" w:pos="1247"/>
        </w:tabs>
        <w:ind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 xml:space="preserve">paragraph 3 (c) of article 7, which requires all parties that have determined that </w:t>
      </w:r>
      <w:r w:rsidRPr="00631C1C">
        <w:rPr>
          <w:rFonts w:asciiTheme="majorBidi" w:hAnsiTheme="majorBidi" w:cstheme="majorBidi"/>
        </w:rPr>
        <w:t>artisanal and small-scale gold mining</w:t>
      </w:r>
      <w:r w:rsidRPr="00631C1C" w:rsidDel="006171BE">
        <w:rPr>
          <w:rFonts w:asciiTheme="majorBidi" w:eastAsia="Calibri" w:hAnsiTheme="majorBidi" w:cstheme="majorBidi"/>
        </w:rPr>
        <w:t xml:space="preserve"> </w:t>
      </w:r>
      <w:r w:rsidRPr="00631C1C">
        <w:rPr>
          <w:rFonts w:asciiTheme="majorBidi" w:eastAsia="Calibri" w:hAnsiTheme="majorBidi" w:cstheme="majorBidi"/>
        </w:rPr>
        <w:t>in their territory is more than insignificant, notified the secretariat of that determination and developed and submitted their national action plans to provide a review of the progress made in meeting their obligations under article 7 and include the review in their reports to be submitted pursuant to article 21,</w:t>
      </w:r>
    </w:p>
    <w:p w14:paraId="3BDA6817" w14:textId="6B1A289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eastAsia="Calibri" w:hAnsiTheme="majorBidi" w:cstheme="majorBidi"/>
          <w:i/>
          <w:iCs/>
        </w:rPr>
        <w:t>Recalling also</w:t>
      </w:r>
      <w:r w:rsidRPr="00631C1C">
        <w:rPr>
          <w:rFonts w:asciiTheme="majorBidi" w:eastAsia="Calibri" w:hAnsiTheme="majorBidi" w:cstheme="majorBidi"/>
        </w:rPr>
        <w:t xml:space="preserve"> its decision MC-4/4</w:t>
      </w:r>
      <w:r w:rsidR="00FB78D5" w:rsidRPr="00631C1C">
        <w:rPr>
          <w:rFonts w:asciiTheme="majorBidi" w:eastAsia="Calibri" w:hAnsiTheme="majorBidi" w:cstheme="majorBidi"/>
        </w:rPr>
        <w:t>,</w:t>
      </w:r>
      <w:r w:rsidRPr="00631C1C">
        <w:rPr>
          <w:rFonts w:asciiTheme="majorBidi" w:eastAsia="Calibri" w:hAnsiTheme="majorBidi" w:cstheme="majorBidi"/>
        </w:rPr>
        <w:t xml:space="preserve"> </w:t>
      </w:r>
      <w:r w:rsidR="00FB78D5" w:rsidRPr="00631C1C">
        <w:rPr>
          <w:rFonts w:asciiTheme="majorBidi" w:eastAsia="Calibri" w:hAnsiTheme="majorBidi" w:cstheme="majorBidi"/>
        </w:rPr>
        <w:t xml:space="preserve">in which it </w:t>
      </w:r>
      <w:r w:rsidRPr="00631C1C">
        <w:rPr>
          <w:rFonts w:asciiTheme="majorBidi" w:eastAsia="Calibri" w:hAnsiTheme="majorBidi" w:cstheme="majorBidi"/>
        </w:rPr>
        <w:t>call</w:t>
      </w:r>
      <w:r w:rsidR="00FB78D5" w:rsidRPr="00631C1C">
        <w:rPr>
          <w:rFonts w:asciiTheme="majorBidi" w:eastAsia="Calibri" w:hAnsiTheme="majorBidi" w:cstheme="majorBidi"/>
        </w:rPr>
        <w:t>ed</w:t>
      </w:r>
      <w:r w:rsidRPr="00631C1C">
        <w:rPr>
          <w:rFonts w:asciiTheme="majorBidi" w:eastAsia="Calibri" w:hAnsiTheme="majorBidi" w:cstheme="majorBidi"/>
        </w:rPr>
        <w:t xml:space="preserve"> on parties to engage Indigenous Peoples, as well as local communities and other relevant stakeholders</w:t>
      </w:r>
      <w:r w:rsidR="00FB78D5" w:rsidRPr="00631C1C">
        <w:rPr>
          <w:rFonts w:asciiTheme="majorBidi" w:eastAsia="Calibri" w:hAnsiTheme="majorBidi" w:cstheme="majorBidi"/>
        </w:rPr>
        <w:t>,</w:t>
      </w:r>
      <w:r w:rsidRPr="00631C1C">
        <w:rPr>
          <w:rFonts w:asciiTheme="majorBidi" w:eastAsia="Calibri" w:hAnsiTheme="majorBidi" w:cstheme="majorBidi"/>
        </w:rPr>
        <w:t xml:space="preserve"> in the development and implementation of their national action plans for artisanal and small-scale gold mining,</w:t>
      </w:r>
    </w:p>
    <w:p w14:paraId="44D80116" w14:textId="0F14BB55"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Recognizing</w:t>
      </w:r>
      <w:r w:rsidRPr="00B92164">
        <w:rPr>
          <w:rFonts w:asciiTheme="majorBidi" w:hAnsiTheme="majorBidi" w:cstheme="majorBidi"/>
        </w:rPr>
        <w:t xml:space="preserve"> that </w:t>
      </w:r>
      <w:r w:rsidR="009B5847" w:rsidRPr="00B92164">
        <w:rPr>
          <w:rFonts w:asciiTheme="majorBidi" w:hAnsiTheme="majorBidi" w:cstheme="majorBidi"/>
        </w:rPr>
        <w:t xml:space="preserve">the </w:t>
      </w:r>
      <w:r w:rsidRPr="00B92164">
        <w:rPr>
          <w:rFonts w:asciiTheme="majorBidi" w:hAnsiTheme="majorBidi" w:cstheme="majorBidi"/>
        </w:rPr>
        <w:t xml:space="preserve">prevention of the use and diversion of mercury linked to gold mining, including artisanal and small-scale gold mining, would be enhanced through environmentally sustainable management measures and strengthened accountability throughout the full life cycle of gold supply chains, including buyer and intermediary due diligence, traceability and verification of origin, </w:t>
      </w:r>
    </w:p>
    <w:p w14:paraId="2DAE94D1" w14:textId="521EEFD1"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Welcoming</w:t>
      </w:r>
      <w:r w:rsidRPr="00B92164">
        <w:rPr>
          <w:rFonts w:asciiTheme="majorBidi" w:hAnsiTheme="majorBidi" w:cstheme="majorBidi"/>
        </w:rPr>
        <w:t xml:space="preserve"> international efforts to foster coordinated action on artisanal and small-scale gold mining </w:t>
      </w:r>
      <w:r w:rsidR="00CA790A" w:rsidRPr="00B92164">
        <w:rPr>
          <w:rFonts w:asciiTheme="majorBidi" w:hAnsiTheme="majorBidi" w:cstheme="majorBidi"/>
        </w:rPr>
        <w:t xml:space="preserve">with the </w:t>
      </w:r>
      <w:r w:rsidRPr="00B92164">
        <w:rPr>
          <w:rFonts w:asciiTheme="majorBidi" w:hAnsiTheme="majorBidi" w:cstheme="majorBidi"/>
        </w:rPr>
        <w:t xml:space="preserve">aim </w:t>
      </w:r>
      <w:r w:rsidR="00CA790A" w:rsidRPr="00B92164">
        <w:rPr>
          <w:rFonts w:asciiTheme="majorBidi" w:hAnsiTheme="majorBidi" w:cstheme="majorBidi"/>
        </w:rPr>
        <w:t xml:space="preserve">of </w:t>
      </w:r>
      <w:r w:rsidRPr="00B92164">
        <w:rPr>
          <w:rFonts w:asciiTheme="majorBidi" w:hAnsiTheme="majorBidi" w:cstheme="majorBidi"/>
        </w:rPr>
        <w:t xml:space="preserve">reducing the socioenvironmental risks associated with artisanal and small-scale gold mining and minimizing </w:t>
      </w:r>
      <w:r w:rsidR="002210C1" w:rsidRPr="00B92164">
        <w:rPr>
          <w:rFonts w:asciiTheme="majorBidi" w:hAnsiTheme="majorBidi" w:cstheme="majorBidi"/>
        </w:rPr>
        <w:t xml:space="preserve">its </w:t>
      </w:r>
      <w:r w:rsidRPr="00B92164">
        <w:rPr>
          <w:rFonts w:asciiTheme="majorBidi" w:hAnsiTheme="majorBidi" w:cstheme="majorBidi"/>
        </w:rPr>
        <w:t xml:space="preserve">negative impacts, fostering the development of mercury-free gold extraction processes conducted responsibly and enhancing transparency and traceability throughout the gold value chain, </w:t>
      </w:r>
    </w:p>
    <w:p w14:paraId="1D8FD804" w14:textId="07E30D01"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 xml:space="preserve">Recognizing </w:t>
      </w:r>
      <w:r w:rsidRPr="00B92164">
        <w:rPr>
          <w:rFonts w:asciiTheme="majorBidi" w:hAnsiTheme="majorBidi" w:cstheme="majorBidi"/>
        </w:rPr>
        <w:t>the importance of ensuring a just transition for communities, particularly those in vulnerable situations, when transitioning from using mercury in artisanal and small-scale gold mining,</w:t>
      </w:r>
    </w:p>
    <w:p w14:paraId="325ECCDF" w14:textId="43608D80"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Calls on</w:t>
      </w:r>
      <w:r w:rsidRPr="00631C1C">
        <w:rPr>
          <w:rFonts w:asciiTheme="majorBidi" w:hAnsiTheme="majorBidi" w:cstheme="majorBidi"/>
        </w:rPr>
        <w:t xml:space="preserve"> parties whose national action plans on artisanal and small-scale gold mining are due pursuant to paragraph 3 (b) of article 7 to submit their final plans to the secretariat </w:t>
      </w:r>
      <w:proofErr w:type="gramStart"/>
      <w:r w:rsidRPr="00631C1C" w:rsidDel="008E7FE1">
        <w:rPr>
          <w:rFonts w:asciiTheme="majorBidi" w:hAnsiTheme="majorBidi" w:cstheme="majorBidi"/>
        </w:rPr>
        <w:t xml:space="preserve">as </w:t>
      </w:r>
      <w:r w:rsidRPr="00631C1C">
        <w:rPr>
          <w:rFonts w:asciiTheme="majorBidi" w:hAnsiTheme="majorBidi" w:cstheme="majorBidi"/>
        </w:rPr>
        <w:t>soon as possible;</w:t>
      </w:r>
      <w:proofErr w:type="gramEnd"/>
      <w:r w:rsidRPr="00631C1C" w:rsidDel="00DB62A8">
        <w:rPr>
          <w:rFonts w:asciiTheme="majorBidi" w:hAnsiTheme="majorBidi" w:cstheme="majorBidi"/>
        </w:rPr>
        <w:t xml:space="preserve"> </w:t>
      </w:r>
    </w:p>
    <w:p w14:paraId="79E6626C" w14:textId="72D4DBF3"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Adopts</w:t>
      </w:r>
      <w:r w:rsidRPr="00631C1C">
        <w:rPr>
          <w:rFonts w:asciiTheme="majorBidi" w:hAnsiTheme="majorBidi" w:cstheme="majorBidi"/>
        </w:rPr>
        <w:t xml:space="preserve"> the amended sections on the review of the implementation of article 7</w:t>
      </w:r>
      <w:r w:rsidR="00840F13" w:rsidRPr="00631C1C">
        <w:rPr>
          <w:rStyle w:val="FootnoteReference"/>
          <w:rFonts w:cstheme="majorBidi"/>
        </w:rPr>
        <w:footnoteReference w:id="17"/>
      </w:r>
      <w:r w:rsidRPr="00631C1C">
        <w:rPr>
          <w:rFonts w:asciiTheme="majorBidi" w:hAnsiTheme="majorBidi" w:cstheme="majorBidi"/>
        </w:rPr>
        <w:t xml:space="preserve"> for inclusion in the guidance document on developing a national action plan to reduce and, where feasible, eliminate mercury use in artisanal and small-scale gold </w:t>
      </w:r>
      <w:proofErr w:type="gramStart"/>
      <w:r w:rsidRPr="00631C1C">
        <w:rPr>
          <w:rFonts w:asciiTheme="majorBidi" w:hAnsiTheme="majorBidi" w:cstheme="majorBidi"/>
        </w:rPr>
        <w:t>mining;</w:t>
      </w:r>
      <w:proofErr w:type="gramEnd"/>
    </w:p>
    <w:p w14:paraId="165ABA27" w14:textId="6B0700D2"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rPr>
      </w:pPr>
      <w:r w:rsidRPr="00631C1C">
        <w:rPr>
          <w:rFonts w:asciiTheme="majorBidi" w:hAnsiTheme="majorBidi" w:cstheme="majorBidi"/>
          <w:i/>
          <w:iCs/>
        </w:rPr>
        <w:t>Requests</w:t>
      </w:r>
      <w:r w:rsidRPr="00631C1C">
        <w:rPr>
          <w:rFonts w:asciiTheme="majorBidi" w:hAnsiTheme="majorBidi" w:cstheme="majorBidi"/>
        </w:rPr>
        <w:t xml:space="preserve"> the secretariat to incorporate the adopted amendments into the guidance document</w:t>
      </w:r>
      <w:r w:rsidRPr="00631C1C">
        <w:rPr>
          <w:rFonts w:asciiTheme="majorBidi" w:hAnsiTheme="majorBidi" w:cstheme="majorBidi"/>
          <w:iCs/>
        </w:rPr>
        <w:t xml:space="preserve"> and to cooperate with the Global Mercury Partnership in disseminating the amended guidance</w:t>
      </w:r>
      <w:r w:rsidR="00892B05" w:rsidRPr="00631C1C">
        <w:rPr>
          <w:rFonts w:asciiTheme="majorBidi" w:hAnsiTheme="majorBidi" w:cstheme="majorBidi"/>
          <w:iCs/>
        </w:rPr>
        <w:t>,</w:t>
      </w:r>
      <w:r w:rsidRPr="00631C1C">
        <w:rPr>
          <w:rFonts w:asciiTheme="majorBidi" w:hAnsiTheme="majorBidi" w:cstheme="majorBidi"/>
          <w:iCs/>
        </w:rPr>
        <w:t xml:space="preserve"> including, as appropriate, at</w:t>
      </w:r>
      <w:r w:rsidR="00CF137C" w:rsidRPr="00631C1C">
        <w:rPr>
          <w:rFonts w:asciiTheme="majorBidi" w:hAnsiTheme="majorBidi" w:cstheme="majorBidi"/>
          <w:iCs/>
        </w:rPr>
        <w:t xml:space="preserve"> the</w:t>
      </w:r>
      <w:r w:rsidRPr="00631C1C">
        <w:rPr>
          <w:rFonts w:asciiTheme="majorBidi" w:hAnsiTheme="majorBidi" w:cstheme="majorBidi"/>
          <w:iCs/>
        </w:rPr>
        <w:t xml:space="preserve"> regional and subregional </w:t>
      </w:r>
      <w:proofErr w:type="gramStart"/>
      <w:r w:rsidRPr="00631C1C">
        <w:rPr>
          <w:rFonts w:asciiTheme="majorBidi" w:hAnsiTheme="majorBidi" w:cstheme="majorBidi"/>
          <w:iCs/>
        </w:rPr>
        <w:t>levels;</w:t>
      </w:r>
      <w:proofErr w:type="gramEnd"/>
    </w:p>
    <w:p w14:paraId="31A439D1" w14:textId="761930A2"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Calls on</w:t>
      </w:r>
      <w:r w:rsidRPr="00631C1C">
        <w:rPr>
          <w:rFonts w:asciiTheme="majorBidi" w:hAnsiTheme="majorBidi" w:cstheme="majorBidi"/>
        </w:rPr>
        <w:t xml:space="preserve"> all parties that have submitted their national action plans to provide a review of the progress made in meeting their obligations under article 7 and </w:t>
      </w:r>
      <w:r w:rsidR="00C81427">
        <w:rPr>
          <w:rFonts w:asciiTheme="majorBidi" w:hAnsiTheme="majorBidi" w:cstheme="majorBidi"/>
        </w:rPr>
        <w:t xml:space="preserve">to </w:t>
      </w:r>
      <w:r w:rsidRPr="00631C1C">
        <w:rPr>
          <w:rFonts w:asciiTheme="majorBidi" w:hAnsiTheme="majorBidi" w:cstheme="majorBidi"/>
        </w:rPr>
        <w:t>include the review</w:t>
      </w:r>
      <w:r w:rsidR="00C81427">
        <w:rPr>
          <w:rFonts w:asciiTheme="majorBidi" w:hAnsiTheme="majorBidi" w:cstheme="majorBidi"/>
        </w:rPr>
        <w:t xml:space="preserve"> </w:t>
      </w:r>
      <w:r w:rsidR="00C81427" w:rsidRPr="00C81427">
        <w:rPr>
          <w:rFonts w:asciiTheme="majorBidi" w:hAnsiTheme="majorBidi" w:cstheme="majorBidi"/>
        </w:rPr>
        <w:t>in their reports to be submitted pursuant to article 21</w:t>
      </w:r>
      <w:r w:rsidRPr="00631C1C">
        <w:rPr>
          <w:rFonts w:asciiTheme="majorBidi" w:hAnsiTheme="majorBidi" w:cstheme="majorBidi"/>
        </w:rPr>
        <w:t xml:space="preserve">, and encourages parties to use the reporting template in annex 7 to the amended guidance in </w:t>
      </w:r>
      <w:r w:rsidR="00C81427">
        <w:rPr>
          <w:rFonts w:asciiTheme="majorBidi" w:hAnsiTheme="majorBidi" w:cstheme="majorBidi"/>
        </w:rPr>
        <w:t>those</w:t>
      </w:r>
      <w:r w:rsidR="00C81427" w:rsidRPr="00631C1C">
        <w:rPr>
          <w:rFonts w:asciiTheme="majorBidi" w:hAnsiTheme="majorBidi" w:cstheme="majorBidi"/>
        </w:rPr>
        <w:t xml:space="preserve"> </w:t>
      </w:r>
      <w:proofErr w:type="gramStart"/>
      <w:r w:rsidRPr="00631C1C">
        <w:rPr>
          <w:rFonts w:asciiTheme="majorBidi" w:hAnsiTheme="majorBidi" w:cstheme="majorBidi"/>
        </w:rPr>
        <w:t>reports;</w:t>
      </w:r>
      <w:proofErr w:type="gramEnd"/>
    </w:p>
    <w:p w14:paraId="044AE3FE" w14:textId="3F6BA55F"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that have notified the secretariat pursuant to paragraph 3 of article 7 to make use of the provisional guide on the effective engagement of Indigenous Peoples and of local communities</w:t>
      </w:r>
      <w:r w:rsidRPr="00631C1C">
        <w:rPr>
          <w:rStyle w:val="FootnoteReference"/>
          <w:rFonts w:cstheme="majorBidi"/>
        </w:rPr>
        <w:footnoteReference w:id="18"/>
      </w:r>
      <w:r w:rsidRPr="00631C1C">
        <w:rPr>
          <w:rFonts w:asciiTheme="majorBidi" w:hAnsiTheme="majorBidi" w:cstheme="majorBidi"/>
        </w:rPr>
        <w:t xml:space="preserve"> in the development and implementation of their national action plans</w:t>
      </w:r>
      <w:r w:rsidR="003B0D3B" w:rsidRPr="00631C1C">
        <w:rPr>
          <w:rFonts w:asciiTheme="majorBidi" w:hAnsiTheme="majorBidi" w:cstheme="majorBidi"/>
        </w:rPr>
        <w:t>,</w:t>
      </w:r>
      <w:r w:rsidRPr="00631C1C" w:rsidDel="001F3239">
        <w:rPr>
          <w:rFonts w:asciiTheme="majorBidi" w:hAnsiTheme="majorBidi" w:cstheme="majorBidi"/>
        </w:rPr>
        <w:t xml:space="preserve"> </w:t>
      </w:r>
      <w:r w:rsidRPr="00631C1C">
        <w:rPr>
          <w:rFonts w:asciiTheme="majorBidi" w:hAnsiTheme="majorBidi" w:cstheme="majorBidi"/>
        </w:rPr>
        <w:t>as well as their review</w:t>
      </w:r>
      <w:r w:rsidR="00091D53" w:rsidRPr="00631C1C">
        <w:rPr>
          <w:rFonts w:asciiTheme="majorBidi" w:hAnsiTheme="majorBidi" w:cstheme="majorBidi"/>
        </w:rPr>
        <w:t>s</w:t>
      </w:r>
      <w:r w:rsidRPr="00631C1C">
        <w:rPr>
          <w:rFonts w:asciiTheme="majorBidi" w:hAnsiTheme="majorBidi" w:cstheme="majorBidi"/>
        </w:rPr>
        <w:t xml:space="preserve"> of progress pursuant to paragraph 3 (c) of article 7, and requests the secretariat to seek feedback on the use of the provisional guide;</w:t>
      </w:r>
    </w:p>
    <w:p w14:paraId="48192B50" w14:textId="1FB4045B"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 xml:space="preserve">the secretariat, in collaboration with the Global Mercury Partnership and </w:t>
      </w:r>
      <w:proofErr w:type="gramStart"/>
      <w:r w:rsidRPr="00631C1C">
        <w:rPr>
          <w:rFonts w:asciiTheme="majorBidi" w:hAnsiTheme="majorBidi" w:cstheme="majorBidi"/>
        </w:rPr>
        <w:t xml:space="preserve">on </w:t>
      </w:r>
      <w:r w:rsidR="00026B4E" w:rsidRPr="00631C1C">
        <w:rPr>
          <w:rFonts w:asciiTheme="majorBidi" w:hAnsiTheme="majorBidi" w:cstheme="majorBidi"/>
        </w:rPr>
        <w:t>the basis of</w:t>
      </w:r>
      <w:proofErr w:type="gramEnd"/>
      <w:r w:rsidR="00026B4E" w:rsidRPr="00631C1C">
        <w:rPr>
          <w:rFonts w:asciiTheme="majorBidi" w:hAnsiTheme="majorBidi" w:cstheme="majorBidi"/>
        </w:rPr>
        <w:t xml:space="preserve"> the </w:t>
      </w:r>
      <w:r w:rsidRPr="00631C1C">
        <w:rPr>
          <w:rFonts w:asciiTheme="majorBidi" w:hAnsiTheme="majorBidi" w:cstheme="majorBidi"/>
        </w:rPr>
        <w:t>information from the submitted national action plans and reviews of progress in the implementation of article 7, to take stock of and report to the Conference of the Parties on:</w:t>
      </w:r>
    </w:p>
    <w:p w14:paraId="089F8411" w14:textId="77777777" w:rsidR="00312042" w:rsidRPr="00631C1C"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rPr>
      </w:pPr>
      <w:r w:rsidRPr="00631C1C">
        <w:rPr>
          <w:rFonts w:asciiTheme="majorBidi" w:hAnsiTheme="majorBidi" w:cstheme="majorBidi"/>
        </w:rPr>
        <w:t xml:space="preserve">Measures taken to implement the national action </w:t>
      </w:r>
      <w:proofErr w:type="gramStart"/>
      <w:r w:rsidRPr="00631C1C">
        <w:rPr>
          <w:rFonts w:asciiTheme="majorBidi" w:hAnsiTheme="majorBidi" w:cstheme="majorBidi"/>
        </w:rPr>
        <w:t>plans;</w:t>
      </w:r>
      <w:proofErr w:type="gramEnd"/>
      <w:r w:rsidRPr="00631C1C">
        <w:rPr>
          <w:rFonts w:asciiTheme="majorBidi" w:hAnsiTheme="majorBidi" w:cstheme="majorBidi"/>
        </w:rPr>
        <w:t xml:space="preserve"> </w:t>
      </w:r>
    </w:p>
    <w:p w14:paraId="6A9A3825" w14:textId="26C138EA" w:rsidR="00312042" w:rsidRPr="00631C1C"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rPr>
      </w:pPr>
      <w:r w:rsidRPr="00631C1C">
        <w:rPr>
          <w:rFonts w:asciiTheme="majorBidi" w:hAnsiTheme="majorBidi" w:cstheme="majorBidi"/>
        </w:rPr>
        <w:lastRenderedPageBreak/>
        <w:t>Identified successful strategies and activities, achievements in implementation, and challenges and barriers encountered in reducing and eliminating the use, emissions and releases of mercury in artisanal and small-scale gold mining, including information on formalizing or regulating artisanal and small-scale gold mining</w:t>
      </w:r>
      <w:r w:rsidR="00066DA8" w:rsidRPr="00631C1C">
        <w:rPr>
          <w:rFonts w:asciiTheme="majorBidi" w:hAnsiTheme="majorBidi" w:cstheme="majorBidi"/>
        </w:rPr>
        <w:t>,</w:t>
      </w:r>
      <w:r w:rsidRPr="00631C1C">
        <w:rPr>
          <w:rFonts w:asciiTheme="majorBidi" w:hAnsiTheme="majorBidi" w:cstheme="majorBidi"/>
        </w:rPr>
        <w:t xml:space="preserve"> as well as managing trade and preventing the diversion of mercury </w:t>
      </w:r>
      <w:r w:rsidR="00066DA8" w:rsidRPr="00631C1C">
        <w:rPr>
          <w:rFonts w:asciiTheme="majorBidi" w:hAnsiTheme="majorBidi" w:cstheme="majorBidi"/>
        </w:rPr>
        <w:t xml:space="preserve">for </w:t>
      </w:r>
      <w:r w:rsidRPr="00631C1C">
        <w:rPr>
          <w:rFonts w:asciiTheme="majorBidi" w:hAnsiTheme="majorBidi" w:cstheme="majorBidi"/>
        </w:rPr>
        <w:t xml:space="preserve">use in artisanal and small-scale gold </w:t>
      </w:r>
      <w:proofErr w:type="gramStart"/>
      <w:r w:rsidRPr="00631C1C">
        <w:rPr>
          <w:rFonts w:asciiTheme="majorBidi" w:hAnsiTheme="majorBidi" w:cstheme="majorBidi"/>
        </w:rPr>
        <w:t>mining;</w:t>
      </w:r>
      <w:proofErr w:type="gramEnd"/>
    </w:p>
    <w:p w14:paraId="3968D795" w14:textId="5DB1283F"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Encourages</w:t>
      </w:r>
      <w:r w:rsidRPr="00B92164">
        <w:rPr>
          <w:rFonts w:asciiTheme="majorBidi" w:hAnsiTheme="majorBidi" w:cstheme="majorBidi"/>
        </w:rPr>
        <w:t xml:space="preserve"> parties to adopt or strengthen </w:t>
      </w:r>
      <w:r w:rsidR="00026B4E" w:rsidRPr="00B92164">
        <w:rPr>
          <w:rFonts w:asciiTheme="majorBidi" w:hAnsiTheme="majorBidi" w:cstheme="majorBidi"/>
        </w:rPr>
        <w:t xml:space="preserve">the </w:t>
      </w:r>
      <w:r w:rsidRPr="00B92164">
        <w:rPr>
          <w:rFonts w:asciiTheme="majorBidi" w:hAnsiTheme="majorBidi" w:cstheme="majorBidi"/>
        </w:rPr>
        <w:t xml:space="preserve">environmentally sustainable management of gold supply chains and measures to identify buyers and intermediaries and </w:t>
      </w:r>
      <w:r w:rsidR="00F02ACA" w:rsidRPr="00B92164">
        <w:rPr>
          <w:rFonts w:asciiTheme="majorBidi" w:hAnsiTheme="majorBidi" w:cstheme="majorBidi"/>
        </w:rPr>
        <w:t xml:space="preserve">to </w:t>
      </w:r>
      <w:r w:rsidRPr="00B92164">
        <w:rPr>
          <w:rFonts w:asciiTheme="majorBidi" w:hAnsiTheme="majorBidi" w:cstheme="majorBidi"/>
        </w:rPr>
        <w:t>make them more responsible in the full life cycle of th</w:t>
      </w:r>
      <w:r w:rsidR="00026B4E" w:rsidRPr="00B92164">
        <w:rPr>
          <w:rFonts w:asciiTheme="majorBidi" w:hAnsiTheme="majorBidi" w:cstheme="majorBidi"/>
        </w:rPr>
        <w:t>o</w:t>
      </w:r>
      <w:r w:rsidRPr="00B92164">
        <w:rPr>
          <w:rFonts w:asciiTheme="majorBidi" w:hAnsiTheme="majorBidi" w:cstheme="majorBidi"/>
        </w:rPr>
        <w:t xml:space="preserve">se supply chains, with a view to discouraging mercury use and illicit gold </w:t>
      </w:r>
      <w:proofErr w:type="gramStart"/>
      <w:r w:rsidRPr="00B92164">
        <w:rPr>
          <w:rFonts w:asciiTheme="majorBidi" w:hAnsiTheme="majorBidi" w:cstheme="majorBidi"/>
        </w:rPr>
        <w:t>trade;</w:t>
      </w:r>
      <w:proofErr w:type="gramEnd"/>
    </w:p>
    <w:p w14:paraId="06233770" w14:textId="7061DE69" w:rsidR="00312042" w:rsidRPr="00B92164" w:rsidRDefault="00026B4E"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Also e</w:t>
      </w:r>
      <w:r w:rsidR="00312042" w:rsidRPr="00B92164">
        <w:rPr>
          <w:rFonts w:asciiTheme="majorBidi" w:hAnsiTheme="majorBidi" w:cstheme="majorBidi"/>
          <w:i/>
          <w:iCs/>
        </w:rPr>
        <w:t>ncourages</w:t>
      </w:r>
      <w:r w:rsidR="00312042" w:rsidRPr="00B92164">
        <w:rPr>
          <w:rFonts w:asciiTheme="majorBidi" w:hAnsiTheme="majorBidi" w:cstheme="majorBidi"/>
        </w:rPr>
        <w:t xml:space="preserve"> parties to consider developing or improving open data practices throughout the gold supply chain, making relevant information publicly available, including verification of origin, with a view to ensuring transparency and accountability throughout the gold </w:t>
      </w:r>
      <w:proofErr w:type="gramStart"/>
      <w:r w:rsidR="00312042" w:rsidRPr="00B92164">
        <w:rPr>
          <w:rFonts w:asciiTheme="majorBidi" w:hAnsiTheme="majorBidi" w:cstheme="majorBidi"/>
        </w:rPr>
        <w:t>industry;</w:t>
      </w:r>
      <w:proofErr w:type="gramEnd"/>
    </w:p>
    <w:p w14:paraId="10128208" w14:textId="6B8F7D04"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 xml:space="preserve">Requests </w:t>
      </w:r>
      <w:r w:rsidRPr="00B92164">
        <w:rPr>
          <w:rFonts w:asciiTheme="majorBidi" w:hAnsiTheme="majorBidi" w:cstheme="majorBidi"/>
        </w:rPr>
        <w:t xml:space="preserve">the secretariat, subject to the availability of resources, in coordination with relevant international initiatives, to compile comparative experiences on supply-chain transparency and certification and how such practices could impact the use of mercury in gold mining, including artisanal and small-scale gold mining, and could enhance </w:t>
      </w:r>
      <w:r w:rsidR="00F02ACA" w:rsidRPr="00B92164">
        <w:rPr>
          <w:rFonts w:asciiTheme="majorBidi" w:hAnsiTheme="majorBidi" w:cstheme="majorBidi"/>
        </w:rPr>
        <w:t xml:space="preserve">the </w:t>
      </w:r>
      <w:r w:rsidRPr="00B92164">
        <w:rPr>
          <w:rFonts w:asciiTheme="majorBidi" w:hAnsiTheme="majorBidi" w:cstheme="majorBidi"/>
        </w:rPr>
        <w:t xml:space="preserve">accountability of buyers and intermediaries, and </w:t>
      </w:r>
      <w:r w:rsidR="00F02ACA" w:rsidRPr="00B92164">
        <w:rPr>
          <w:rFonts w:asciiTheme="majorBidi" w:hAnsiTheme="majorBidi" w:cstheme="majorBidi"/>
        </w:rPr>
        <w:t xml:space="preserve">to </w:t>
      </w:r>
      <w:r w:rsidRPr="00B92164">
        <w:rPr>
          <w:rFonts w:asciiTheme="majorBidi" w:hAnsiTheme="majorBidi" w:cstheme="majorBidi"/>
        </w:rPr>
        <w:t xml:space="preserve">present its findings to the Conference of the Parties at its seventh meeting; </w:t>
      </w:r>
    </w:p>
    <w:p w14:paraId="3113252E" w14:textId="58E4DA01"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bookmarkStart w:id="32" w:name="_Hlk217039969"/>
      <w:bookmarkStart w:id="33" w:name="_Hlk219453229"/>
      <w:r w:rsidRPr="00B92164">
        <w:rPr>
          <w:rFonts w:asciiTheme="majorBidi" w:hAnsiTheme="majorBidi" w:cstheme="majorBidi"/>
          <w:i/>
          <w:iCs/>
        </w:rPr>
        <w:t xml:space="preserve">Recalls </w:t>
      </w:r>
      <w:r w:rsidRPr="00B92164">
        <w:rPr>
          <w:rFonts w:asciiTheme="majorBidi" w:hAnsiTheme="majorBidi" w:cstheme="majorBidi"/>
        </w:rPr>
        <w:t>decision MC-5/7, in which it call</w:t>
      </w:r>
      <w:r w:rsidR="0042504B" w:rsidRPr="00B92164">
        <w:rPr>
          <w:rFonts w:asciiTheme="majorBidi" w:hAnsiTheme="majorBidi" w:cstheme="majorBidi"/>
        </w:rPr>
        <w:t>ed</w:t>
      </w:r>
      <w:r w:rsidRPr="00B92164">
        <w:rPr>
          <w:rFonts w:asciiTheme="majorBidi" w:hAnsiTheme="majorBidi" w:cstheme="majorBidi"/>
        </w:rPr>
        <w:t xml:space="preserve"> on all parties that ha</w:t>
      </w:r>
      <w:r w:rsidR="0042504B" w:rsidRPr="00B92164">
        <w:rPr>
          <w:rFonts w:asciiTheme="majorBidi" w:hAnsiTheme="majorBidi" w:cstheme="majorBidi"/>
        </w:rPr>
        <w:t>d</w:t>
      </w:r>
      <w:r w:rsidRPr="00B92164">
        <w:rPr>
          <w:rFonts w:asciiTheme="majorBidi" w:hAnsiTheme="majorBidi" w:cstheme="majorBidi"/>
        </w:rPr>
        <w:t xml:space="preserve"> notified the secretariat pursuant to paragraph 3 of article 7 and </w:t>
      </w:r>
      <w:r w:rsidR="00EB35AA" w:rsidRPr="00B92164">
        <w:rPr>
          <w:rFonts w:asciiTheme="majorBidi" w:hAnsiTheme="majorBidi" w:cstheme="majorBidi"/>
        </w:rPr>
        <w:t xml:space="preserve">on </w:t>
      </w:r>
      <w:r w:rsidRPr="00B92164">
        <w:rPr>
          <w:rFonts w:asciiTheme="majorBidi" w:hAnsiTheme="majorBidi" w:cstheme="majorBidi"/>
        </w:rPr>
        <w:t xml:space="preserve">the Global Environment Facility to continue to advance implementation of national action plans through projects and </w:t>
      </w:r>
      <w:proofErr w:type="gramStart"/>
      <w:r w:rsidRPr="00B92164">
        <w:rPr>
          <w:rFonts w:asciiTheme="majorBidi" w:hAnsiTheme="majorBidi" w:cstheme="majorBidi"/>
        </w:rPr>
        <w:t>programmes;</w:t>
      </w:r>
      <w:proofErr w:type="gramEnd"/>
    </w:p>
    <w:p w14:paraId="468618FF" w14:textId="464872E7" w:rsidR="00312042" w:rsidRPr="00B92164"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 xml:space="preserve">Also </w:t>
      </w:r>
      <w:r w:rsidR="00312042" w:rsidRPr="00B92164">
        <w:rPr>
          <w:rFonts w:asciiTheme="majorBidi" w:hAnsiTheme="majorBidi" w:cstheme="majorBidi"/>
          <w:i/>
          <w:iCs/>
        </w:rPr>
        <w:t xml:space="preserve">recalls </w:t>
      </w:r>
      <w:r w:rsidR="00312042" w:rsidRPr="00B92164">
        <w:rPr>
          <w:rFonts w:asciiTheme="majorBidi" w:hAnsiTheme="majorBidi" w:cstheme="majorBidi"/>
        </w:rPr>
        <w:t>decision MC-5/7</w:t>
      </w:r>
      <w:r w:rsidRPr="00B92164">
        <w:rPr>
          <w:rFonts w:asciiTheme="majorBidi" w:hAnsiTheme="majorBidi" w:cstheme="majorBidi"/>
        </w:rPr>
        <w:t>,</w:t>
      </w:r>
      <w:r w:rsidR="00312042" w:rsidRPr="00B92164">
        <w:rPr>
          <w:rFonts w:asciiTheme="majorBidi" w:hAnsiTheme="majorBidi" w:cstheme="majorBidi"/>
        </w:rPr>
        <w:t xml:space="preserve"> in which it encourage</w:t>
      </w:r>
      <w:r w:rsidR="0042504B" w:rsidRPr="00B92164">
        <w:rPr>
          <w:rFonts w:asciiTheme="majorBidi" w:hAnsiTheme="majorBidi" w:cstheme="majorBidi"/>
        </w:rPr>
        <w:t>d</w:t>
      </w:r>
      <w:r w:rsidR="00312042" w:rsidRPr="00B92164">
        <w:rPr>
          <w:rFonts w:asciiTheme="majorBidi" w:hAnsiTheme="majorBidi" w:cstheme="majorBidi"/>
        </w:rPr>
        <w:t xml:space="preserve"> parties to work with Indigenous Peoples, as well as local communities, </w:t>
      </w:r>
      <w:proofErr w:type="gramStart"/>
      <w:r w:rsidR="00312042" w:rsidRPr="00B92164">
        <w:rPr>
          <w:rFonts w:asciiTheme="majorBidi" w:hAnsiTheme="majorBidi" w:cstheme="majorBidi"/>
        </w:rPr>
        <w:t>with regard to</w:t>
      </w:r>
      <w:proofErr w:type="gramEnd"/>
      <w:r w:rsidR="00312042" w:rsidRPr="00B92164">
        <w:rPr>
          <w:rFonts w:asciiTheme="majorBidi" w:hAnsiTheme="majorBidi" w:cstheme="majorBidi"/>
        </w:rPr>
        <w:t xml:space="preserve"> artisanal and small-scale gold </w:t>
      </w:r>
      <w:proofErr w:type="gramStart"/>
      <w:r w:rsidR="00312042" w:rsidRPr="00B92164">
        <w:rPr>
          <w:rFonts w:asciiTheme="majorBidi" w:hAnsiTheme="majorBidi" w:cstheme="majorBidi"/>
        </w:rPr>
        <w:t>mining;</w:t>
      </w:r>
      <w:bookmarkEnd w:id="32"/>
      <w:proofErr w:type="gramEnd"/>
    </w:p>
    <w:bookmarkEnd w:id="33"/>
    <w:p w14:paraId="2179CCD3" w14:textId="73213934" w:rsidR="00312042" w:rsidRPr="00631C1C"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rPr>
        <w:t>R</w:t>
      </w:r>
      <w:r w:rsidR="00312042" w:rsidRPr="00631C1C">
        <w:rPr>
          <w:rFonts w:asciiTheme="majorBidi" w:hAnsiTheme="majorBidi" w:cstheme="majorBidi"/>
          <w:i/>
        </w:rPr>
        <w:t>equests</w:t>
      </w:r>
      <w:r w:rsidR="00312042" w:rsidRPr="00631C1C">
        <w:rPr>
          <w:rFonts w:asciiTheme="majorBidi" w:hAnsiTheme="majorBidi" w:cstheme="majorBidi"/>
          <w:i/>
          <w:iCs/>
        </w:rPr>
        <w:t xml:space="preserve"> </w:t>
      </w:r>
      <w:r w:rsidR="00312042" w:rsidRPr="00631C1C">
        <w:rPr>
          <w:rFonts w:asciiTheme="majorBidi" w:hAnsiTheme="majorBidi" w:cstheme="majorBidi"/>
        </w:rPr>
        <w:t>the secretariat to report to the Conference of the Parties at its seventh meeting on the implementation of the present decision.</w:t>
      </w:r>
    </w:p>
    <w:p w14:paraId="58B37A7D"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786F0451" w14:textId="77777777" w:rsidR="00312042" w:rsidRPr="00631C1C" w:rsidRDefault="00312042" w:rsidP="00312042">
      <w:pPr>
        <w:pStyle w:val="CH2"/>
        <w:rPr>
          <w:rFonts w:asciiTheme="majorBidi" w:hAnsiTheme="majorBidi" w:cstheme="majorBidi"/>
        </w:rPr>
      </w:pPr>
      <w:bookmarkStart w:id="34" w:name="_Toc213853066"/>
      <w:r w:rsidRPr="00631C1C">
        <w:rPr>
          <w:rFonts w:asciiTheme="majorBidi" w:hAnsiTheme="majorBidi" w:cstheme="majorBidi"/>
        </w:rPr>
        <w:lastRenderedPageBreak/>
        <w:tab/>
      </w:r>
      <w:r w:rsidRPr="00631C1C">
        <w:rPr>
          <w:rFonts w:asciiTheme="majorBidi" w:hAnsiTheme="majorBidi" w:cstheme="majorBidi"/>
        </w:rPr>
        <w:tab/>
      </w:r>
      <w:bookmarkStart w:id="35" w:name="_Toc219712806"/>
      <w:r w:rsidRPr="00631C1C">
        <w:rPr>
          <w:rFonts w:asciiTheme="majorBidi" w:hAnsiTheme="majorBidi" w:cstheme="majorBidi"/>
        </w:rPr>
        <w:t>Decision MC-6/9: Advancing work related to mercury waste</w:t>
      </w:r>
      <w:bookmarkEnd w:id="34"/>
      <w:bookmarkEnd w:id="35"/>
    </w:p>
    <w:p w14:paraId="5605A1BE" w14:textId="77777777" w:rsidR="00312042" w:rsidRPr="00631C1C" w:rsidRDefault="00312042" w:rsidP="00312042">
      <w:pPr>
        <w:pStyle w:val="NormalNonumber"/>
        <w:tabs>
          <w:tab w:val="clear" w:pos="1247"/>
        </w:tabs>
        <w:ind w:firstLine="624"/>
        <w:rPr>
          <w:rFonts w:asciiTheme="majorBidi" w:eastAsia="Yu Mincho" w:hAnsiTheme="majorBidi" w:cstheme="majorBidi"/>
          <w:i/>
          <w:iCs/>
          <w:lang w:eastAsia="ja-JP"/>
        </w:rPr>
      </w:pPr>
      <w:r w:rsidRPr="00631C1C">
        <w:rPr>
          <w:rFonts w:asciiTheme="majorBidi" w:eastAsia="Yu Mincho" w:hAnsiTheme="majorBidi" w:cstheme="majorBidi"/>
          <w:i/>
          <w:iCs/>
        </w:rPr>
        <w:t>The Conference of the Parties,</w:t>
      </w:r>
    </w:p>
    <w:p w14:paraId="311ADBDA" w14:textId="3113F442" w:rsidR="00312042" w:rsidRPr="00631C1C" w:rsidRDefault="00312042" w:rsidP="00312042">
      <w:pPr>
        <w:pStyle w:val="NormalNonumber"/>
        <w:tabs>
          <w:tab w:val="clear" w:pos="1247"/>
        </w:tabs>
        <w:ind w:firstLine="624"/>
        <w:rPr>
          <w:rFonts w:asciiTheme="majorBidi" w:eastAsia="Yu Mincho" w:hAnsiTheme="majorBidi" w:cstheme="majorBidi"/>
          <w:lang w:eastAsia="ja-JP"/>
        </w:rPr>
      </w:pPr>
      <w:r w:rsidRPr="00631C1C">
        <w:rPr>
          <w:rFonts w:asciiTheme="majorBidi" w:eastAsia="Yu Mincho" w:hAnsiTheme="majorBidi" w:cstheme="majorBidi"/>
          <w:i/>
          <w:iCs/>
        </w:rPr>
        <w:t>Recalling</w:t>
      </w:r>
      <w:r w:rsidRPr="00631C1C">
        <w:rPr>
          <w:rFonts w:asciiTheme="majorBidi" w:eastAsia="Yu Mincho" w:hAnsiTheme="majorBidi" w:cstheme="majorBidi"/>
        </w:rPr>
        <w:t xml:space="preserve"> that</w:t>
      </w:r>
      <w:r w:rsidR="000946E9" w:rsidRPr="00631C1C">
        <w:rPr>
          <w:rFonts w:asciiTheme="majorBidi" w:eastAsia="Yu Mincho" w:hAnsiTheme="majorBidi" w:cstheme="majorBidi"/>
        </w:rPr>
        <w:t>,</w:t>
      </w:r>
      <w:r w:rsidRPr="00631C1C">
        <w:rPr>
          <w:rFonts w:asciiTheme="majorBidi" w:eastAsia="Yu Mincho" w:hAnsiTheme="majorBidi" w:cstheme="majorBidi"/>
        </w:rPr>
        <w:t xml:space="preserve"> in decisions MC-3/5, MC-4/6 and MC-5/10</w:t>
      </w:r>
      <w:r w:rsidR="00953187" w:rsidRPr="00631C1C">
        <w:rPr>
          <w:rFonts w:asciiTheme="majorBidi" w:eastAsia="Yu Mincho" w:hAnsiTheme="majorBidi" w:cstheme="majorBidi"/>
        </w:rPr>
        <w:t>,</w:t>
      </w:r>
      <w:r w:rsidRPr="00631C1C">
        <w:rPr>
          <w:rFonts w:asciiTheme="majorBidi" w:eastAsia="Yu Mincho" w:hAnsiTheme="majorBidi" w:cstheme="majorBidi"/>
        </w:rPr>
        <w:t xml:space="preserve"> the Conference of the Parties to the Minamata Convention on Mercury decided on thresholds for different categories of mercury wastes under article 11 of the Convention,</w:t>
      </w:r>
    </w:p>
    <w:p w14:paraId="6E710E43" w14:textId="5C9C7082" w:rsidR="00312042" w:rsidRPr="00631C1C" w:rsidRDefault="00312042" w:rsidP="00312042">
      <w:pPr>
        <w:pStyle w:val="NormalNonumber"/>
        <w:tabs>
          <w:tab w:val="clear" w:pos="1247"/>
        </w:tabs>
        <w:ind w:firstLine="624"/>
        <w:rPr>
          <w:rFonts w:asciiTheme="majorBidi" w:eastAsia="Yu Mincho" w:hAnsiTheme="majorBidi" w:cstheme="majorBidi"/>
          <w:kern w:val="2"/>
          <w:lang w:eastAsia="ja-JP"/>
          <w14:ligatures w14:val="standardContextual"/>
        </w:rPr>
      </w:pPr>
      <w:r w:rsidRPr="00631C1C">
        <w:rPr>
          <w:rFonts w:asciiTheme="majorBidi" w:eastAsia="Yu Mincho" w:hAnsiTheme="majorBidi" w:cstheme="majorBidi"/>
          <w:i/>
          <w:iCs/>
          <w:kern w:val="2"/>
          <w14:ligatures w14:val="standardContextual"/>
        </w:rPr>
        <w:t>Welcoming</w:t>
      </w:r>
      <w:r w:rsidRPr="00631C1C">
        <w:rPr>
          <w:rFonts w:asciiTheme="majorBidi" w:eastAsia="Yu Mincho" w:hAnsiTheme="majorBidi" w:cstheme="majorBidi"/>
          <w:kern w:val="2"/>
          <w14:ligatures w14:val="standardContextual"/>
        </w:rPr>
        <w:t xml:space="preserve"> </w:t>
      </w:r>
      <w:r w:rsidRPr="00631C1C">
        <w:rPr>
          <w:rFonts w:asciiTheme="majorBidi" w:eastAsia="Yu Mincho" w:hAnsiTheme="majorBidi" w:cstheme="majorBidi"/>
          <w:i/>
          <w:iCs/>
          <w:kern w:val="2"/>
          <w14:ligatures w14:val="standardContextual"/>
        </w:rPr>
        <w:t>with appreciation</w:t>
      </w:r>
      <w:r w:rsidRPr="00631C1C">
        <w:rPr>
          <w:rFonts w:asciiTheme="majorBidi" w:eastAsia="Yu Mincho" w:hAnsiTheme="majorBidi" w:cstheme="majorBidi"/>
          <w:kern w:val="2"/>
          <w14:ligatures w14:val="standardContextual"/>
        </w:rPr>
        <w:t xml:space="preserve"> decision BC-17/14 of the Conference of the Parties to the Basel Convention</w:t>
      </w:r>
      <w:r w:rsidRPr="00631C1C">
        <w:rPr>
          <w:rFonts w:asciiTheme="majorBidi" w:hAnsiTheme="majorBidi" w:cstheme="majorBidi"/>
        </w:rPr>
        <w:t xml:space="preserve"> </w:t>
      </w:r>
      <w:r w:rsidRPr="00631C1C">
        <w:rPr>
          <w:rFonts w:asciiTheme="majorBidi" w:eastAsia="Yu Mincho" w:hAnsiTheme="majorBidi" w:cstheme="majorBidi"/>
        </w:rPr>
        <w:t>on the Control of Transboundary Movements of Hazardous Wastes and Their Disposal</w:t>
      </w:r>
      <w:r w:rsidRPr="00631C1C">
        <w:rPr>
          <w:rFonts w:asciiTheme="majorBidi" w:eastAsia="Yu Mincho" w:hAnsiTheme="majorBidi" w:cstheme="majorBidi"/>
          <w:kern w:val="2"/>
          <w14:ligatures w14:val="standardContextual"/>
        </w:rPr>
        <w:t xml:space="preserve">, according to which the work programme of the Committee Administering the Mechanism for Promoting Implementation and Compliance for the biennium 2026–2027 includes </w:t>
      </w:r>
      <w:r w:rsidR="00644201" w:rsidRPr="00631C1C">
        <w:rPr>
          <w:rFonts w:asciiTheme="majorBidi" w:eastAsia="Yu Mincho" w:hAnsiTheme="majorBidi" w:cstheme="majorBidi"/>
          <w:kern w:val="2"/>
          <w14:ligatures w14:val="standardContextual"/>
        </w:rPr>
        <w:t xml:space="preserve">a </w:t>
      </w:r>
      <w:r w:rsidRPr="00631C1C">
        <w:rPr>
          <w:rFonts w:asciiTheme="majorBidi" w:eastAsia="Yu Mincho" w:hAnsiTheme="majorBidi" w:cstheme="majorBidi"/>
          <w:kern w:val="2"/>
          <w14:ligatures w14:val="standardContextual"/>
        </w:rPr>
        <w:t>review of information provided in national reports on illegal traffic of mercury wastes, in response to the invitation in paragraph 12 of decision MC-5/10 of the Conference of Parties to the Minamata Convention</w:t>
      </w:r>
      <w:r w:rsidR="00B31ABE" w:rsidRPr="00631C1C">
        <w:rPr>
          <w:rFonts w:asciiTheme="majorBidi" w:eastAsia="Yu Mincho" w:hAnsiTheme="majorBidi" w:cstheme="majorBidi"/>
          <w:kern w:val="2"/>
          <w14:ligatures w14:val="standardContextual"/>
        </w:rPr>
        <w:t xml:space="preserve"> </w:t>
      </w:r>
      <w:r w:rsidR="00B31ABE" w:rsidRPr="00631C1C">
        <w:rPr>
          <w:rFonts w:asciiTheme="majorBidi" w:eastAsia="Yu Mincho" w:hAnsiTheme="majorBidi" w:cstheme="majorBidi"/>
        </w:rPr>
        <w:t>on Mercury</w:t>
      </w:r>
      <w:r w:rsidRPr="00631C1C">
        <w:rPr>
          <w:rFonts w:asciiTheme="majorBidi" w:eastAsia="Yu Mincho" w:hAnsiTheme="majorBidi" w:cstheme="majorBidi"/>
          <w:kern w:val="2"/>
          <w14:ligatures w14:val="standardContextual"/>
        </w:rPr>
        <w:t>,</w:t>
      </w:r>
    </w:p>
    <w:p w14:paraId="023D18E7" w14:textId="7895055D" w:rsidR="00312042" w:rsidRPr="00631C1C" w:rsidRDefault="00312042" w:rsidP="00312042">
      <w:pPr>
        <w:pStyle w:val="NormalNonumber"/>
        <w:tabs>
          <w:tab w:val="clear" w:pos="1247"/>
        </w:tabs>
        <w:ind w:firstLine="624"/>
        <w:rPr>
          <w:rFonts w:asciiTheme="majorBidi" w:eastAsia="Yu Mincho" w:hAnsiTheme="majorBidi" w:cstheme="majorBidi"/>
          <w:kern w:val="2"/>
          <w14:ligatures w14:val="standardContextual"/>
        </w:rPr>
      </w:pPr>
      <w:r w:rsidRPr="00631C1C">
        <w:rPr>
          <w:rFonts w:asciiTheme="majorBidi" w:eastAsia="Yu Mincho" w:hAnsiTheme="majorBidi" w:cstheme="majorBidi"/>
          <w:i/>
          <w:iCs/>
          <w:kern w:val="2"/>
          <w14:ligatures w14:val="standardContextual"/>
        </w:rPr>
        <w:t>Welcoming</w:t>
      </w:r>
      <w:r w:rsidRPr="00631C1C">
        <w:rPr>
          <w:rFonts w:asciiTheme="majorBidi" w:eastAsia="Yu Mincho" w:hAnsiTheme="majorBidi" w:cstheme="majorBidi"/>
          <w:kern w:val="2"/>
          <w14:ligatures w14:val="standardContextual"/>
        </w:rPr>
        <w:t xml:space="preserve"> decision BC-17/7 of the Conference of the Parties to the Basel Convention</w:t>
      </w:r>
      <w:r w:rsidR="00644201" w:rsidRPr="00631C1C">
        <w:rPr>
          <w:rFonts w:asciiTheme="majorBidi" w:eastAsia="Yu Mincho" w:hAnsiTheme="majorBidi" w:cstheme="majorBidi"/>
          <w:kern w:val="2"/>
          <w14:ligatures w14:val="standardContextual"/>
        </w:rPr>
        <w:t>, in which the Conference decided</w:t>
      </w:r>
      <w:r w:rsidRPr="00631C1C">
        <w:rPr>
          <w:rFonts w:asciiTheme="majorBidi" w:eastAsia="Yu Mincho" w:hAnsiTheme="majorBidi" w:cstheme="majorBidi"/>
          <w:kern w:val="2"/>
          <w14:ligatures w14:val="standardContextual"/>
        </w:rPr>
        <w:t xml:space="preserve"> to update the technical guidelines on the environmentally sound management of wastes consisting of, containing or contaminated with mercury or mercury compounds in order to reflect adjustments consequential to the establishment of the threshold for mercury wastes falling under </w:t>
      </w:r>
      <w:r w:rsidRPr="00631C1C">
        <w:rPr>
          <w:rFonts w:asciiTheme="majorBidi" w:eastAsia="Yu Mincho" w:hAnsiTheme="majorBidi" w:cstheme="majorBidi"/>
        </w:rPr>
        <w:t>paragraph 2 (c) of article 11 of the Minamata Convention</w:t>
      </w:r>
      <w:r w:rsidR="00B31ABE" w:rsidRPr="00631C1C">
        <w:rPr>
          <w:rFonts w:asciiTheme="majorBidi" w:eastAsia="Yu Mincho" w:hAnsiTheme="majorBidi" w:cstheme="majorBidi"/>
        </w:rPr>
        <w:t xml:space="preserve"> on Mercury</w:t>
      </w:r>
      <w:r w:rsidRPr="00631C1C">
        <w:rPr>
          <w:rFonts w:asciiTheme="majorBidi" w:eastAsia="Yu Mincho" w:hAnsiTheme="majorBidi" w:cstheme="majorBidi"/>
        </w:rPr>
        <w:t>, in accordance with decision MC-5/10,</w:t>
      </w:r>
    </w:p>
    <w:p w14:paraId="7CF1136E" w14:textId="5BF4113E" w:rsidR="00312042" w:rsidRPr="00631C1C" w:rsidRDefault="00312042" w:rsidP="00312042">
      <w:pPr>
        <w:pStyle w:val="NormalNonumber"/>
        <w:tabs>
          <w:tab w:val="clear" w:pos="1247"/>
        </w:tabs>
        <w:ind w:firstLine="624"/>
        <w:rPr>
          <w:rFonts w:asciiTheme="majorBidi" w:eastAsia="Yu Mincho" w:hAnsiTheme="majorBidi" w:cstheme="majorBidi"/>
          <w:kern w:val="2"/>
          <w:lang w:eastAsia="ja-JP"/>
          <w14:ligatures w14:val="standardContextual"/>
        </w:rPr>
      </w:pPr>
      <w:r w:rsidRPr="00631C1C">
        <w:rPr>
          <w:rFonts w:asciiTheme="majorBidi" w:eastAsia="Yu Mincho" w:hAnsiTheme="majorBidi" w:cstheme="majorBidi"/>
          <w:i/>
          <w:iCs/>
          <w:kern w:val="2"/>
          <w:lang w:eastAsia="ja-JP"/>
          <w14:ligatures w14:val="standardContextual"/>
        </w:rPr>
        <w:t>Recognizing</w:t>
      </w:r>
      <w:r w:rsidRPr="00631C1C">
        <w:rPr>
          <w:rFonts w:asciiTheme="majorBidi" w:eastAsia="Yu Mincho" w:hAnsiTheme="majorBidi" w:cstheme="majorBidi"/>
          <w:kern w:val="2"/>
          <w:lang w:eastAsia="ja-JP"/>
          <w14:ligatures w14:val="standardContextual"/>
        </w:rPr>
        <w:t xml:space="preserve"> that the environmentally sound management of mercury waste remains particularly challenging for developing countries, and </w:t>
      </w:r>
      <w:proofErr w:type="gramStart"/>
      <w:r w:rsidRPr="00631C1C">
        <w:rPr>
          <w:rFonts w:asciiTheme="majorBidi" w:eastAsia="Yu Mincho" w:hAnsiTheme="majorBidi" w:cstheme="majorBidi"/>
          <w:kern w:val="2"/>
          <w:lang w:eastAsia="ja-JP"/>
          <w14:ligatures w14:val="standardContextual"/>
        </w:rPr>
        <w:t>taking into account</w:t>
      </w:r>
      <w:proofErr w:type="gramEnd"/>
      <w:r w:rsidRPr="00631C1C">
        <w:rPr>
          <w:rFonts w:asciiTheme="majorBidi" w:eastAsia="Yu Mincho" w:hAnsiTheme="majorBidi" w:cstheme="majorBidi"/>
          <w:kern w:val="2"/>
          <w:lang w:eastAsia="ja-JP"/>
          <w14:ligatures w14:val="standardContextual"/>
        </w:rPr>
        <w:t xml:space="preserve"> article 14,</w:t>
      </w:r>
    </w:p>
    <w:p w14:paraId="47836809" w14:textId="5D5BBBEF"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lang w:eastAsia="ja-JP"/>
        </w:rPr>
      </w:pPr>
      <w:r w:rsidRPr="00631C1C">
        <w:rPr>
          <w:rFonts w:asciiTheme="majorBidi" w:eastAsia="MS Mincho" w:hAnsiTheme="majorBidi" w:cstheme="majorBidi"/>
          <w:i/>
          <w:iCs/>
          <w:lang w:eastAsia="ja-JP"/>
        </w:rPr>
        <w:t xml:space="preserve">Invites </w:t>
      </w:r>
      <w:r w:rsidR="00127310" w:rsidRPr="00631C1C">
        <w:rPr>
          <w:rFonts w:asciiTheme="majorBidi" w:eastAsia="MS Mincho" w:hAnsiTheme="majorBidi" w:cstheme="majorBidi"/>
          <w:lang w:eastAsia="ja-JP"/>
        </w:rPr>
        <w:t>p</w:t>
      </w:r>
      <w:r w:rsidRPr="00631C1C">
        <w:rPr>
          <w:rFonts w:asciiTheme="majorBidi" w:eastAsia="MS Mincho" w:hAnsiTheme="majorBidi" w:cstheme="majorBidi"/>
          <w:lang w:eastAsia="ja-JP"/>
        </w:rPr>
        <w:t xml:space="preserve">arties and </w:t>
      </w:r>
      <w:r w:rsidRPr="00631C1C">
        <w:rPr>
          <w:rFonts w:asciiTheme="majorBidi" w:hAnsiTheme="majorBidi" w:cstheme="majorBidi"/>
        </w:rPr>
        <w:t>relevant</w:t>
      </w:r>
      <w:r w:rsidRPr="00631C1C">
        <w:rPr>
          <w:rFonts w:asciiTheme="majorBidi" w:eastAsia="MS Mincho" w:hAnsiTheme="majorBidi" w:cstheme="majorBidi"/>
          <w:lang w:eastAsia="ja-JP"/>
        </w:rPr>
        <w:t xml:space="preserve"> stakeholders to submit, as appropriate, any proposed updates to the lists in tables 1, 2 and 3 of the annex to decision MC-3/5 to the secretariat </w:t>
      </w:r>
      <w:r w:rsidR="00643B57">
        <w:rPr>
          <w:rFonts w:asciiTheme="majorBidi" w:eastAsia="MS Mincho" w:hAnsiTheme="majorBidi" w:cstheme="majorBidi"/>
          <w:lang w:eastAsia="ja-JP"/>
        </w:rPr>
        <w:t>no later than</w:t>
      </w:r>
      <w:r w:rsidRPr="00631C1C">
        <w:rPr>
          <w:rFonts w:asciiTheme="majorBidi" w:eastAsia="MS Mincho" w:hAnsiTheme="majorBidi" w:cstheme="majorBidi"/>
          <w:lang w:eastAsia="ja-JP"/>
        </w:rPr>
        <w:t xml:space="preserve"> six months before the seventh meeting of the Conference of the Parties for the secretariat to</w:t>
      </w:r>
      <w:r w:rsidR="00DC0B04" w:rsidRPr="00631C1C">
        <w:rPr>
          <w:rFonts w:asciiTheme="majorBidi" w:eastAsia="MS Mincho" w:hAnsiTheme="majorBidi" w:cstheme="majorBidi"/>
          <w:lang w:eastAsia="ja-JP"/>
        </w:rPr>
        <w:t xml:space="preserve"> compile</w:t>
      </w:r>
      <w:r w:rsidRPr="00631C1C">
        <w:rPr>
          <w:rFonts w:asciiTheme="majorBidi" w:eastAsia="MS Mincho" w:hAnsiTheme="majorBidi" w:cstheme="majorBidi"/>
          <w:lang w:eastAsia="ja-JP"/>
        </w:rPr>
        <w:t>, subject to the availability of resources, for consideration by the Conference of the Parties at its seventh meeting;</w:t>
      </w:r>
    </w:p>
    <w:p w14:paraId="173B029B" w14:textId="50445FC8"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pPr>
      <w:r w:rsidRPr="00631C1C">
        <w:rPr>
          <w:rFonts w:asciiTheme="majorBidi" w:eastAsia="MS Mincho" w:hAnsiTheme="majorBidi" w:cstheme="majorBidi"/>
          <w:i/>
          <w:iCs/>
          <w:kern w:val="2"/>
          <w:lang w:eastAsia="ja-JP"/>
          <w14:ligatures w14:val="standardContextual"/>
        </w:rPr>
        <w:t>Requests</w:t>
      </w:r>
      <w:r w:rsidRPr="00631C1C">
        <w:rPr>
          <w:rFonts w:asciiTheme="majorBidi" w:eastAsia="MS Mincho" w:hAnsiTheme="majorBidi" w:cstheme="majorBidi"/>
          <w:kern w:val="2"/>
          <w:lang w:eastAsia="ja-JP"/>
          <w14:ligatures w14:val="standardContextual"/>
        </w:rPr>
        <w:t xml:space="preserve"> the parties and the secretariat to take the actions agreed on in decision MC</w:t>
      </w:r>
      <w:r w:rsidRPr="00631C1C">
        <w:rPr>
          <w:rFonts w:asciiTheme="majorBidi" w:eastAsia="MS Mincho" w:hAnsiTheme="majorBidi" w:cstheme="majorBidi"/>
          <w:kern w:val="2"/>
          <w:lang w:eastAsia="ja-JP"/>
          <w14:ligatures w14:val="standardContextual"/>
        </w:rPr>
        <w:noBreakHyphen/>
        <w:t xml:space="preserve">5/10 as soon as practicable or as required to facilitate the implementation of article </w:t>
      </w:r>
      <w:proofErr w:type="gramStart"/>
      <w:r w:rsidRPr="00631C1C">
        <w:rPr>
          <w:rFonts w:asciiTheme="majorBidi" w:eastAsia="MS Mincho" w:hAnsiTheme="majorBidi" w:cstheme="majorBidi"/>
          <w:kern w:val="2"/>
          <w:lang w:eastAsia="ja-JP"/>
          <w14:ligatures w14:val="standardContextual"/>
        </w:rPr>
        <w:t>11;</w:t>
      </w:r>
      <w:proofErr w:type="gramEnd"/>
    </w:p>
    <w:p w14:paraId="4DDFA5E9" w14:textId="23459D7D"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pPr>
      <w:r w:rsidRPr="00631C1C">
        <w:rPr>
          <w:rFonts w:asciiTheme="majorBidi" w:eastAsia="MS Mincho" w:hAnsiTheme="majorBidi" w:cstheme="majorBidi"/>
          <w:i/>
          <w:iCs/>
          <w:kern w:val="2"/>
          <w:lang w:eastAsia="ja-JP"/>
          <w14:ligatures w14:val="standardContextual"/>
        </w:rPr>
        <w:t>Requests</w:t>
      </w:r>
      <w:r w:rsidRPr="00631C1C">
        <w:rPr>
          <w:rFonts w:asciiTheme="majorBidi" w:eastAsia="MS Mincho" w:hAnsiTheme="majorBidi" w:cstheme="majorBidi"/>
          <w:kern w:val="2"/>
          <w:lang w:eastAsia="ja-JP"/>
          <w14:ligatures w14:val="standardContextual"/>
        </w:rPr>
        <w:t xml:space="preserve"> the secretariat to compile and summarize submissions from parties and relevant stakeholders of any scientific and regulatory data on the effectiveness of the threshold for waste falling under paragraph 2 (c) of article 11, as well as on challenges and experiences related to its use, for consideration by the Conference of the Parties at its seventh </w:t>
      </w:r>
      <w:proofErr w:type="gramStart"/>
      <w:r w:rsidRPr="00631C1C">
        <w:rPr>
          <w:rFonts w:asciiTheme="majorBidi" w:eastAsia="MS Mincho" w:hAnsiTheme="majorBidi" w:cstheme="majorBidi"/>
          <w:kern w:val="2"/>
          <w:lang w:eastAsia="ja-JP"/>
          <w14:ligatures w14:val="standardContextual"/>
        </w:rPr>
        <w:t>meeting;</w:t>
      </w:r>
      <w:proofErr w:type="gramEnd"/>
    </w:p>
    <w:p w14:paraId="17ECBEED" w14:textId="6A1B54F8"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sectPr w:rsidR="00312042" w:rsidRPr="00631C1C" w:rsidSect="00E84D8D">
          <w:type w:val="continuous"/>
          <w:pgSz w:w="11906" w:h="16838" w:code="9"/>
          <w:pgMar w:top="907" w:right="992" w:bottom="1418" w:left="1418" w:header="539" w:footer="975" w:gutter="0"/>
          <w:cols w:space="539"/>
          <w:docGrid w:linePitch="360"/>
        </w:sectPr>
      </w:pPr>
      <w:r w:rsidRPr="00631C1C">
        <w:rPr>
          <w:rFonts w:asciiTheme="majorBidi" w:eastAsia="MS Mincho" w:hAnsiTheme="majorBidi" w:cstheme="majorBidi"/>
          <w:i/>
          <w:iCs/>
          <w:kern w:val="2"/>
          <w:lang w:eastAsia="ja-JP"/>
          <w14:ligatures w14:val="standardContextual"/>
        </w:rPr>
        <w:t>Also requests</w:t>
      </w:r>
      <w:r w:rsidRPr="00631C1C">
        <w:rPr>
          <w:rFonts w:asciiTheme="majorBidi" w:eastAsia="MS Mincho" w:hAnsiTheme="majorBidi" w:cstheme="majorBidi"/>
          <w:kern w:val="2"/>
          <w:lang w:eastAsia="ja-JP"/>
          <w14:ligatures w14:val="standardContextual"/>
        </w:rPr>
        <w:t xml:space="preserve"> the secretariat to compile and summarize submissions from parties of any information on the implementation of the different approach referred to in paragraph 2 of decision MC-5/10, for consideration by the Conference of the Parties at its seventh meeting.</w:t>
      </w:r>
    </w:p>
    <w:p w14:paraId="7065576C" w14:textId="77777777" w:rsidR="00312042" w:rsidRPr="00631C1C" w:rsidRDefault="00312042" w:rsidP="00312042">
      <w:pPr>
        <w:pStyle w:val="Normal-pool"/>
      </w:pPr>
      <w:r w:rsidRPr="00631C1C">
        <w:br w:type="page"/>
      </w:r>
    </w:p>
    <w:p w14:paraId="7AD7B574" w14:textId="77777777" w:rsidR="00312042" w:rsidRPr="00631C1C" w:rsidRDefault="00312042" w:rsidP="00312042">
      <w:pPr>
        <w:pStyle w:val="CH2"/>
        <w:rPr>
          <w:rFonts w:asciiTheme="majorBidi" w:hAnsiTheme="majorBidi" w:cstheme="majorBidi"/>
        </w:rPr>
      </w:pPr>
      <w:bookmarkStart w:id="36" w:name="_Toc213853067"/>
      <w:r w:rsidRPr="00631C1C">
        <w:rPr>
          <w:rFonts w:asciiTheme="majorBidi" w:hAnsiTheme="majorBidi" w:cstheme="majorBidi"/>
        </w:rPr>
        <w:lastRenderedPageBreak/>
        <w:tab/>
      </w:r>
      <w:r w:rsidRPr="00631C1C">
        <w:rPr>
          <w:rFonts w:asciiTheme="majorBidi" w:hAnsiTheme="majorBidi" w:cstheme="majorBidi"/>
        </w:rPr>
        <w:tab/>
      </w:r>
      <w:bookmarkStart w:id="37" w:name="_Toc219712807"/>
      <w:r w:rsidRPr="00631C1C">
        <w:rPr>
          <w:rFonts w:asciiTheme="majorBidi" w:hAnsiTheme="majorBidi" w:cstheme="majorBidi"/>
        </w:rPr>
        <w:t>Decision MC-6/10: Financial mechanism</w:t>
      </w:r>
      <w:bookmarkEnd w:id="36"/>
      <w:bookmarkEnd w:id="37"/>
    </w:p>
    <w:p w14:paraId="405920A5"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36463D5F" w14:textId="1817EDA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Highlighting</w:t>
      </w:r>
      <w:r w:rsidRPr="00631C1C">
        <w:rPr>
          <w:rFonts w:asciiTheme="majorBidi" w:hAnsiTheme="majorBidi" w:cstheme="majorBidi"/>
        </w:rPr>
        <w:t xml:space="preserve"> the central roles of the Global Environment Facility trust fund and the Specific International Programme to Support Capacity-Building and Technical Assistance as the entities comprising the financial mechanism of the Minamata Convention on Mercury,</w:t>
      </w:r>
    </w:p>
    <w:p w14:paraId="3FAD40C6" w14:textId="298F639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for the approval by the Global Environment Facility Council of a new enabling activity </w:t>
      </w:r>
      <w:r w:rsidR="007219C6">
        <w:rPr>
          <w:rFonts w:asciiTheme="majorBidi" w:hAnsiTheme="majorBidi" w:cstheme="majorBidi"/>
        </w:rPr>
        <w:t>for</w:t>
      </w:r>
      <w:r w:rsidRPr="00631C1C">
        <w:rPr>
          <w:rFonts w:asciiTheme="majorBidi" w:hAnsiTheme="majorBidi" w:cstheme="majorBidi"/>
        </w:rPr>
        <w:t xml:space="preserve"> </w:t>
      </w:r>
      <w:r w:rsidR="003635C2" w:rsidRPr="00631C1C">
        <w:rPr>
          <w:rFonts w:asciiTheme="majorBidi" w:hAnsiTheme="majorBidi" w:cstheme="majorBidi"/>
        </w:rPr>
        <w:t xml:space="preserve">the </w:t>
      </w:r>
      <w:r w:rsidRPr="00631C1C">
        <w:rPr>
          <w:rFonts w:asciiTheme="majorBidi" w:hAnsiTheme="majorBidi" w:cstheme="majorBidi"/>
        </w:rPr>
        <w:t xml:space="preserve">review of the implementation of article 7 of the Convention, </w:t>
      </w:r>
    </w:p>
    <w:p w14:paraId="749ACEE8" w14:textId="3C30B16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Taking note </w:t>
      </w:r>
      <w:r w:rsidRPr="00631C1C">
        <w:rPr>
          <w:rFonts w:asciiTheme="majorBidi" w:hAnsiTheme="majorBidi" w:cstheme="majorBidi"/>
        </w:rPr>
        <w:t>of the recommendation of the Implementation and Compliance Committee of the Convention to parties that rely on the Minamata Initial Assessment baseline information to consider more up-to-date sources of information,</w:t>
      </w:r>
    </w:p>
    <w:p w14:paraId="72009875" w14:textId="3313A01B"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for the resources generously contributed by donors to the Specific International Programme for the fourth and fifth rounds of replenishment, and expressing appreciation </w:t>
      </w:r>
      <w:r w:rsidR="00F83BBD" w:rsidRPr="00631C1C">
        <w:rPr>
          <w:rFonts w:asciiTheme="majorBidi" w:hAnsiTheme="majorBidi" w:cstheme="majorBidi"/>
        </w:rPr>
        <w:t xml:space="preserve">also </w:t>
      </w:r>
      <w:r w:rsidRPr="00631C1C">
        <w:rPr>
          <w:rFonts w:asciiTheme="majorBidi" w:hAnsiTheme="majorBidi" w:cstheme="majorBidi"/>
        </w:rPr>
        <w:t>for the successful launch of the fourth round of applications,</w:t>
      </w:r>
    </w:p>
    <w:p w14:paraId="1BE5BC37" w14:textId="147A5B8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decision MC-5/1, in which it noted the importance of broadening the participation of Indigenous Peoples, as well as local communities, in the implementation of projects and programmes undertaken under the Convention,</w:t>
      </w:r>
    </w:p>
    <w:p w14:paraId="57723942" w14:textId="77777777"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w:t>
      </w:r>
      <w:r w:rsidRPr="00631C1C">
        <w:rPr>
          <w:rFonts w:asciiTheme="majorBidi" w:hAnsiTheme="majorBidi" w:cstheme="majorBidi"/>
          <w:i/>
          <w:iCs/>
        </w:rPr>
        <w:t>with concern</w:t>
      </w:r>
      <w:r w:rsidRPr="00631C1C">
        <w:rPr>
          <w:rFonts w:asciiTheme="majorBidi" w:hAnsiTheme="majorBidi" w:cstheme="majorBidi"/>
        </w:rPr>
        <w:t xml:space="preserve"> that dental amalgam represents the largest remaining use of mercury in mercury-added products,</w:t>
      </w:r>
    </w:p>
    <w:p w14:paraId="540B8A6B" w14:textId="53736ED1"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Recognizing</w:t>
      </w:r>
      <w:r w:rsidRPr="00631C1C">
        <w:rPr>
          <w:rFonts w:asciiTheme="majorBidi" w:hAnsiTheme="majorBidi" w:cstheme="majorBidi"/>
        </w:rPr>
        <w:t xml:space="preserve"> that</w:t>
      </w:r>
      <w:r w:rsidR="0040584F" w:rsidRPr="00631C1C">
        <w:rPr>
          <w:rFonts w:asciiTheme="majorBidi" w:hAnsiTheme="majorBidi" w:cstheme="majorBidi"/>
        </w:rPr>
        <w:t>,</w:t>
      </w:r>
      <w:r w:rsidRPr="00631C1C">
        <w:rPr>
          <w:rFonts w:asciiTheme="majorBidi" w:hAnsiTheme="majorBidi" w:cstheme="majorBidi"/>
        </w:rPr>
        <w:t xml:space="preserve"> since its first meeting</w:t>
      </w:r>
      <w:r w:rsidR="0040584F" w:rsidRPr="00631C1C">
        <w:rPr>
          <w:rFonts w:asciiTheme="majorBidi" w:hAnsiTheme="majorBidi" w:cstheme="majorBidi"/>
        </w:rPr>
        <w:t>,</w:t>
      </w:r>
      <w:r w:rsidRPr="00631C1C">
        <w:rPr>
          <w:rFonts w:asciiTheme="majorBidi" w:hAnsiTheme="majorBidi" w:cstheme="majorBidi"/>
        </w:rPr>
        <w:t xml:space="preserve"> it has adopted additional measures on dental amalgam, which may require further action by parties,</w:t>
      </w:r>
    </w:p>
    <w:p w14:paraId="59CA04DC" w14:textId="12F1E8CE"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Welcomes </w:t>
      </w:r>
      <w:r w:rsidRPr="00631C1C">
        <w:rPr>
          <w:rFonts w:asciiTheme="majorBidi" w:hAnsiTheme="majorBidi" w:cstheme="majorBidi"/>
        </w:rPr>
        <w:t>the ongoing ninth replenishment process of the Global Environment Facility trust fund</w:t>
      </w:r>
      <w:r w:rsidR="00770046" w:rsidRPr="00631C1C">
        <w:rPr>
          <w:rFonts w:asciiTheme="majorBidi" w:hAnsiTheme="majorBidi" w:cstheme="majorBidi"/>
        </w:rPr>
        <w:t>,</w:t>
      </w:r>
      <w:r w:rsidRPr="00631C1C">
        <w:rPr>
          <w:rFonts w:asciiTheme="majorBidi" w:hAnsiTheme="majorBidi" w:cstheme="majorBidi"/>
        </w:rPr>
        <w:t xml:space="preserve"> and highlights the importance of the ninth replenishment for the parties to the Minamata Convention on Mercury for the period 2026–2030 with respect to their respective obligations and deadlines to be met under the </w:t>
      </w:r>
      <w:proofErr w:type="gramStart"/>
      <w:r w:rsidRPr="00631C1C">
        <w:rPr>
          <w:rFonts w:asciiTheme="majorBidi" w:hAnsiTheme="majorBidi" w:cstheme="majorBidi"/>
        </w:rPr>
        <w:t>Convention;</w:t>
      </w:r>
      <w:proofErr w:type="gramEnd"/>
    </w:p>
    <w:p w14:paraId="36294B88" w14:textId="06A2A75E"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bookmarkStart w:id="38" w:name="_Hlk213072851"/>
      <w:r w:rsidRPr="00631C1C">
        <w:rPr>
          <w:rFonts w:asciiTheme="majorBidi" w:hAnsiTheme="majorBidi" w:cstheme="majorBidi"/>
          <w:i/>
          <w:iCs/>
        </w:rPr>
        <w:t>Recalls</w:t>
      </w:r>
      <w:r w:rsidRPr="00631C1C">
        <w:rPr>
          <w:rFonts w:asciiTheme="majorBidi" w:hAnsiTheme="majorBidi" w:cstheme="majorBidi"/>
        </w:rPr>
        <w:t xml:space="preserve"> decision MC-1/5, in which it provided guidance to the Global Environment </w:t>
      </w:r>
      <w:proofErr w:type="gramStart"/>
      <w:r w:rsidRPr="00631C1C">
        <w:rPr>
          <w:rFonts w:asciiTheme="majorBidi" w:hAnsiTheme="majorBidi" w:cstheme="majorBidi"/>
        </w:rPr>
        <w:t>Facility;</w:t>
      </w:r>
      <w:proofErr w:type="gramEnd"/>
    </w:p>
    <w:bookmarkEnd w:id="38"/>
    <w:p w14:paraId="6943718D" w14:textId="00FB4A4F"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Provides</w:t>
      </w:r>
      <w:r w:rsidRPr="00631C1C">
        <w:rPr>
          <w:rFonts w:asciiTheme="majorBidi" w:hAnsiTheme="majorBidi" w:cstheme="majorBidi"/>
        </w:rPr>
        <w:t xml:space="preserve"> </w:t>
      </w:r>
      <w:r w:rsidRPr="00AF1CAD">
        <w:rPr>
          <w:rFonts w:asciiTheme="majorBidi" w:hAnsiTheme="majorBidi" w:cstheme="majorBidi"/>
        </w:rPr>
        <w:t>additional guidance</w:t>
      </w:r>
      <w:r w:rsidRPr="00631C1C">
        <w:rPr>
          <w:rFonts w:asciiTheme="majorBidi" w:hAnsiTheme="majorBidi" w:cstheme="majorBidi"/>
        </w:rPr>
        <w:t xml:space="preserve"> to the Global Environment Facility, to supplement the guidance set out in </w:t>
      </w:r>
      <w:r w:rsidR="00CC1706" w:rsidRPr="00631C1C">
        <w:rPr>
          <w:rFonts w:asciiTheme="majorBidi" w:hAnsiTheme="majorBidi" w:cstheme="majorBidi"/>
        </w:rPr>
        <w:t xml:space="preserve">the annex to </w:t>
      </w:r>
      <w:r w:rsidRPr="00631C1C">
        <w:rPr>
          <w:rFonts w:asciiTheme="majorBidi" w:hAnsiTheme="majorBidi" w:cstheme="majorBidi"/>
        </w:rPr>
        <w:t xml:space="preserve">decision MC-1/5, by adding the updating of the Minamata Initial Assessments and the monitoring of human exposure to mercury and environmental concentrations of mercury to the list of activities to implement the provisions of the Convention, contained in </w:t>
      </w:r>
      <w:r w:rsidR="00CC1706" w:rsidRPr="00631C1C">
        <w:rPr>
          <w:rFonts w:asciiTheme="majorBidi" w:hAnsiTheme="majorBidi" w:cstheme="majorBidi"/>
        </w:rPr>
        <w:t xml:space="preserve">section </w:t>
      </w:r>
      <w:r w:rsidRPr="00631C1C">
        <w:rPr>
          <w:rFonts w:asciiTheme="majorBidi" w:hAnsiTheme="majorBidi" w:cstheme="majorBidi"/>
        </w:rPr>
        <w:t xml:space="preserve">IV.B of </w:t>
      </w:r>
      <w:r w:rsidR="00CC1706" w:rsidRPr="00631C1C">
        <w:rPr>
          <w:rFonts w:asciiTheme="majorBidi" w:hAnsiTheme="majorBidi" w:cstheme="majorBidi"/>
        </w:rPr>
        <w:t xml:space="preserve">the annex to </w:t>
      </w:r>
      <w:r w:rsidRPr="00631C1C">
        <w:rPr>
          <w:rFonts w:asciiTheme="majorBidi" w:hAnsiTheme="majorBidi" w:cstheme="majorBidi"/>
        </w:rPr>
        <w:t>decision MC-1/5, and recalls the importance of providing support to address challenges arising from the obligations related to dental amalgam;</w:t>
      </w:r>
    </w:p>
    <w:p w14:paraId="5B68238F" w14:textId="060B17E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Recalls</w:t>
      </w:r>
      <w:r w:rsidRPr="00631C1C">
        <w:rPr>
          <w:rFonts w:asciiTheme="majorBidi" w:hAnsiTheme="majorBidi" w:cstheme="majorBidi"/>
        </w:rPr>
        <w:t xml:space="preserve"> its guidance to the Global Environment Facility, in decision MC-5/11, to take into account the time frames to which parties must adhere for the implementation of mandatory obligations in developing its programming directions and resource allocations for the ninth replenishment period, and in further developing projects and programmes under the programming directions for the eighth replenishment, as a supplement to the guidance of the Conference of the Parties, and requests the secretariat of the Convention to transmit the information as outlined in the compilation of obligations and deadlines under the Convention and the extent to which such obligations and deadlines are being met by parties</w:t>
      </w:r>
      <w:r w:rsidRPr="00631C1C">
        <w:rPr>
          <w:rStyle w:val="FootnoteReference"/>
          <w:rFonts w:asciiTheme="majorBidi" w:hAnsiTheme="majorBidi" w:cstheme="majorBidi"/>
        </w:rPr>
        <w:footnoteReference w:id="19"/>
      </w:r>
      <w:r w:rsidRPr="00631C1C">
        <w:rPr>
          <w:rFonts w:asciiTheme="majorBidi" w:hAnsiTheme="majorBidi" w:cstheme="majorBidi"/>
        </w:rPr>
        <w:t xml:space="preserve"> to the Global Environment Facility;</w:t>
      </w:r>
    </w:p>
    <w:p w14:paraId="45291006"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 xml:space="preserve">the secretariat to continue to cooperate with the secretariat of the Global Environment Facility in the evaluation of its </w:t>
      </w:r>
      <w:proofErr w:type="gramStart"/>
      <w:r w:rsidRPr="00631C1C">
        <w:rPr>
          <w:rFonts w:asciiTheme="majorBidi" w:hAnsiTheme="majorBidi" w:cstheme="majorBidi"/>
        </w:rPr>
        <w:t>projects;</w:t>
      </w:r>
      <w:proofErr w:type="gramEnd"/>
    </w:p>
    <w:p w14:paraId="53587F4F" w14:textId="0F23D853"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the Global Environment Facility, in reporting project results, to provide data and information on mercury reduction and avoidance as well as on efforts to advance the effective engagement and participation of Indigenous Peoples, as well as local communities, and women and youth, to improve the understanding of any measurable results </w:t>
      </w:r>
      <w:proofErr w:type="gramStart"/>
      <w:r w:rsidRPr="00631C1C">
        <w:rPr>
          <w:rFonts w:asciiTheme="majorBidi" w:hAnsiTheme="majorBidi" w:cstheme="majorBidi"/>
        </w:rPr>
        <w:t>achieved;</w:t>
      </w:r>
      <w:proofErr w:type="gramEnd"/>
    </w:p>
    <w:p w14:paraId="0518DE55"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Reiterates </w:t>
      </w:r>
      <w:r w:rsidRPr="00631C1C">
        <w:rPr>
          <w:rFonts w:asciiTheme="majorBidi" w:hAnsiTheme="majorBidi" w:cstheme="majorBidi"/>
        </w:rPr>
        <w:t xml:space="preserve">the importance of relevant parties’ working through their operational focal points to make prompt and full use of the programming directions and resource allocation under the Global Environment Facility trust </w:t>
      </w:r>
      <w:proofErr w:type="gramStart"/>
      <w:r w:rsidRPr="00631C1C">
        <w:rPr>
          <w:rFonts w:asciiTheme="majorBidi" w:hAnsiTheme="majorBidi" w:cstheme="majorBidi"/>
        </w:rPr>
        <w:t>fund;</w:t>
      </w:r>
      <w:proofErr w:type="gramEnd"/>
    </w:p>
    <w:p w14:paraId="2616142F" w14:textId="59C16B7D"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Takes note </w:t>
      </w:r>
      <w:r w:rsidRPr="00631C1C">
        <w:rPr>
          <w:rFonts w:asciiTheme="majorBidi" w:hAnsiTheme="majorBidi" w:cstheme="majorBidi"/>
        </w:rPr>
        <w:t xml:space="preserve">of the draft analysis by the secretariat of expected funding and staffing needs for the remaining time of the initial term and for a potential extension of the Specific International Programme </w:t>
      </w:r>
      <w:r w:rsidR="003565EC" w:rsidRPr="00631C1C">
        <w:rPr>
          <w:rFonts w:asciiTheme="majorBidi" w:hAnsiTheme="majorBidi" w:cstheme="majorBidi"/>
        </w:rPr>
        <w:t xml:space="preserve">to Support Capacity-Building and Technical Assistance </w:t>
      </w:r>
      <w:r w:rsidRPr="00631C1C">
        <w:rPr>
          <w:rFonts w:asciiTheme="majorBidi" w:hAnsiTheme="majorBidi" w:cstheme="majorBidi"/>
        </w:rPr>
        <w:t xml:space="preserve">for an additional </w:t>
      </w:r>
      <w:r w:rsidRPr="00631C1C">
        <w:rPr>
          <w:rFonts w:asciiTheme="majorBidi" w:hAnsiTheme="majorBidi" w:cstheme="majorBidi"/>
        </w:rPr>
        <w:lastRenderedPageBreak/>
        <w:t xml:space="preserve">period not exceeding seven years, and requests the secretariat to work with the Governing Board </w:t>
      </w:r>
      <w:r w:rsidR="00CC1706" w:rsidRPr="00631C1C">
        <w:rPr>
          <w:rFonts w:asciiTheme="majorBidi" w:hAnsiTheme="majorBidi" w:cstheme="majorBidi"/>
        </w:rPr>
        <w:t xml:space="preserve">of the Specific International Programme </w:t>
      </w:r>
      <w:r w:rsidRPr="00631C1C">
        <w:rPr>
          <w:rFonts w:asciiTheme="majorBidi" w:hAnsiTheme="majorBidi" w:cstheme="majorBidi"/>
        </w:rPr>
        <w:t>to finalize the draft analysis and prepare draft recommendations for consideration by the Conference of the Parties at its seventh meeting;</w:t>
      </w:r>
    </w:p>
    <w:p w14:paraId="3811167B"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Agrees </w:t>
      </w:r>
      <w:r w:rsidRPr="00631C1C">
        <w:rPr>
          <w:rFonts w:asciiTheme="majorBidi" w:hAnsiTheme="majorBidi" w:cstheme="majorBidi"/>
        </w:rPr>
        <w:t xml:space="preserve">to consider the extension of the Specific International Programme for an additional period not exceeding seven years at the seventh meeting of the Conference of the Parties, noting that the third review of the financial mechanism is scheduled to take place at the same </w:t>
      </w:r>
      <w:proofErr w:type="gramStart"/>
      <w:r w:rsidRPr="00631C1C">
        <w:rPr>
          <w:rFonts w:asciiTheme="majorBidi" w:hAnsiTheme="majorBidi" w:cstheme="majorBidi"/>
        </w:rPr>
        <w:t>meeting;</w:t>
      </w:r>
      <w:proofErr w:type="gramEnd"/>
    </w:p>
    <w:p w14:paraId="02984A7F" w14:textId="64DE8DEE"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946C84">
        <w:rPr>
          <w:rFonts w:asciiTheme="majorBidi" w:hAnsiTheme="majorBidi" w:cstheme="majorBidi"/>
          <w:i/>
          <w:iCs/>
        </w:rPr>
        <w:t>Encourages</w:t>
      </w:r>
      <w:r w:rsidRPr="00946C84">
        <w:rPr>
          <w:rFonts w:asciiTheme="majorBidi" w:hAnsiTheme="majorBidi" w:cstheme="majorBidi"/>
        </w:rPr>
        <w:t xml:space="preserve"> the secretariat to continue coordinating with the Global Framework on Chemicals Fund for the Global Framework on Chemicals – for a Planet Free of Harm from Chemicals and Waste and with</w:t>
      </w:r>
      <w:r w:rsidRPr="00631C1C">
        <w:rPr>
          <w:rFonts w:asciiTheme="majorBidi" w:hAnsiTheme="majorBidi" w:cstheme="majorBidi"/>
        </w:rPr>
        <w:t xml:space="preserve"> the </w:t>
      </w:r>
      <w:bookmarkStart w:id="39" w:name="_Hlk219453663"/>
      <w:r w:rsidRPr="00631C1C">
        <w:rPr>
          <w:rFonts w:asciiTheme="majorBidi" w:hAnsiTheme="majorBidi" w:cstheme="majorBidi"/>
        </w:rPr>
        <w:t>Special Programme</w:t>
      </w:r>
      <w:r w:rsidR="00A8123E" w:rsidRPr="00631C1C">
        <w:rPr>
          <w:rFonts w:asciiTheme="majorBidi" w:hAnsiTheme="majorBidi" w:cstheme="majorBidi"/>
        </w:rPr>
        <w:t>,</w:t>
      </w:r>
      <w:r w:rsidRPr="00631C1C">
        <w:rPr>
          <w:rStyle w:val="FootnoteReference"/>
          <w:rFonts w:cstheme="majorBidi"/>
        </w:rPr>
        <w:footnoteReference w:id="20"/>
      </w:r>
      <w:r w:rsidRPr="00631C1C">
        <w:rPr>
          <w:rFonts w:asciiTheme="majorBidi" w:hAnsiTheme="majorBidi" w:cstheme="majorBidi"/>
        </w:rPr>
        <w:t xml:space="preserve"> </w:t>
      </w:r>
      <w:bookmarkEnd w:id="39"/>
      <w:r w:rsidRPr="00631C1C">
        <w:rPr>
          <w:rFonts w:asciiTheme="majorBidi" w:hAnsiTheme="majorBidi" w:cstheme="majorBidi"/>
        </w:rPr>
        <w:t>within the scope of their respective mandates, in order to enhance complementarity and avoid duplication, as requested in resolution 6/9 of the United Nations Environment Assembly.</w:t>
      </w:r>
    </w:p>
    <w:p w14:paraId="276EAD80"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5C02C64A" w14:textId="77777777" w:rsidR="00312042" w:rsidRPr="00631C1C" w:rsidRDefault="00312042" w:rsidP="00312042">
      <w:pPr>
        <w:pStyle w:val="CH2"/>
        <w:rPr>
          <w:rFonts w:asciiTheme="majorBidi" w:hAnsiTheme="majorBidi" w:cstheme="majorBidi"/>
        </w:rPr>
      </w:pPr>
      <w:bookmarkStart w:id="40" w:name="_Toc213853068"/>
      <w:r w:rsidRPr="00631C1C">
        <w:rPr>
          <w:rFonts w:asciiTheme="majorBidi" w:hAnsiTheme="majorBidi" w:cstheme="majorBidi"/>
        </w:rPr>
        <w:lastRenderedPageBreak/>
        <w:tab/>
      </w:r>
      <w:r w:rsidRPr="00631C1C">
        <w:rPr>
          <w:rFonts w:asciiTheme="majorBidi" w:hAnsiTheme="majorBidi" w:cstheme="majorBidi"/>
        </w:rPr>
        <w:tab/>
      </w:r>
      <w:bookmarkStart w:id="41" w:name="_Toc219712808"/>
      <w:r w:rsidRPr="00631C1C">
        <w:rPr>
          <w:rFonts w:asciiTheme="majorBidi" w:hAnsiTheme="majorBidi" w:cstheme="majorBidi"/>
        </w:rPr>
        <w:t>Decision MC-6/11: Third review of the financial mechanism</w:t>
      </w:r>
      <w:bookmarkEnd w:id="40"/>
      <w:bookmarkEnd w:id="41"/>
    </w:p>
    <w:p w14:paraId="717DFDF7"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0984DAF4"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extent of the experience and information available to consider and build on for the third review of the financial mechanism,</w:t>
      </w:r>
    </w:p>
    <w:p w14:paraId="48D07D9C"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Considering</w:t>
      </w:r>
      <w:r w:rsidRPr="00631C1C">
        <w:rPr>
          <w:rFonts w:asciiTheme="majorBidi" w:hAnsiTheme="majorBidi" w:cstheme="majorBidi"/>
        </w:rPr>
        <w:t xml:space="preserve"> paragraph 11 of article 13 of the Minamata Convention on Mercury, on the review of the financial mechanism,</w:t>
      </w:r>
    </w:p>
    <w:p w14:paraId="016FA1A4" w14:textId="316E31A4"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the terms of reference for the third review of the financial mechanism set out in the annex to the present </w:t>
      </w:r>
      <w:proofErr w:type="gramStart"/>
      <w:r w:rsidRPr="00631C1C">
        <w:rPr>
          <w:rFonts w:asciiTheme="majorBidi" w:hAnsiTheme="majorBidi" w:cstheme="majorBidi"/>
        </w:rPr>
        <w:t>decision;</w:t>
      </w:r>
      <w:proofErr w:type="gramEnd"/>
    </w:p>
    <w:p w14:paraId="3298CD7F" w14:textId="48F7E1B7"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intergovernmental organizations, non-governmental organizations and stakeholders to submit information, consistent with the terms of reference for the review and organized </w:t>
      </w:r>
      <w:r w:rsidR="00155FAB">
        <w:rPr>
          <w:rFonts w:asciiTheme="majorBidi" w:hAnsiTheme="majorBidi" w:cstheme="majorBidi"/>
        </w:rPr>
        <w:t>according to</w:t>
      </w:r>
      <w:r w:rsidRPr="00631C1C">
        <w:rPr>
          <w:rFonts w:asciiTheme="majorBidi" w:hAnsiTheme="majorBidi" w:cstheme="majorBidi"/>
        </w:rPr>
        <w:t xml:space="preserve"> the listed performance criteria, on their experience gained through their interactions with the financial mechanism, as soon as possible and not later than 30 April </w:t>
      </w:r>
      <w:proofErr w:type="gramStart"/>
      <w:r w:rsidRPr="00631C1C">
        <w:rPr>
          <w:rFonts w:asciiTheme="majorBidi" w:hAnsiTheme="majorBidi" w:cstheme="majorBidi"/>
        </w:rPr>
        <w:t>2026;</w:t>
      </w:r>
      <w:proofErr w:type="gramEnd"/>
    </w:p>
    <w:p w14:paraId="2B104E77" w14:textId="3F2A65D2"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secretariat to compile information relevant to the third review of the financial mechanism and submit it to the Conference of the Parties for consideration at its seventh meeting.</w:t>
      </w:r>
    </w:p>
    <w:p w14:paraId="0D26B593" w14:textId="3DCEAD8D" w:rsidR="00312042" w:rsidRPr="00631C1C" w:rsidRDefault="00F13801" w:rsidP="00F13801">
      <w:pPr>
        <w:pStyle w:val="CH2"/>
      </w:pPr>
      <w:r>
        <w:tab/>
      </w:r>
      <w:r>
        <w:tab/>
      </w:r>
      <w:r w:rsidR="00312042" w:rsidRPr="00631C1C">
        <w:t>Annex to decision MC-6/11</w:t>
      </w:r>
    </w:p>
    <w:p w14:paraId="21107ED7" w14:textId="343F58A6" w:rsidR="00312042" w:rsidRPr="00631C1C" w:rsidRDefault="00312042" w:rsidP="00F16F39">
      <w:pPr>
        <w:pStyle w:val="CH2"/>
      </w:pPr>
      <w:r w:rsidRPr="00631C1C">
        <w:tab/>
      </w:r>
      <w:r w:rsidRPr="00631C1C">
        <w:tab/>
      </w:r>
      <w:bookmarkStart w:id="42" w:name="_Toc216165206"/>
      <w:bookmarkStart w:id="43" w:name="_Toc219712809"/>
      <w:r w:rsidR="00D14CA7" w:rsidRPr="00631C1C">
        <w:t>T</w:t>
      </w:r>
      <w:r w:rsidRPr="00631C1C">
        <w:t>erms of reference for the third review of the financial mechanism</w:t>
      </w:r>
      <w:bookmarkEnd w:id="42"/>
      <w:bookmarkEnd w:id="43"/>
    </w:p>
    <w:p w14:paraId="10DEC34E" w14:textId="77777777" w:rsidR="00312042" w:rsidRPr="00631C1C" w:rsidRDefault="00312042" w:rsidP="002A18D9">
      <w:pPr>
        <w:pStyle w:val="CH2"/>
      </w:pPr>
      <w:r w:rsidRPr="00631C1C">
        <w:tab/>
        <w:t>A.</w:t>
      </w:r>
      <w:r w:rsidRPr="00631C1C">
        <w:tab/>
        <w:t>Objective</w:t>
      </w:r>
    </w:p>
    <w:p w14:paraId="4CF74437" w14:textId="5890EC59"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Pursuant to paragraph 11 of article 13 of the Minamata Convention on Mercury, the Conference of the Parties is to review the financial mechanism established under article 13 to support parties in the implementation of the Convention, with a view to taking appropriate action, if necessary, to improve the effectiveness of the financial mechanism. Pursuant to paragraph 11 of article 13, the review is to include an analysis of: </w:t>
      </w:r>
    </w:p>
    <w:p w14:paraId="4500CF01"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level of </w:t>
      </w:r>
      <w:proofErr w:type="gramStart"/>
      <w:r w:rsidRPr="00631C1C">
        <w:rPr>
          <w:rFonts w:asciiTheme="majorBidi" w:hAnsiTheme="majorBidi" w:cstheme="majorBidi"/>
        </w:rPr>
        <w:t>funding;</w:t>
      </w:r>
      <w:proofErr w:type="gramEnd"/>
      <w:r w:rsidRPr="00631C1C">
        <w:rPr>
          <w:rFonts w:asciiTheme="majorBidi" w:hAnsiTheme="majorBidi" w:cstheme="majorBidi"/>
        </w:rPr>
        <w:t xml:space="preserve"> </w:t>
      </w:r>
    </w:p>
    <w:p w14:paraId="4B12336D" w14:textId="4AC801FA"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ability of the financial mechanism to mobilize resources from all sources, the level and type of funding, including differentiation between earmarked and non-earmarked voluntary </w:t>
      </w:r>
      <w:proofErr w:type="gramStart"/>
      <w:r w:rsidRPr="00631C1C">
        <w:rPr>
          <w:rFonts w:asciiTheme="majorBidi" w:hAnsiTheme="majorBidi" w:cstheme="majorBidi"/>
        </w:rPr>
        <w:t>contributions;</w:t>
      </w:r>
      <w:proofErr w:type="gramEnd"/>
    </w:p>
    <w:p w14:paraId="144BC32D"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guidance provided by the Conference of the Parties to the Global Environment Facility and to the Specific International Programme to Support Capacity-Building and Technical Assistance in their capacity as the entities entrusted with the operation of the financial </w:t>
      </w:r>
      <w:proofErr w:type="gramStart"/>
      <w:r w:rsidRPr="00631C1C">
        <w:rPr>
          <w:rFonts w:asciiTheme="majorBidi" w:hAnsiTheme="majorBidi" w:cstheme="majorBidi"/>
        </w:rPr>
        <w:t>mechanism;</w:t>
      </w:r>
      <w:proofErr w:type="gramEnd"/>
      <w:r w:rsidRPr="00631C1C">
        <w:rPr>
          <w:rFonts w:asciiTheme="majorBidi" w:hAnsiTheme="majorBidi" w:cstheme="majorBidi"/>
        </w:rPr>
        <w:t xml:space="preserve"> </w:t>
      </w:r>
    </w:p>
    <w:p w14:paraId="398B6260"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efficiency and effectiveness of the Global Environment Facility and the Specific International Programme in their capacity as the entities entrusted with the operation of the financial </w:t>
      </w:r>
      <w:proofErr w:type="gramStart"/>
      <w:r w:rsidRPr="00631C1C">
        <w:rPr>
          <w:rFonts w:asciiTheme="majorBidi" w:hAnsiTheme="majorBidi" w:cstheme="majorBidi"/>
        </w:rPr>
        <w:t>mechanism;</w:t>
      </w:r>
      <w:proofErr w:type="gramEnd"/>
      <w:r w:rsidRPr="00631C1C">
        <w:rPr>
          <w:rFonts w:asciiTheme="majorBidi" w:hAnsiTheme="majorBidi" w:cstheme="majorBidi"/>
        </w:rPr>
        <w:t xml:space="preserve"> </w:t>
      </w:r>
    </w:p>
    <w:p w14:paraId="3349CC3A" w14:textId="0414ED5E"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The ability of the two entities of the financial mechanism to address the changing needs of developing</w:t>
      </w:r>
      <w:r w:rsidR="00026D0B" w:rsidRPr="00631C1C">
        <w:rPr>
          <w:rFonts w:asciiTheme="majorBidi" w:hAnsiTheme="majorBidi" w:cstheme="majorBidi"/>
        </w:rPr>
        <w:t>-</w:t>
      </w:r>
      <w:r w:rsidRPr="00631C1C">
        <w:rPr>
          <w:rFonts w:asciiTheme="majorBidi" w:hAnsiTheme="majorBidi" w:cstheme="majorBidi"/>
        </w:rPr>
        <w:t xml:space="preserve">country parties and parties with economies in transition. </w:t>
      </w:r>
    </w:p>
    <w:p w14:paraId="312C8E42" w14:textId="77777777" w:rsidR="00312042" w:rsidRPr="00631C1C" w:rsidRDefault="00312042" w:rsidP="002A18D9">
      <w:pPr>
        <w:pStyle w:val="CH2"/>
        <w:rPr>
          <w:bCs/>
        </w:rPr>
      </w:pPr>
      <w:r w:rsidRPr="00631C1C">
        <w:tab/>
        <w:t>B.</w:t>
      </w:r>
      <w:r w:rsidRPr="00631C1C">
        <w:tab/>
        <w:t>Methodology</w:t>
      </w:r>
    </w:p>
    <w:p w14:paraId="155A54DE"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third review will cover the activities of the financial mechanism for the period from August 2022 (immediately after the period covered by the second review) to June 2026, when the eighth replenishment of the Global Environment Facility trust fund concludes, inclusive of the third and fourth rounds of applications to the Specific International Programme, with emphasis on the activities concluded during that period.</w:t>
      </w:r>
    </w:p>
    <w:p w14:paraId="457688C9"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The review will draw on the following sources of information, among others: </w:t>
      </w:r>
    </w:p>
    <w:p w14:paraId="6F6A7370" w14:textId="31E2D716"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Information submitted by parties on their experience gained through their interactions with the financial mechanism, organized according to the performance criteria set forth in section D of the present terms of </w:t>
      </w:r>
      <w:proofErr w:type="gramStart"/>
      <w:r w:rsidRPr="00631C1C">
        <w:rPr>
          <w:rFonts w:asciiTheme="majorBidi" w:hAnsiTheme="majorBidi" w:cstheme="majorBidi"/>
        </w:rPr>
        <w:t>reference;</w:t>
      </w:r>
      <w:proofErr w:type="gramEnd"/>
      <w:r w:rsidRPr="00631C1C">
        <w:rPr>
          <w:rFonts w:asciiTheme="majorBidi" w:hAnsiTheme="majorBidi" w:cstheme="majorBidi"/>
        </w:rPr>
        <w:t xml:space="preserve"> </w:t>
      </w:r>
    </w:p>
    <w:p w14:paraId="61DB8985" w14:textId="77777777"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Reports submitted to the Conference of the Parties by the entities entrusted with the operation of the financial </w:t>
      </w:r>
      <w:proofErr w:type="gramStart"/>
      <w:r w:rsidRPr="00631C1C">
        <w:rPr>
          <w:rFonts w:asciiTheme="majorBidi" w:hAnsiTheme="majorBidi" w:cstheme="majorBidi"/>
        </w:rPr>
        <w:t>mechanism;</w:t>
      </w:r>
      <w:proofErr w:type="gramEnd"/>
      <w:r w:rsidRPr="00631C1C">
        <w:rPr>
          <w:rFonts w:asciiTheme="majorBidi" w:hAnsiTheme="majorBidi" w:cstheme="majorBidi"/>
        </w:rPr>
        <w:t xml:space="preserve"> </w:t>
      </w:r>
    </w:p>
    <w:p w14:paraId="3E379AA5" w14:textId="614CE956"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Other reports provided by the entities entrusted with the operation of the financial mechanism, including, among other things, reports of the Independent Evaluation Office of the Global </w:t>
      </w:r>
      <w:r w:rsidRPr="00631C1C">
        <w:rPr>
          <w:rFonts w:asciiTheme="majorBidi" w:hAnsiTheme="majorBidi" w:cstheme="majorBidi"/>
        </w:rPr>
        <w:lastRenderedPageBreak/>
        <w:t>Environment Facility, terminal review and evaluation reports of completed projects under the Specific International Programme and report</w:t>
      </w:r>
      <w:r w:rsidR="004C1069">
        <w:rPr>
          <w:rFonts w:asciiTheme="majorBidi" w:hAnsiTheme="majorBidi" w:cstheme="majorBidi"/>
        </w:rPr>
        <w:t>s</w:t>
      </w:r>
      <w:r w:rsidRPr="00631C1C">
        <w:rPr>
          <w:rFonts w:asciiTheme="majorBidi" w:hAnsiTheme="majorBidi" w:cstheme="majorBidi"/>
        </w:rPr>
        <w:t xml:space="preserve"> </w:t>
      </w:r>
      <w:r w:rsidR="004C1069">
        <w:rPr>
          <w:rFonts w:asciiTheme="majorBidi" w:hAnsiTheme="majorBidi" w:cstheme="majorBidi"/>
        </w:rPr>
        <w:t xml:space="preserve">on </w:t>
      </w:r>
      <w:r w:rsidRPr="00631C1C">
        <w:rPr>
          <w:rFonts w:asciiTheme="majorBidi" w:hAnsiTheme="majorBidi" w:cstheme="majorBidi"/>
        </w:rPr>
        <w:t xml:space="preserve">ongoing and completed projects under the Specific International </w:t>
      </w:r>
      <w:proofErr w:type="gramStart"/>
      <w:r w:rsidRPr="00631C1C">
        <w:rPr>
          <w:rFonts w:asciiTheme="majorBidi" w:hAnsiTheme="majorBidi" w:cstheme="majorBidi"/>
        </w:rPr>
        <w:t>Programme;</w:t>
      </w:r>
      <w:proofErr w:type="gramEnd"/>
      <w:r w:rsidRPr="00631C1C">
        <w:rPr>
          <w:rFonts w:asciiTheme="majorBidi" w:hAnsiTheme="majorBidi" w:cstheme="majorBidi"/>
        </w:rPr>
        <w:t xml:space="preserve"> </w:t>
      </w:r>
    </w:p>
    <w:p w14:paraId="763471EC" w14:textId="5EA0697F"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Relevant reports and information submitted by: intergovernmental and non-governmental organizations; stakeholders; other entities providing multilateral, regional and bilateral financial and technical assistance pursuant to paragraphs 1 and 3 of article 13; the Special Programme to support institutional strengthening at the national level for implementation of the Basel, Rotterdam and Stockholm conventions, the Minamata Convention on Mercury, the Strategic Approach to International Chemicals Management and the Global Framework on Chemicals – for a Planet Free of Harm from Chemicals and Waste (with respect to complementarity and avoiding duplication); the Global Framework on Chemicals Fund; and the Global Mercury Partnership (in relation to its interaction with the financial mechanism in advancing the implementation of the Minamata Convention on Mercury);</w:t>
      </w:r>
    </w:p>
    <w:p w14:paraId="55035D99" w14:textId="77777777"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report of the midterm evaluation of the Specific International </w:t>
      </w:r>
      <w:proofErr w:type="gramStart"/>
      <w:r w:rsidRPr="00631C1C">
        <w:rPr>
          <w:rFonts w:asciiTheme="majorBidi" w:hAnsiTheme="majorBidi" w:cstheme="majorBidi"/>
        </w:rPr>
        <w:t>Programme;</w:t>
      </w:r>
      <w:proofErr w:type="gramEnd"/>
    </w:p>
    <w:p w14:paraId="7D2AA1F3" w14:textId="4AFC247F"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Reports submitted by parties pursuant to article 21.</w:t>
      </w:r>
    </w:p>
    <w:p w14:paraId="6793F2A4"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In keeping with the terms of reference, the secretariat will, subject to the availability of resources: </w:t>
      </w:r>
    </w:p>
    <w:p w14:paraId="31D07816" w14:textId="77777777"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Make adequate arrangements to ensure that the third review of the financial mechanism is conducted in an independent, transparent, effective and efficient </w:t>
      </w:r>
      <w:proofErr w:type="gramStart"/>
      <w:r w:rsidRPr="00631C1C">
        <w:rPr>
          <w:rFonts w:asciiTheme="majorBidi" w:hAnsiTheme="majorBidi" w:cstheme="majorBidi"/>
        </w:rPr>
        <w:t>manner;</w:t>
      </w:r>
      <w:proofErr w:type="gramEnd"/>
      <w:r w:rsidRPr="00631C1C">
        <w:rPr>
          <w:rFonts w:asciiTheme="majorBidi" w:hAnsiTheme="majorBidi" w:cstheme="majorBidi"/>
        </w:rPr>
        <w:t xml:space="preserve"> </w:t>
      </w:r>
    </w:p>
    <w:p w14:paraId="259BBD29" w14:textId="77777777"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Hire a consultant to prepare a draft report on the information </w:t>
      </w:r>
      <w:proofErr w:type="gramStart"/>
      <w:r w:rsidRPr="00631C1C">
        <w:rPr>
          <w:rFonts w:asciiTheme="majorBidi" w:hAnsiTheme="majorBidi" w:cstheme="majorBidi"/>
        </w:rPr>
        <w:t>provided;</w:t>
      </w:r>
      <w:proofErr w:type="gramEnd"/>
      <w:r w:rsidRPr="00631C1C">
        <w:rPr>
          <w:rFonts w:asciiTheme="majorBidi" w:hAnsiTheme="majorBidi" w:cstheme="majorBidi"/>
        </w:rPr>
        <w:t xml:space="preserve"> </w:t>
      </w:r>
    </w:p>
    <w:p w14:paraId="62B48736" w14:textId="7600A005"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Submit the report on the review to the Conference of the Parties for consideration at its seventh meeting. </w:t>
      </w:r>
    </w:p>
    <w:p w14:paraId="42B42119" w14:textId="1107D59B"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entities entrusted with the operation of the financial mechanism are requested to provide information relevant to the review in a timely manner.</w:t>
      </w:r>
    </w:p>
    <w:p w14:paraId="136686F0" w14:textId="749A6376"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Parties are requested to provide information pursuant to paragraph 3 (a) above as soon as possible and not later than 30 April 2026. </w:t>
      </w:r>
    </w:p>
    <w:p w14:paraId="5F536A45" w14:textId="61E6A2FF"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Intergovernmental and non-governmental organizations, stakeholders, the Special Programme, the Global Framework on Chemicals Fund, the Global Mercury Partnership and relevant entities providing multilateral, regional and bilateral financial and technical assistance are requested to provide relevant information pursuant to the objectives of the present review as soon as possible and not later than 30 April 2026.</w:t>
      </w:r>
    </w:p>
    <w:p w14:paraId="1E20C50A" w14:textId="77777777" w:rsidR="00312042" w:rsidRPr="00631C1C" w:rsidRDefault="00312042" w:rsidP="002A18D9">
      <w:pPr>
        <w:pStyle w:val="CH2"/>
      </w:pPr>
      <w:r w:rsidRPr="00631C1C">
        <w:tab/>
        <w:t>C.</w:t>
      </w:r>
      <w:r w:rsidRPr="00631C1C">
        <w:tab/>
        <w:t>Report</w:t>
      </w:r>
    </w:p>
    <w:p w14:paraId="6A33E0A7" w14:textId="6807F7A9"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The report on the third review will include the following elements: </w:t>
      </w:r>
    </w:p>
    <w:p w14:paraId="633E6692" w14:textId="14B5053C"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An overview of elements (a)–(e) of paragraph 1 </w:t>
      </w:r>
      <w:proofErr w:type="gramStart"/>
      <w:r w:rsidRPr="00631C1C">
        <w:rPr>
          <w:rFonts w:asciiTheme="majorBidi" w:hAnsiTheme="majorBidi" w:cstheme="majorBidi"/>
        </w:rPr>
        <w:t>above;</w:t>
      </w:r>
      <w:proofErr w:type="gramEnd"/>
      <w:r w:rsidRPr="00631C1C">
        <w:rPr>
          <w:rFonts w:asciiTheme="majorBidi" w:hAnsiTheme="majorBidi" w:cstheme="majorBidi"/>
        </w:rPr>
        <w:t xml:space="preserve"> </w:t>
      </w:r>
    </w:p>
    <w:p w14:paraId="6BF1CB33" w14:textId="7F96856B"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Analysis of lessons learned from the activities funded by the financial mechanism during the period covered by the </w:t>
      </w:r>
      <w:proofErr w:type="gramStart"/>
      <w:r w:rsidRPr="00631C1C">
        <w:rPr>
          <w:rFonts w:asciiTheme="majorBidi" w:hAnsiTheme="majorBidi" w:cstheme="majorBidi"/>
        </w:rPr>
        <w:t>review;</w:t>
      </w:r>
      <w:proofErr w:type="gramEnd"/>
      <w:r w:rsidRPr="00631C1C">
        <w:rPr>
          <w:rFonts w:asciiTheme="majorBidi" w:hAnsiTheme="majorBidi" w:cstheme="majorBidi"/>
        </w:rPr>
        <w:t xml:space="preserve"> </w:t>
      </w:r>
    </w:p>
    <w:p w14:paraId="360D4D67" w14:textId="4C8943AB"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Assessment of the Global Environment Facility’s principles of incremental cost and global environmental benefits as they pertain to activities to implement obligations under the Convention, along with lessons learned from the evaluation reports on activities of the Global Environment Facility and the final reports and terminal review and evaluation reports of completed projects under the Specific International </w:t>
      </w:r>
      <w:proofErr w:type="gramStart"/>
      <w:r w:rsidRPr="00631C1C">
        <w:rPr>
          <w:rFonts w:asciiTheme="majorBidi" w:hAnsiTheme="majorBidi" w:cstheme="majorBidi"/>
        </w:rPr>
        <w:t>Programme;</w:t>
      </w:r>
      <w:proofErr w:type="gramEnd"/>
      <w:r w:rsidRPr="00631C1C">
        <w:rPr>
          <w:rFonts w:asciiTheme="majorBidi" w:hAnsiTheme="majorBidi" w:cstheme="majorBidi"/>
        </w:rPr>
        <w:t xml:space="preserve"> </w:t>
      </w:r>
    </w:p>
    <w:p w14:paraId="375F3538" w14:textId="48F5E33E"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Assessment of the sustainability, transparency and accessibility of the funding provided by the financial mechanism for the achievement of the objective of the </w:t>
      </w:r>
      <w:proofErr w:type="gramStart"/>
      <w:r w:rsidRPr="00631C1C">
        <w:rPr>
          <w:rFonts w:asciiTheme="majorBidi" w:hAnsiTheme="majorBidi" w:cstheme="majorBidi"/>
        </w:rPr>
        <w:t>Convention;</w:t>
      </w:r>
      <w:proofErr w:type="gramEnd"/>
      <w:r w:rsidRPr="00631C1C">
        <w:rPr>
          <w:rFonts w:asciiTheme="majorBidi" w:hAnsiTheme="majorBidi" w:cstheme="majorBidi"/>
        </w:rPr>
        <w:t xml:space="preserve"> </w:t>
      </w:r>
    </w:p>
    <w:p w14:paraId="5A898626" w14:textId="1C1B9F7C"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Identification of the resources mobilized directly by the financial mechanism, including in-kind contributions and co-financing, and, to the extent possible, quantitative and/or qualitative assessment of the resources mobilized indirectly by actions of the private sector and other </w:t>
      </w:r>
      <w:proofErr w:type="gramStart"/>
      <w:r w:rsidRPr="00631C1C">
        <w:rPr>
          <w:rFonts w:asciiTheme="majorBidi" w:hAnsiTheme="majorBidi" w:cstheme="majorBidi"/>
        </w:rPr>
        <w:t>stakeholders;</w:t>
      </w:r>
      <w:proofErr w:type="gramEnd"/>
      <w:r w:rsidRPr="00631C1C">
        <w:rPr>
          <w:rFonts w:asciiTheme="majorBidi" w:hAnsiTheme="majorBidi" w:cstheme="majorBidi"/>
        </w:rPr>
        <w:t xml:space="preserve"> </w:t>
      </w:r>
    </w:p>
    <w:p w14:paraId="68EC53B7" w14:textId="6AC22957"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Information on the extent to which recommendations to improve the effectiveness of the financial mechanism identified in the second review of the financial mechanism have been taken </w:t>
      </w:r>
      <w:proofErr w:type="gramStart"/>
      <w:r w:rsidRPr="00631C1C">
        <w:rPr>
          <w:rFonts w:asciiTheme="majorBidi" w:hAnsiTheme="majorBidi" w:cstheme="majorBidi"/>
        </w:rPr>
        <w:t>up;</w:t>
      </w:r>
      <w:proofErr w:type="gramEnd"/>
      <w:r w:rsidRPr="00631C1C">
        <w:rPr>
          <w:rFonts w:asciiTheme="majorBidi" w:hAnsiTheme="majorBidi" w:cstheme="majorBidi"/>
        </w:rPr>
        <w:t xml:space="preserve"> </w:t>
      </w:r>
    </w:p>
    <w:p w14:paraId="4D54939B" w14:textId="35B8F1E1"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Recommendations to improve the effectiveness and efficiency of the financial mechanism in meeting the objective of the </w:t>
      </w:r>
      <w:proofErr w:type="gramStart"/>
      <w:r w:rsidRPr="00631C1C">
        <w:rPr>
          <w:rFonts w:asciiTheme="majorBidi" w:hAnsiTheme="majorBidi" w:cstheme="majorBidi"/>
        </w:rPr>
        <w:t>Convention;</w:t>
      </w:r>
      <w:proofErr w:type="gramEnd"/>
      <w:r w:rsidRPr="00631C1C">
        <w:rPr>
          <w:rFonts w:asciiTheme="majorBidi" w:hAnsiTheme="majorBidi" w:cstheme="majorBidi"/>
        </w:rPr>
        <w:t xml:space="preserve"> </w:t>
      </w:r>
    </w:p>
    <w:p w14:paraId="40AF9260" w14:textId="13242792"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lastRenderedPageBreak/>
        <w:t xml:space="preserve">Assessment against the performance criteria set out in paragraph 9 below. </w:t>
      </w:r>
    </w:p>
    <w:p w14:paraId="2A8F4A63" w14:textId="77777777" w:rsidR="00312042" w:rsidRPr="00631C1C" w:rsidRDefault="00312042" w:rsidP="002A18D9">
      <w:pPr>
        <w:pStyle w:val="CH2"/>
      </w:pPr>
      <w:r w:rsidRPr="00631C1C">
        <w:tab/>
        <w:t>D.</w:t>
      </w:r>
      <w:r w:rsidRPr="00631C1C">
        <w:tab/>
        <w:t xml:space="preserve">Performance criteria </w:t>
      </w:r>
    </w:p>
    <w:p w14:paraId="562585D0" w14:textId="4611038A"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effectiveness and efficiency of the financial mechanism will be assessed</w:t>
      </w:r>
      <w:r w:rsidR="00946E35" w:rsidRPr="00631C1C">
        <w:rPr>
          <w:rFonts w:asciiTheme="majorBidi" w:hAnsiTheme="majorBidi" w:cstheme="majorBidi"/>
        </w:rPr>
        <w:t>,</w:t>
      </w:r>
      <w:r w:rsidRPr="00631C1C">
        <w:rPr>
          <w:rFonts w:asciiTheme="majorBidi" w:hAnsiTheme="majorBidi" w:cstheme="majorBidi"/>
        </w:rPr>
        <w:t xml:space="preserve"> </w:t>
      </w:r>
      <w:r w:rsidR="004C1069">
        <w:rPr>
          <w:rFonts w:asciiTheme="majorBidi" w:hAnsiTheme="majorBidi" w:cstheme="majorBidi"/>
        </w:rPr>
        <w:t>with consideration of</w:t>
      </w:r>
      <w:r w:rsidRPr="00631C1C">
        <w:rPr>
          <w:rFonts w:asciiTheme="majorBidi" w:hAnsiTheme="majorBidi" w:cstheme="majorBidi"/>
        </w:rPr>
        <w:t xml:space="preserve">, among other things, the following: </w:t>
      </w:r>
    </w:p>
    <w:p w14:paraId="788B7232" w14:textId="6D0ED5EA"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Responsiveness of the Global Environment Facility and the Specific International Programme to the guidance adopted by or provided by the Conference of the </w:t>
      </w:r>
      <w:proofErr w:type="gramStart"/>
      <w:r w:rsidRPr="00631C1C">
        <w:rPr>
          <w:rFonts w:asciiTheme="majorBidi" w:hAnsiTheme="majorBidi" w:cstheme="majorBidi"/>
        </w:rPr>
        <w:t>Parties;</w:t>
      </w:r>
      <w:proofErr w:type="gramEnd"/>
      <w:r w:rsidRPr="00631C1C">
        <w:rPr>
          <w:rFonts w:asciiTheme="majorBidi" w:hAnsiTheme="majorBidi" w:cstheme="majorBidi"/>
        </w:rPr>
        <w:t xml:space="preserve"> </w:t>
      </w:r>
    </w:p>
    <w:p w14:paraId="18A8EF1D" w14:textId="6D3175F4"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Extent to which the projects funded by the financial mechanism have reduced, or are expected to reduce, the supply, use, emissions and releases of mercury, and deliver other benefits in terms of Convention </w:t>
      </w:r>
      <w:proofErr w:type="gramStart"/>
      <w:r w:rsidRPr="00631C1C">
        <w:rPr>
          <w:rFonts w:asciiTheme="majorBidi" w:hAnsiTheme="majorBidi" w:cstheme="majorBidi"/>
        </w:rPr>
        <w:t>implementation;</w:t>
      </w:r>
      <w:proofErr w:type="gramEnd"/>
      <w:r w:rsidRPr="00631C1C">
        <w:rPr>
          <w:rFonts w:asciiTheme="majorBidi" w:hAnsiTheme="majorBidi" w:cstheme="majorBidi"/>
        </w:rPr>
        <w:t xml:space="preserve"> </w:t>
      </w:r>
    </w:p>
    <w:p w14:paraId="23E9E442" w14:textId="1D870CE6"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Transparency and timeliness of the project approval </w:t>
      </w:r>
      <w:proofErr w:type="gramStart"/>
      <w:r w:rsidRPr="00631C1C">
        <w:rPr>
          <w:rFonts w:asciiTheme="majorBidi" w:hAnsiTheme="majorBidi" w:cstheme="majorBidi"/>
        </w:rPr>
        <w:t>processes;</w:t>
      </w:r>
      <w:proofErr w:type="gramEnd"/>
      <w:r w:rsidRPr="00631C1C">
        <w:rPr>
          <w:rFonts w:asciiTheme="majorBidi" w:hAnsiTheme="majorBidi" w:cstheme="majorBidi"/>
        </w:rPr>
        <w:t xml:space="preserve"> </w:t>
      </w:r>
    </w:p>
    <w:p w14:paraId="5EE67EB5" w14:textId="6106A5C0"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Simplicity, flexibility and expeditiousness of the procedures for accessing funds and for implementing and reporting on </w:t>
      </w:r>
      <w:proofErr w:type="gramStart"/>
      <w:r w:rsidRPr="00631C1C">
        <w:rPr>
          <w:rFonts w:asciiTheme="majorBidi" w:hAnsiTheme="majorBidi" w:cstheme="majorBidi"/>
        </w:rPr>
        <w:t>projects;</w:t>
      </w:r>
      <w:proofErr w:type="gramEnd"/>
      <w:r w:rsidRPr="00631C1C">
        <w:rPr>
          <w:rFonts w:asciiTheme="majorBidi" w:hAnsiTheme="majorBidi" w:cstheme="majorBidi"/>
        </w:rPr>
        <w:t xml:space="preserve"> </w:t>
      </w:r>
    </w:p>
    <w:p w14:paraId="4B97D193" w14:textId="57119A8E"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Adequacy of </w:t>
      </w:r>
      <w:proofErr w:type="gramStart"/>
      <w:r w:rsidRPr="00631C1C">
        <w:rPr>
          <w:rFonts w:asciiTheme="majorBidi" w:hAnsiTheme="majorBidi" w:cstheme="majorBidi"/>
        </w:rPr>
        <w:t>resources;</w:t>
      </w:r>
      <w:proofErr w:type="gramEnd"/>
      <w:r w:rsidRPr="00631C1C">
        <w:rPr>
          <w:rFonts w:asciiTheme="majorBidi" w:hAnsiTheme="majorBidi" w:cstheme="majorBidi"/>
        </w:rPr>
        <w:t xml:space="preserve"> </w:t>
      </w:r>
    </w:p>
    <w:p w14:paraId="1A4FDCDB" w14:textId="59631153"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Country ownership and sustainability of activities funded by the financial </w:t>
      </w:r>
      <w:proofErr w:type="gramStart"/>
      <w:r w:rsidRPr="00631C1C">
        <w:rPr>
          <w:rFonts w:asciiTheme="majorBidi" w:hAnsiTheme="majorBidi" w:cstheme="majorBidi"/>
        </w:rPr>
        <w:t>mechanism;</w:t>
      </w:r>
      <w:proofErr w:type="gramEnd"/>
      <w:r w:rsidRPr="00631C1C">
        <w:rPr>
          <w:rFonts w:asciiTheme="majorBidi" w:hAnsiTheme="majorBidi" w:cstheme="majorBidi"/>
        </w:rPr>
        <w:t xml:space="preserve"> </w:t>
      </w:r>
    </w:p>
    <w:p w14:paraId="04D878FB" w14:textId="489C91E4"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Level of stakeholder </w:t>
      </w:r>
      <w:proofErr w:type="gramStart"/>
      <w:r w:rsidRPr="00631C1C">
        <w:rPr>
          <w:rFonts w:asciiTheme="majorBidi" w:hAnsiTheme="majorBidi" w:cstheme="majorBidi"/>
        </w:rPr>
        <w:t>involvement;</w:t>
      </w:r>
      <w:proofErr w:type="gramEnd"/>
      <w:r w:rsidRPr="00631C1C">
        <w:rPr>
          <w:rFonts w:asciiTheme="majorBidi" w:hAnsiTheme="majorBidi" w:cstheme="majorBidi"/>
        </w:rPr>
        <w:t xml:space="preserve"> </w:t>
      </w:r>
    </w:p>
    <w:p w14:paraId="7FA5EA3B" w14:textId="3995B185"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Extent to which the projects funded by the financial mechanism have benefited groups in vulnerable </w:t>
      </w:r>
      <w:proofErr w:type="gramStart"/>
      <w:r w:rsidRPr="00631C1C">
        <w:rPr>
          <w:rFonts w:asciiTheme="majorBidi" w:hAnsiTheme="majorBidi" w:cstheme="majorBidi"/>
        </w:rPr>
        <w:t>situations;</w:t>
      </w:r>
      <w:proofErr w:type="gramEnd"/>
    </w:p>
    <w:p w14:paraId="1B17CA5A" w14:textId="3EC7FF0D"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sectPr w:rsidR="00312042" w:rsidRPr="00631C1C" w:rsidSect="00E84D8D">
          <w:type w:val="continuous"/>
          <w:pgSz w:w="11906" w:h="16838" w:code="9"/>
          <w:pgMar w:top="907" w:right="992" w:bottom="1418" w:left="1418" w:header="539" w:footer="975" w:gutter="0"/>
          <w:cols w:space="539"/>
          <w:docGrid w:linePitch="360"/>
        </w:sectPr>
      </w:pPr>
      <w:r w:rsidRPr="00631C1C">
        <w:rPr>
          <w:rFonts w:asciiTheme="majorBidi" w:hAnsiTheme="majorBidi" w:cstheme="majorBidi"/>
        </w:rPr>
        <w:t>Any other significant issues raised by the parties.</w:t>
      </w:r>
    </w:p>
    <w:p w14:paraId="66BF4307" w14:textId="77777777" w:rsidR="00312042" w:rsidRPr="00631C1C" w:rsidRDefault="00312042" w:rsidP="00312042">
      <w:pPr>
        <w:pStyle w:val="Normal-pool"/>
      </w:pPr>
      <w:r w:rsidRPr="00631C1C">
        <w:br w:type="page"/>
      </w:r>
    </w:p>
    <w:p w14:paraId="527B5476" w14:textId="15C19216" w:rsidR="00312042" w:rsidRPr="00631C1C" w:rsidRDefault="00312042" w:rsidP="00312042">
      <w:pPr>
        <w:pStyle w:val="CH2"/>
        <w:rPr>
          <w:rStyle w:val="eop"/>
          <w:rFonts w:asciiTheme="majorBidi" w:hAnsiTheme="majorBidi" w:cstheme="majorBidi"/>
          <w:lang w:val="en-GB"/>
        </w:rPr>
      </w:pPr>
      <w:bookmarkStart w:id="44" w:name="_Toc213853069"/>
      <w:r w:rsidRPr="00631C1C">
        <w:lastRenderedPageBreak/>
        <w:tab/>
      </w:r>
      <w:r w:rsidRPr="00631C1C">
        <w:tab/>
      </w:r>
      <w:bookmarkStart w:id="45" w:name="_Toc219712810"/>
      <w:r w:rsidRPr="00631C1C">
        <w:t>Decision MC-6/12: Implementation of article 14 of the Minamata Convention on Mercury, on capacity-building, technical assistance and technology transfer</w:t>
      </w:r>
      <w:bookmarkEnd w:id="44"/>
      <w:bookmarkEnd w:id="45"/>
    </w:p>
    <w:p w14:paraId="60640270" w14:textId="3E0E1E60" w:rsidR="00312042" w:rsidRPr="00631C1C" w:rsidRDefault="00312042" w:rsidP="00312042">
      <w:pPr>
        <w:pStyle w:val="NormalNonumber"/>
        <w:tabs>
          <w:tab w:val="clear" w:pos="1247"/>
        </w:tabs>
        <w:spacing w:before="240"/>
        <w:ind w:firstLine="624"/>
        <w:rPr>
          <w:i/>
          <w:iCs/>
        </w:rPr>
      </w:pPr>
      <w:bookmarkStart w:id="46" w:name="_Toc213853070"/>
      <w:r w:rsidRPr="00631C1C">
        <w:rPr>
          <w:i/>
          <w:iCs/>
        </w:rPr>
        <w:t>The Conference of the Parties,</w:t>
      </w:r>
    </w:p>
    <w:p w14:paraId="77BE7F24" w14:textId="63A47990" w:rsidR="00312042" w:rsidRPr="00631C1C" w:rsidRDefault="00312042" w:rsidP="00312042">
      <w:pPr>
        <w:pStyle w:val="NormalNonumber"/>
        <w:tabs>
          <w:tab w:val="clear" w:pos="1247"/>
        </w:tabs>
        <w:ind w:firstLine="624"/>
      </w:pPr>
      <w:r w:rsidRPr="00631C1C">
        <w:rPr>
          <w:i/>
          <w:iCs/>
        </w:rPr>
        <w:t xml:space="preserve">Recalling </w:t>
      </w:r>
      <w:r w:rsidRPr="00631C1C">
        <w:t>article 14 of the Minamata Convention on Mercury, on capacity-building, technical assistance and technology transfer,</w:t>
      </w:r>
    </w:p>
    <w:p w14:paraId="62207CF7" w14:textId="37D87E80" w:rsidR="00312042" w:rsidRPr="00631C1C" w:rsidRDefault="00312042" w:rsidP="00312042">
      <w:pPr>
        <w:pStyle w:val="NormalNonumber"/>
        <w:tabs>
          <w:tab w:val="clear" w:pos="1247"/>
        </w:tabs>
        <w:ind w:firstLine="624"/>
      </w:pPr>
      <w:r w:rsidRPr="00631C1C">
        <w:rPr>
          <w:i/>
          <w:iCs/>
        </w:rPr>
        <w:t xml:space="preserve">Having considered </w:t>
      </w:r>
      <w:r w:rsidRPr="00631C1C">
        <w:t>the information on initiatives and progress made in relation to alternative technologies, and appreciating the lessons learned from case studies on the successful development, transfer and diffusion of alternative technologies, as presented at its sixth meeting,</w:t>
      </w:r>
      <w:r w:rsidRPr="00631C1C">
        <w:rPr>
          <w:rStyle w:val="FootnoteReference"/>
        </w:rPr>
        <w:footnoteReference w:id="21"/>
      </w:r>
    </w:p>
    <w:p w14:paraId="1366F75C" w14:textId="0779D1A4" w:rsidR="00312042" w:rsidRPr="00631C1C" w:rsidRDefault="00312042" w:rsidP="00312042">
      <w:pPr>
        <w:pStyle w:val="NormalNonumber"/>
        <w:tabs>
          <w:tab w:val="clear" w:pos="1247"/>
        </w:tabs>
        <w:ind w:firstLine="624"/>
      </w:pPr>
      <w:r w:rsidRPr="00631C1C">
        <w:rPr>
          <w:i/>
          <w:iCs/>
        </w:rPr>
        <w:t>Noting</w:t>
      </w:r>
      <w:r w:rsidRPr="00631C1C">
        <w:t xml:space="preserve"> the limited availability of information on the needs of parties, particularly developing</w:t>
      </w:r>
      <w:r w:rsidRPr="00631C1C">
        <w:noBreakHyphen/>
        <w:t>country parties, with respect to alternative technologies</w:t>
      </w:r>
      <w:r w:rsidR="00BD4919" w:rsidRPr="00631C1C">
        <w:t>,</w:t>
      </w:r>
      <w:r w:rsidRPr="00631C1C">
        <w:t xml:space="preserve"> while at the same time acknowledging current efforts as a step towards closing the information gap</w:t>
      </w:r>
      <w:r w:rsidRPr="00631C1C" w:rsidDel="00912314">
        <w:t xml:space="preserve"> and narrow</w:t>
      </w:r>
      <w:r w:rsidRPr="00631C1C">
        <w:t>ing</w:t>
      </w:r>
      <w:r w:rsidRPr="00631C1C" w:rsidDel="00912314">
        <w:t xml:space="preserve"> the </w:t>
      </w:r>
      <w:r w:rsidRPr="00631C1C">
        <w:t>focus</w:t>
      </w:r>
      <w:r w:rsidRPr="00631C1C" w:rsidDel="00912314">
        <w:t xml:space="preserve"> </w:t>
      </w:r>
      <w:r w:rsidRPr="00631C1C">
        <w:t>of</w:t>
      </w:r>
      <w:r w:rsidRPr="00631C1C" w:rsidDel="00912314">
        <w:t xml:space="preserve"> further specific interventions </w:t>
      </w:r>
      <w:r w:rsidRPr="00631C1C">
        <w:t xml:space="preserve">to </w:t>
      </w:r>
      <w:r w:rsidRPr="00631C1C" w:rsidDel="00912314">
        <w:t>support parties</w:t>
      </w:r>
      <w:r w:rsidRPr="00631C1C">
        <w:t>,</w:t>
      </w:r>
    </w:p>
    <w:p w14:paraId="702C3FEA" w14:textId="77777777" w:rsidR="00312042" w:rsidRPr="00631C1C" w:rsidRDefault="00312042" w:rsidP="00312042">
      <w:pPr>
        <w:pStyle w:val="NormalNonumber"/>
        <w:tabs>
          <w:tab w:val="clear" w:pos="1247"/>
        </w:tabs>
        <w:ind w:firstLine="624"/>
      </w:pPr>
      <w:r w:rsidRPr="00631C1C">
        <w:rPr>
          <w:i/>
          <w:iCs/>
        </w:rPr>
        <w:t xml:space="preserve">Noting also </w:t>
      </w:r>
      <w:r w:rsidRPr="00631C1C">
        <w:t>the challenges reported by parties, particularly developing-country parties, in their national reports pursuant to article 21, with respect to alternative technologies,</w:t>
      </w:r>
    </w:p>
    <w:p w14:paraId="6C9CD663" w14:textId="031CFB97" w:rsidR="00312042" w:rsidRPr="00631C1C" w:rsidRDefault="004C1069" w:rsidP="00312042">
      <w:pPr>
        <w:pStyle w:val="NormalNonumber"/>
        <w:tabs>
          <w:tab w:val="clear" w:pos="1247"/>
        </w:tabs>
        <w:ind w:firstLine="624"/>
      </w:pPr>
      <w:r>
        <w:rPr>
          <w:i/>
          <w:iCs/>
        </w:rPr>
        <w:t>Expressing its a</w:t>
      </w:r>
      <w:r w:rsidR="00312042" w:rsidRPr="00631C1C">
        <w:rPr>
          <w:i/>
          <w:iCs/>
        </w:rPr>
        <w:t>ppreciati</w:t>
      </w:r>
      <w:r>
        <w:rPr>
          <w:i/>
          <w:iCs/>
        </w:rPr>
        <w:t>o</w:t>
      </w:r>
      <w:r w:rsidR="00312042" w:rsidRPr="00631C1C">
        <w:rPr>
          <w:i/>
          <w:iCs/>
        </w:rPr>
        <w:t>n</w:t>
      </w:r>
      <w:r w:rsidR="00312042" w:rsidRPr="004C1069" w:rsidDel="00CD465E">
        <w:t xml:space="preserve"> </w:t>
      </w:r>
      <w:r w:rsidRPr="004C1069">
        <w:t xml:space="preserve">for </w:t>
      </w:r>
      <w:r w:rsidR="00312042" w:rsidRPr="00631C1C">
        <w:t>the strong foundation for collaboration on technology transfer between the secretariat and the Global Mercury Partnership,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including the regional centres of the Basel and Stockholm conventions,</w:t>
      </w:r>
    </w:p>
    <w:p w14:paraId="57D980D6" w14:textId="554AFC58"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 </w:t>
      </w:r>
      <w:r w:rsidRPr="00B92164">
        <w:rPr>
          <w:i/>
          <w:iCs/>
        </w:rPr>
        <w:t>Urges</w:t>
      </w:r>
      <w:r w:rsidRPr="00631C1C">
        <w:rPr>
          <w:i/>
          <w:iCs/>
        </w:rPr>
        <w:t xml:space="preserve"> </w:t>
      </w:r>
      <w:r w:rsidRPr="00631C1C">
        <w:t>developed-country parties and other parties</w:t>
      </w:r>
      <w:r w:rsidR="00843082" w:rsidRPr="00631C1C">
        <w:t>,</w:t>
      </w:r>
      <w:r w:rsidRPr="00631C1C">
        <w:t xml:space="preserve"> </w:t>
      </w:r>
      <w:r w:rsidRPr="00B92164">
        <w:t>within their capabilities</w:t>
      </w:r>
      <w:r w:rsidR="00843082" w:rsidRPr="00B92164">
        <w:t>,</w:t>
      </w:r>
      <w:r w:rsidRPr="00631C1C">
        <w:t xml:space="preserve"> to take into account the challenges identified with regard to the uptake of alternative technologies, specifically in promoting and facilitating the development, transfer and diffusion of up-to-date</w:t>
      </w:r>
      <w:r w:rsidR="00843082" w:rsidRPr="00631C1C">
        <w:t>,</w:t>
      </w:r>
      <w:r w:rsidRPr="00631C1C">
        <w:t xml:space="preserve"> environmentally sound alternative technologies to developing-country parties, </w:t>
      </w:r>
      <w:r w:rsidRPr="00B92164">
        <w:t xml:space="preserve">in particular the least developed countries and small island developing States, and parties with economies in transition, to strengthen their capacity to effectively implement </w:t>
      </w:r>
      <w:r w:rsidR="00770421" w:rsidRPr="00B92164">
        <w:t xml:space="preserve">the Minamata </w:t>
      </w:r>
      <w:r w:rsidRPr="00B92164">
        <w:t>Convention</w:t>
      </w:r>
      <w:r w:rsidR="00770421" w:rsidRPr="00B92164">
        <w:t xml:space="preserve"> on Mercury</w:t>
      </w:r>
      <w:r w:rsidRPr="00631C1C">
        <w:t>;</w:t>
      </w:r>
    </w:p>
    <w:p w14:paraId="4E3068BC" w14:textId="77777777"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Encourages </w:t>
      </w:r>
      <w:r w:rsidRPr="00631C1C">
        <w:t xml:space="preserve">parties, in their national reports pursuant to article 21, including their second full national reports, to include specific information on the development, transfer and diffusion of, and access to, alternative technologies, as well as on the challenges they have experienced in accessing and transferring technology, to assist in a future review of challenges and </w:t>
      </w:r>
      <w:proofErr w:type="gramStart"/>
      <w:r w:rsidRPr="00631C1C">
        <w:t>progress;</w:t>
      </w:r>
      <w:proofErr w:type="gramEnd"/>
    </w:p>
    <w:p w14:paraId="322EC9B7" w14:textId="676C2B96"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Requests</w:t>
      </w:r>
      <w:r w:rsidRPr="00631C1C">
        <w:t xml:space="preserve"> the secretariat, subject to the availability of resources, pursuant to paragraph 4 of article 14, to further collect and analyse, in collaboration with the Global Mercury Partnership, </w:t>
      </w:r>
      <w:r w:rsidRPr="00B92164">
        <w:t>among others</w:t>
      </w:r>
      <w:r w:rsidRPr="00631C1C">
        <w:t>, information on existing initiatives and progress made in relation to alternative technologies, as well as related needs and challenges, utilizing:</w:t>
      </w:r>
    </w:p>
    <w:p w14:paraId="47FD4E04" w14:textId="3BD0FD5F"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 xml:space="preserve">Information in future national reports under article </w:t>
      </w:r>
      <w:proofErr w:type="gramStart"/>
      <w:r w:rsidRPr="00631C1C">
        <w:t>21;</w:t>
      </w:r>
      <w:proofErr w:type="gramEnd"/>
      <w:r w:rsidRPr="00631C1C">
        <w:t xml:space="preserve"> </w:t>
      </w:r>
    </w:p>
    <w:p w14:paraId="5BA6D5CE" w14:textId="5B950438"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 xml:space="preserve">Additional information collected through a survey of technology needs and </w:t>
      </w:r>
      <w:proofErr w:type="gramStart"/>
      <w:r w:rsidRPr="00631C1C">
        <w:t>challenges;</w:t>
      </w:r>
      <w:proofErr w:type="gramEnd"/>
      <w:r w:rsidRPr="00631C1C">
        <w:t xml:space="preserve"> </w:t>
      </w:r>
    </w:p>
    <w:p w14:paraId="2A651E52" w14:textId="0EC37587"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Other available information, including reports on and evaluations of projects funded by the Global Environment Facility and the Specific International Programme</w:t>
      </w:r>
      <w:r w:rsidR="004F6F0C" w:rsidRPr="00631C1C">
        <w:t xml:space="preserve"> </w:t>
      </w:r>
      <w:r w:rsidR="004F6F0C" w:rsidRPr="00631C1C">
        <w:rPr>
          <w:rFonts w:asciiTheme="majorBidi" w:hAnsiTheme="majorBidi" w:cstheme="majorBidi"/>
        </w:rPr>
        <w:t xml:space="preserve">to Support </w:t>
      </w:r>
      <w:r w:rsidR="00A524E7">
        <w:rPr>
          <w:rFonts w:asciiTheme="majorBidi" w:hAnsiTheme="majorBidi" w:cstheme="majorBidi"/>
        </w:rPr>
        <w:br/>
      </w:r>
      <w:r w:rsidR="004F6F0C" w:rsidRPr="00631C1C">
        <w:rPr>
          <w:rFonts w:asciiTheme="majorBidi" w:hAnsiTheme="majorBidi" w:cstheme="majorBidi"/>
        </w:rPr>
        <w:t xml:space="preserve">Capacity-Building and Technical </w:t>
      </w:r>
      <w:proofErr w:type="gramStart"/>
      <w:r w:rsidR="004F6F0C" w:rsidRPr="00631C1C">
        <w:rPr>
          <w:rFonts w:asciiTheme="majorBidi" w:hAnsiTheme="majorBidi" w:cstheme="majorBidi"/>
        </w:rPr>
        <w:t>Assistance</w:t>
      </w:r>
      <w:r w:rsidRPr="00631C1C">
        <w:t>;</w:t>
      </w:r>
      <w:proofErr w:type="gramEnd"/>
    </w:p>
    <w:p w14:paraId="04490B81" w14:textId="045D5F6F"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Decides</w:t>
      </w:r>
      <w:r w:rsidRPr="00631C1C">
        <w:t xml:space="preserve"> to consider the matter of alternative technologies pursuant to paragraph 4 of article 14 again at its eighth </w:t>
      </w:r>
      <w:proofErr w:type="gramStart"/>
      <w:r w:rsidRPr="00631C1C">
        <w:t>meeting;</w:t>
      </w:r>
      <w:proofErr w:type="gramEnd"/>
      <w:r w:rsidRPr="00631C1C">
        <w:t xml:space="preserve"> </w:t>
      </w:r>
    </w:p>
    <w:p w14:paraId="014B13EE" w14:textId="38BF8D1E"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Calls on</w:t>
      </w:r>
      <w:r w:rsidRPr="00631C1C">
        <w:t xml:space="preserve"> parties, and invites non-parties to the Convention and others in a position to do so, to contribute to the special trust fund </w:t>
      </w:r>
      <w:r w:rsidR="003A7B8A" w:rsidRPr="00631C1C">
        <w:t xml:space="preserve">of </w:t>
      </w:r>
      <w:r w:rsidRPr="00631C1C">
        <w:t>the Minamata Convention</w:t>
      </w:r>
      <w:r w:rsidR="003A7B8A" w:rsidRPr="00631C1C">
        <w:t xml:space="preserve"> on Mercury</w:t>
      </w:r>
      <w:r w:rsidRPr="00631C1C">
        <w:t xml:space="preserve">, to enable the implementation of the capacity-building activities described </w:t>
      </w:r>
      <w:r w:rsidRPr="00631C1C" w:rsidDel="00C00BD5">
        <w:t xml:space="preserve">in </w:t>
      </w:r>
      <w:r w:rsidRPr="00631C1C">
        <w:t>the 2026–2027 programme of work and budget activity fact sheet for capacity-building and technical assistance (activity 4);</w:t>
      </w:r>
    </w:p>
    <w:p w14:paraId="3848508D" w14:textId="279586E0"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Acknowledges with appreciation </w:t>
      </w:r>
      <w:r w:rsidRPr="00631C1C">
        <w:t xml:space="preserve">the work of the secretariat in developing and disseminating tools and training materials related to the implementation of parties’ obligations under the </w:t>
      </w:r>
      <w:proofErr w:type="gramStart"/>
      <w:r w:rsidRPr="00631C1C">
        <w:t>Convention;</w:t>
      </w:r>
      <w:proofErr w:type="gramEnd"/>
      <w:r w:rsidRPr="00631C1C">
        <w:t xml:space="preserve"> </w:t>
      </w:r>
    </w:p>
    <w:p w14:paraId="494708D1" w14:textId="0ED26BE7"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i/>
          <w:iCs/>
        </w:rPr>
        <w:lastRenderedPageBreak/>
        <w:t>Requests</w:t>
      </w:r>
      <w:r w:rsidRPr="00631C1C">
        <w:t xml:space="preserve"> the secretariat, </w:t>
      </w:r>
      <w:r w:rsidRPr="00B92164">
        <w:t>subject to the availability of resources</w:t>
      </w:r>
      <w:r w:rsidRPr="00631C1C">
        <w:t>, to continue to provide capacity-building and technical assistance support to parties pursuant to paragraph 1 of article 14, including through active and sustained engagement with the Global Mercury Partnership.</w:t>
      </w:r>
    </w:p>
    <w:p w14:paraId="452A05D4" w14:textId="77777777" w:rsidR="00312042" w:rsidRPr="00631C1C" w:rsidRDefault="00312042" w:rsidP="00312042">
      <w:pPr>
        <w:pStyle w:val="Normal-pool"/>
      </w:pPr>
      <w:r w:rsidRPr="00631C1C">
        <w:br w:type="page"/>
      </w:r>
    </w:p>
    <w:p w14:paraId="782E6FED" w14:textId="77777777" w:rsidR="00312042" w:rsidRPr="00631C1C" w:rsidRDefault="00312042" w:rsidP="00312042">
      <w:pPr>
        <w:pStyle w:val="CH2"/>
      </w:pPr>
      <w:r w:rsidRPr="00631C1C">
        <w:lastRenderedPageBreak/>
        <w:tab/>
      </w:r>
      <w:r w:rsidRPr="00631C1C">
        <w:tab/>
      </w:r>
      <w:bookmarkStart w:id="47" w:name="_Toc219712811"/>
      <w:r w:rsidRPr="00631C1C">
        <w:t>Decision MC-6/13: National reporting (article 21): second short national reports</w:t>
      </w:r>
      <w:bookmarkEnd w:id="46"/>
      <w:bookmarkEnd w:id="47"/>
    </w:p>
    <w:p w14:paraId="2888D61A" w14:textId="301FF426" w:rsidR="00312042" w:rsidRPr="00631C1C" w:rsidRDefault="00312042" w:rsidP="00312042">
      <w:pPr>
        <w:pStyle w:val="NormalNonumber"/>
        <w:tabs>
          <w:tab w:val="clear" w:pos="1247"/>
        </w:tabs>
        <w:ind w:firstLine="624"/>
        <w:rPr>
          <w:i/>
          <w:iCs/>
          <w:noProof/>
        </w:rPr>
      </w:pPr>
      <w:bookmarkStart w:id="48" w:name="_Toc213853071"/>
      <w:r w:rsidRPr="00631C1C">
        <w:rPr>
          <w:i/>
          <w:iCs/>
          <w:noProof/>
        </w:rPr>
        <w:t>The Conference of the Parties,</w:t>
      </w:r>
    </w:p>
    <w:p w14:paraId="248A78CA" w14:textId="54E62DB2" w:rsidR="00312042" w:rsidRPr="00631C1C" w:rsidRDefault="00312042" w:rsidP="00312042">
      <w:pPr>
        <w:pStyle w:val="NormalNonumber"/>
        <w:tabs>
          <w:tab w:val="clear" w:pos="1247"/>
        </w:tabs>
        <w:ind w:firstLine="624"/>
        <w:rPr>
          <w:noProof/>
        </w:rPr>
      </w:pPr>
      <w:r w:rsidRPr="00631C1C">
        <w:rPr>
          <w:i/>
          <w:iCs/>
          <w:noProof/>
        </w:rPr>
        <w:t xml:space="preserve">Emphasizing </w:t>
      </w:r>
      <w:r w:rsidRPr="00631C1C">
        <w:t>the importance of reporting, and recalling the obligation of parties to submit their national reports in accordance with article 21 of the Minamata Convention on Mercury,</w:t>
      </w:r>
    </w:p>
    <w:p w14:paraId="6F48B2F3" w14:textId="1DBCF42B" w:rsidR="00312042" w:rsidRPr="00631C1C" w:rsidRDefault="00312042" w:rsidP="00312042">
      <w:pPr>
        <w:pStyle w:val="NormalNonumber"/>
        <w:tabs>
          <w:tab w:val="clear" w:pos="1247"/>
        </w:tabs>
        <w:ind w:firstLine="624"/>
        <w:rPr>
          <w:noProof/>
        </w:rPr>
      </w:pPr>
      <w:r w:rsidRPr="00631C1C">
        <w:rPr>
          <w:i/>
          <w:iCs/>
          <w:noProof/>
        </w:rPr>
        <w:t>Considering</w:t>
      </w:r>
      <w:r w:rsidRPr="00631C1C">
        <w:rPr>
          <w:noProof/>
        </w:rPr>
        <w:t xml:space="preserve"> the report on the work of the Implementation and Compliance Committee </w:t>
      </w:r>
      <w:r w:rsidR="005130D6" w:rsidRPr="00631C1C">
        <w:rPr>
          <w:noProof/>
        </w:rPr>
        <w:t xml:space="preserve">of the Convention </w:t>
      </w:r>
      <w:r w:rsidRPr="00631C1C">
        <w:rPr>
          <w:noProof/>
        </w:rPr>
        <w:t xml:space="preserve">at its </w:t>
      </w:r>
      <w:r w:rsidR="00FB224F">
        <w:rPr>
          <w:noProof/>
        </w:rPr>
        <w:t xml:space="preserve">sixth and </w:t>
      </w:r>
      <w:r w:rsidRPr="00631C1C">
        <w:rPr>
          <w:noProof/>
        </w:rPr>
        <w:t>seventh meeting</w:t>
      </w:r>
      <w:r w:rsidR="00FB224F">
        <w:rPr>
          <w:noProof/>
        </w:rPr>
        <w:t>s</w:t>
      </w:r>
      <w:r w:rsidRPr="00631C1C">
        <w:rPr>
          <w:noProof/>
        </w:rPr>
        <w:t>, including its conclusions on the reporting performance of parties,</w:t>
      </w:r>
      <w:r w:rsidRPr="00631C1C">
        <w:rPr>
          <w:rStyle w:val="FootnoteReference"/>
          <w:noProof/>
        </w:rPr>
        <w:footnoteReference w:id="22"/>
      </w:r>
      <w:r w:rsidRPr="00631C1C">
        <w:rPr>
          <w:noProof/>
        </w:rPr>
        <w:t xml:space="preserve"> </w:t>
      </w:r>
    </w:p>
    <w:p w14:paraId="5305FEC0" w14:textId="1F97F732" w:rsidR="00312042" w:rsidRPr="00631C1C" w:rsidRDefault="00312042" w:rsidP="00312042">
      <w:pPr>
        <w:pStyle w:val="NormalNonumber"/>
        <w:tabs>
          <w:tab w:val="clear" w:pos="1247"/>
        </w:tabs>
        <w:ind w:firstLine="624"/>
        <w:rPr>
          <w:noProof/>
        </w:rPr>
      </w:pPr>
      <w:r w:rsidRPr="00631C1C">
        <w:rPr>
          <w:i/>
          <w:iCs/>
          <w:noProof/>
        </w:rPr>
        <w:t xml:space="preserve">Recognizing </w:t>
      </w:r>
      <w:r w:rsidRPr="00631C1C">
        <w:rPr>
          <w:noProof/>
        </w:rPr>
        <w:t xml:space="preserve">the challenges in implementing the trade obligations under article 3 posed by informal or illegal primary mercury mining and trade in mercury that do not conform with the provisions of the Convention, including gathering data and reporting on such activities, </w:t>
      </w:r>
    </w:p>
    <w:p w14:paraId="280AE9F0" w14:textId="7F23EC8C" w:rsidR="00312042" w:rsidRPr="00631C1C" w:rsidRDefault="00312042" w:rsidP="00312042">
      <w:pPr>
        <w:pStyle w:val="NormalNonumber"/>
        <w:tabs>
          <w:tab w:val="clear" w:pos="1247"/>
        </w:tabs>
        <w:ind w:firstLine="624"/>
      </w:pPr>
      <w:r w:rsidRPr="00631C1C">
        <w:rPr>
          <w:i/>
          <w:iCs/>
          <w:noProof/>
        </w:rPr>
        <w:t>Welcoming</w:t>
      </w:r>
      <w:r w:rsidRPr="00631C1C">
        <w:t xml:space="preserve"> the efforts of parties to report on informal or illegal primary mercury mining and trade, including as they relate to the artisanal and small-scale gold mining sector,</w:t>
      </w:r>
    </w:p>
    <w:p w14:paraId="45BD5C07" w14:textId="6E368831" w:rsidR="00312042" w:rsidRPr="00631C1C" w:rsidRDefault="00312042" w:rsidP="00312042">
      <w:pPr>
        <w:pStyle w:val="NormalNonumber"/>
        <w:tabs>
          <w:tab w:val="clear" w:pos="1247"/>
        </w:tabs>
        <w:ind w:firstLine="624"/>
        <w:rPr>
          <w:rStyle w:val="normaltextrun"/>
        </w:rPr>
      </w:pPr>
      <w:r w:rsidRPr="00631C1C">
        <w:rPr>
          <w:i/>
          <w:iCs/>
          <w:noProof/>
        </w:rPr>
        <w:t xml:space="preserve">Recalling </w:t>
      </w:r>
      <w:r w:rsidRPr="00631C1C">
        <w:rPr>
          <w:rStyle w:val="normaltextrun"/>
          <w:shd w:val="clear" w:color="auto" w:fill="FFFFFF"/>
        </w:rPr>
        <w:t>paragraph 2 of decision MC-5/2, in which it encouraged parties that did not receive consent for all exports of mercury from the party’s territory to provide more information, if any, in their next national reports,</w:t>
      </w:r>
    </w:p>
    <w:p w14:paraId="0C804918" w14:textId="3D13B3A4"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Welcomes</w:t>
      </w:r>
      <w:r w:rsidRPr="00631C1C">
        <w:rPr>
          <w:noProof/>
        </w:rPr>
        <w:t xml:space="preserve"> the high rate of reporting (86 per cent) by parties for their second short national reports, and acknowledges that there is room for further improvement in the reporting rate;</w:t>
      </w:r>
    </w:p>
    <w:p w14:paraId="3080DB50" w14:textId="77B0DE05"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B92164">
        <w:rPr>
          <w:i/>
          <w:iCs/>
          <w:noProof/>
        </w:rPr>
        <w:t>Invites</w:t>
      </w:r>
      <w:r w:rsidRPr="00631C1C">
        <w:rPr>
          <w:noProof/>
        </w:rPr>
        <w:t xml:space="preserve"> </w:t>
      </w:r>
      <w:r w:rsidRPr="00631C1C">
        <w:t>parties to achieve a high rate of reporting for the</w:t>
      </w:r>
      <w:r w:rsidR="000F1BBB" w:rsidRPr="00631C1C">
        <w:t>ir</w:t>
      </w:r>
      <w:r w:rsidRPr="00631C1C">
        <w:t xml:space="preserve"> second full </w:t>
      </w:r>
      <w:r w:rsidR="00A34996" w:rsidRPr="00631C1C">
        <w:t xml:space="preserve">national </w:t>
      </w:r>
      <w:r w:rsidRPr="00631C1C">
        <w:t xml:space="preserve">reports, due by 31 December 2025, and requests parties to submit their reports in a timely </w:t>
      </w:r>
      <w:proofErr w:type="gramStart"/>
      <w:r w:rsidRPr="00631C1C">
        <w:t>manner</w:t>
      </w:r>
      <w:r w:rsidR="009B0AF0" w:rsidRPr="00631C1C">
        <w:t>;</w:t>
      </w:r>
      <w:proofErr w:type="gramEnd"/>
    </w:p>
    <w:p w14:paraId="5A6A4B60" w14:textId="263B40FD"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Reiterates</w:t>
      </w:r>
      <w:r w:rsidRPr="00631C1C">
        <w:rPr>
          <w:noProof/>
        </w:rPr>
        <w:t xml:space="preserve"> its call to parties that have received consent to export mercury to parties and/or non-parties to provide to the secretariat either copies of the consent forms used or other suitable information in their reports submitted pursuant to article 21 in order to show that the relevant requirements of article 3 have been met;</w:t>
      </w:r>
    </w:p>
    <w:p w14:paraId="3ADA8E5F" w14:textId="4A38F6DC" w:rsidR="00312042" w:rsidRPr="00B92164"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B92164">
        <w:rPr>
          <w:i/>
          <w:iCs/>
          <w:noProof/>
        </w:rPr>
        <w:t>Invites</w:t>
      </w:r>
      <w:r w:rsidRPr="00B92164">
        <w:rPr>
          <w:noProof/>
        </w:rPr>
        <w:t xml:space="preserve"> parties to submit their completed national action plans on the phase-out of dental amalgam either together with their second full national report</w:t>
      </w:r>
      <w:r w:rsidR="00857C1C" w:rsidRPr="00B92164">
        <w:rPr>
          <w:noProof/>
        </w:rPr>
        <w:t>s</w:t>
      </w:r>
      <w:r w:rsidRPr="00B92164">
        <w:rPr>
          <w:noProof/>
        </w:rPr>
        <w:t>, due by 31 December 2025, or with their third short national report</w:t>
      </w:r>
      <w:r w:rsidR="00857C1C" w:rsidRPr="00B92164">
        <w:rPr>
          <w:noProof/>
        </w:rPr>
        <w:t>s</w:t>
      </w:r>
      <w:r w:rsidRPr="00B92164">
        <w:rPr>
          <w:noProof/>
        </w:rPr>
        <w:t>, due by 31 December 2027</w:t>
      </w:r>
      <w:r w:rsidR="00857C1C" w:rsidRPr="00B92164">
        <w:rPr>
          <w:noProof/>
        </w:rPr>
        <w:t>;</w:t>
      </w:r>
    </w:p>
    <w:p w14:paraId="6D94ACF3" w14:textId="0EAC011C"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Takes note</w:t>
      </w:r>
      <w:r w:rsidRPr="00631C1C">
        <w:rPr>
          <w:noProof/>
        </w:rPr>
        <w:t xml:space="preserve"> of the updates to the guidance for completing the national reporting format as requested in decision MC-5/13,</w:t>
      </w:r>
      <w:r w:rsidRPr="00631C1C">
        <w:rPr>
          <w:rStyle w:val="FootnoteReference"/>
        </w:rPr>
        <w:footnoteReference w:id="23"/>
      </w:r>
      <w:r w:rsidRPr="00631C1C">
        <w:rPr>
          <w:noProof/>
        </w:rPr>
        <w:t xml:space="preserve"> and encourages parties to use the guidance in the current and next reporting rounds; </w:t>
      </w:r>
    </w:p>
    <w:p w14:paraId="7BBBC954" w14:textId="77B344AB"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Requests</w:t>
      </w:r>
      <w:r w:rsidRPr="00631C1C">
        <w:rPr>
          <w:noProof/>
        </w:rPr>
        <w:t xml:space="preserve"> the secretariat:</w:t>
      </w:r>
    </w:p>
    <w:p w14:paraId="6E27A0D0" w14:textId="335E487C"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collect information on best practices for reporting on informal or illegal activities that do not conform with the provisions of the Convention, with a view to identifying information that would be helpful for assessing their scale and nature, and to explore how such information could inform tools or reporting elements to support parties facing such challenges; </w:t>
      </w:r>
    </w:p>
    <w:p w14:paraId="01512ACD" w14:textId="15F4BDA0"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continue evaluating, on the basis of parties’ </w:t>
      </w:r>
      <w:r w:rsidRPr="00B92164">
        <w:rPr>
          <w:noProof/>
        </w:rPr>
        <w:t>identification and</w:t>
      </w:r>
      <w:r w:rsidRPr="00631C1C">
        <w:rPr>
          <w:noProof/>
        </w:rPr>
        <w:t xml:space="preserve"> experience </w:t>
      </w:r>
      <w:r w:rsidRPr="00B92164">
        <w:rPr>
          <w:noProof/>
        </w:rPr>
        <w:t>in</w:t>
      </w:r>
      <w:r w:rsidRPr="00631C1C">
        <w:rPr>
          <w:noProof/>
        </w:rPr>
        <w:t xml:space="preserve"> completing the second full reports, any </w:t>
      </w:r>
      <w:r w:rsidRPr="00B92164">
        <w:rPr>
          <w:noProof/>
        </w:rPr>
        <w:t>significant</w:t>
      </w:r>
      <w:r w:rsidRPr="00631C1C">
        <w:rPr>
          <w:noProof/>
        </w:rPr>
        <w:t xml:space="preserve"> issues that may arise from the reporting format, and</w:t>
      </w:r>
      <w:r w:rsidR="00851DD6" w:rsidRPr="00631C1C">
        <w:rPr>
          <w:noProof/>
        </w:rPr>
        <w:t>,</w:t>
      </w:r>
      <w:r w:rsidRPr="00631C1C">
        <w:rPr>
          <w:noProof/>
        </w:rPr>
        <w:t xml:space="preserve"> </w:t>
      </w:r>
      <w:r w:rsidRPr="00B92164">
        <w:rPr>
          <w:noProof/>
        </w:rPr>
        <w:t>only to the extent necessary</w:t>
      </w:r>
      <w:r w:rsidRPr="00631C1C">
        <w:rPr>
          <w:noProof/>
        </w:rPr>
        <w:t>, to develop proposals for enhancing its ease of use and clarity for consideration by the Conference of the Parties at its future meetings;</w:t>
      </w:r>
    </w:p>
    <w:p w14:paraId="21E3A8DB" w14:textId="77777777"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integrate relevant decisions adopted by the Conference of the Parties at the present and future meetings into the guidance for completing the reporting format, ensuring that national reporting remains consistent with the updated requirements, </w:t>
      </w:r>
      <w:r w:rsidRPr="00B92164">
        <w:rPr>
          <w:noProof/>
        </w:rPr>
        <w:t>for review by the parties during the intersessional period</w:t>
      </w:r>
      <w:r w:rsidRPr="00631C1C">
        <w:rPr>
          <w:noProof/>
        </w:rPr>
        <w:t>;</w:t>
      </w:r>
    </w:p>
    <w:p w14:paraId="35D19DBF" w14:textId="34326B7A" w:rsidR="00312042" w:rsidRPr="00B92164"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B92164">
        <w:rPr>
          <w:noProof/>
        </w:rPr>
        <w:t>To prepare draft guidance on developing national action plan</w:t>
      </w:r>
      <w:r w:rsidR="009B3258" w:rsidRPr="00B92164">
        <w:rPr>
          <w:noProof/>
        </w:rPr>
        <w:t>s</w:t>
      </w:r>
      <w:r w:rsidRPr="00B92164">
        <w:rPr>
          <w:noProof/>
        </w:rPr>
        <w:t xml:space="preserve"> to phase out dental amalgam, subject to </w:t>
      </w:r>
      <w:r w:rsidR="00622D26" w:rsidRPr="00B92164">
        <w:rPr>
          <w:noProof/>
        </w:rPr>
        <w:t xml:space="preserve">the </w:t>
      </w:r>
      <w:r w:rsidRPr="00B92164">
        <w:rPr>
          <w:noProof/>
        </w:rPr>
        <w:t xml:space="preserve">availability of resources, for consideration by the Conference of </w:t>
      </w:r>
      <w:r w:rsidR="004A67FC" w:rsidRPr="00B92164">
        <w:rPr>
          <w:noProof/>
        </w:rPr>
        <w:t xml:space="preserve">the </w:t>
      </w:r>
      <w:r w:rsidRPr="00B92164">
        <w:rPr>
          <w:noProof/>
        </w:rPr>
        <w:t>Parties at its seventh meeting</w:t>
      </w:r>
      <w:r w:rsidR="00EC53EB" w:rsidRPr="00B92164">
        <w:rPr>
          <w:noProof/>
        </w:rPr>
        <w:t>;</w:t>
      </w:r>
    </w:p>
    <w:p w14:paraId="459D729A" w14:textId="77777777"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noProof/>
        </w:rPr>
        <w:t>To report to the Conference of the Parties at its seventh meeting on the implementation of the present decision.</w:t>
      </w:r>
    </w:p>
    <w:p w14:paraId="444267BE" w14:textId="77777777" w:rsidR="00312042" w:rsidRPr="00631C1C" w:rsidRDefault="00312042" w:rsidP="00312042">
      <w:pPr>
        <w:pStyle w:val="Normal-pool"/>
      </w:pPr>
      <w:r w:rsidRPr="00631C1C">
        <w:br w:type="page"/>
      </w:r>
    </w:p>
    <w:p w14:paraId="4292D025" w14:textId="77777777" w:rsidR="00312042" w:rsidRPr="00631C1C" w:rsidRDefault="00312042" w:rsidP="00312042">
      <w:pPr>
        <w:pStyle w:val="CH2"/>
      </w:pPr>
      <w:r w:rsidRPr="00631C1C">
        <w:lastRenderedPageBreak/>
        <w:tab/>
      </w:r>
      <w:r w:rsidRPr="00631C1C">
        <w:tab/>
      </w:r>
      <w:bookmarkStart w:id="49" w:name="_Toc219712812"/>
      <w:r w:rsidRPr="00631C1C">
        <w:t>Decision MC-6/14: Progress in the first effectiveness evaluation of the Minamata Convention on Mercury</w:t>
      </w:r>
      <w:bookmarkEnd w:id="48"/>
      <w:bookmarkEnd w:id="49"/>
    </w:p>
    <w:p w14:paraId="1547F968" w14:textId="77777777" w:rsidR="00312042" w:rsidRPr="00631C1C" w:rsidRDefault="00312042" w:rsidP="00312042">
      <w:pPr>
        <w:pStyle w:val="Normal-pool"/>
        <w:spacing w:after="120"/>
        <w:ind w:left="1247" w:firstLine="624"/>
        <w:rPr>
          <w:rFonts w:asciiTheme="majorBidi" w:eastAsia="Calibri" w:hAnsiTheme="majorBidi" w:cstheme="majorBidi"/>
          <w:i/>
          <w:iCs/>
        </w:rPr>
      </w:pPr>
      <w:r w:rsidRPr="00631C1C">
        <w:rPr>
          <w:rFonts w:asciiTheme="majorBidi" w:eastAsia="Calibri" w:hAnsiTheme="majorBidi" w:cstheme="majorBidi"/>
          <w:i/>
          <w:iCs/>
        </w:rPr>
        <w:t xml:space="preserve">The Conference of the Parties, </w:t>
      </w:r>
    </w:p>
    <w:p w14:paraId="0537B5B8" w14:textId="77777777" w:rsidR="00312042" w:rsidRPr="00631C1C" w:rsidRDefault="00312042" w:rsidP="00312042">
      <w:pPr>
        <w:pStyle w:val="Normal-pool"/>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decision MC-5/14, in which it agreed to consider the outcome of the first effectiveness evaluation of the Minamata Convention on Mercury at its seventh meeting,</w:t>
      </w:r>
    </w:p>
    <w:p w14:paraId="45430A64" w14:textId="19E3BCA1" w:rsidR="00312042" w:rsidRPr="00631C1C"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Takes note </w:t>
      </w:r>
      <w:r w:rsidRPr="00631C1C">
        <w:rPr>
          <w:rFonts w:asciiTheme="majorBidi" w:eastAsia="Calibri" w:hAnsiTheme="majorBidi" w:cstheme="majorBidi"/>
        </w:rPr>
        <w:t>of the progress made by the Effectiveness Evaluation Group and the Open</w:t>
      </w:r>
      <w:r w:rsidRPr="00631C1C">
        <w:rPr>
          <w:rFonts w:asciiTheme="majorBidi" w:eastAsia="Calibri" w:hAnsiTheme="majorBidi" w:cstheme="majorBidi"/>
        </w:rPr>
        <w:noBreakHyphen/>
        <w:t>ended Scientific Group since the fifth meeting</w:t>
      </w:r>
      <w:r w:rsidR="00A716D4" w:rsidRPr="00631C1C">
        <w:rPr>
          <w:rFonts w:asciiTheme="majorBidi" w:eastAsia="Calibri" w:hAnsiTheme="majorBidi" w:cstheme="majorBidi"/>
        </w:rPr>
        <w:t>,</w:t>
      </w:r>
      <w:r w:rsidRPr="00631C1C">
        <w:rPr>
          <w:rFonts w:asciiTheme="majorBidi" w:eastAsia="Calibri" w:hAnsiTheme="majorBidi" w:cstheme="majorBidi"/>
        </w:rPr>
        <w:t xml:space="preserve"> and requests both groups to continue working to support the Conference of the Parties in the first effectiveness evaluation in accordance with their respective terms of </w:t>
      </w:r>
      <w:proofErr w:type="gramStart"/>
      <w:r w:rsidRPr="00631C1C">
        <w:rPr>
          <w:rFonts w:asciiTheme="majorBidi" w:eastAsia="Calibri" w:hAnsiTheme="majorBidi" w:cstheme="majorBidi"/>
        </w:rPr>
        <w:t>reference;</w:t>
      </w:r>
      <w:proofErr w:type="gramEnd"/>
    </w:p>
    <w:p w14:paraId="37F28129" w14:textId="77777777" w:rsidR="00312042" w:rsidRPr="00631C1C"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Acknowledges with appreciation </w:t>
      </w:r>
      <w:r w:rsidRPr="00631C1C">
        <w:rPr>
          <w:rFonts w:asciiTheme="majorBidi" w:eastAsia="Calibri" w:hAnsiTheme="majorBidi" w:cstheme="majorBidi"/>
        </w:rPr>
        <w:t xml:space="preserve">the input from parties and other stakeholders on the effectiveness evaluation, including the submission of monitoring, emission and release data and comments on draft reports, and invites parties to continue providing such input, including comments on the draft documents developed by the Effectiveness Evaluation Group and the Open-ended Scientific </w:t>
      </w:r>
      <w:proofErr w:type="gramStart"/>
      <w:r w:rsidRPr="00631C1C">
        <w:rPr>
          <w:rFonts w:asciiTheme="majorBidi" w:eastAsia="Calibri" w:hAnsiTheme="majorBidi" w:cstheme="majorBidi"/>
        </w:rPr>
        <w:t>Group;</w:t>
      </w:r>
      <w:proofErr w:type="gramEnd"/>
      <w:r w:rsidRPr="00631C1C">
        <w:rPr>
          <w:rFonts w:asciiTheme="majorBidi" w:eastAsia="Calibri" w:hAnsiTheme="majorBidi" w:cstheme="majorBidi"/>
        </w:rPr>
        <w:t xml:space="preserve">  </w:t>
      </w:r>
    </w:p>
    <w:p w14:paraId="6D51CBC5" w14:textId="164014E9" w:rsidR="00312042" w:rsidRPr="00631C1C"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sectPr w:rsidR="00312042" w:rsidRPr="00631C1C" w:rsidSect="00E84D8D">
          <w:type w:val="continuous"/>
          <w:pgSz w:w="11906" w:h="16838" w:code="9"/>
          <w:pgMar w:top="907" w:right="992" w:bottom="1418" w:left="1418" w:header="539" w:footer="975" w:gutter="0"/>
          <w:cols w:space="539"/>
          <w:docGrid w:linePitch="360"/>
        </w:sectPr>
      </w:pPr>
      <w:r w:rsidRPr="00631C1C">
        <w:rPr>
          <w:rFonts w:asciiTheme="majorBidi" w:eastAsia="Calibri" w:hAnsiTheme="majorBidi" w:cstheme="majorBidi"/>
          <w:i/>
          <w:iCs/>
        </w:rPr>
        <w:t xml:space="preserve">Invites </w:t>
      </w:r>
      <w:r w:rsidRPr="00631C1C">
        <w:rPr>
          <w:rFonts w:asciiTheme="majorBidi" w:eastAsia="Calibri" w:hAnsiTheme="majorBidi" w:cstheme="majorBidi"/>
        </w:rPr>
        <w:t xml:space="preserve">parties to submit their full national reports under article 21 to the secretariat by 31 December 2025, </w:t>
      </w:r>
      <w:proofErr w:type="gramStart"/>
      <w:r w:rsidRPr="00631C1C">
        <w:rPr>
          <w:rFonts w:asciiTheme="majorBidi" w:eastAsia="Calibri" w:hAnsiTheme="majorBidi" w:cstheme="majorBidi"/>
        </w:rPr>
        <w:t>in order to</w:t>
      </w:r>
      <w:proofErr w:type="gramEnd"/>
      <w:r w:rsidRPr="00631C1C">
        <w:rPr>
          <w:rFonts w:asciiTheme="majorBidi" w:eastAsia="Calibri" w:hAnsiTheme="majorBidi" w:cstheme="majorBidi"/>
        </w:rPr>
        <w:t xml:space="preserve"> ensure that the most recent information is available for the first effectiveness evaluation.</w:t>
      </w:r>
    </w:p>
    <w:p w14:paraId="76034883" w14:textId="77777777" w:rsidR="00312042" w:rsidRPr="00631C1C" w:rsidRDefault="00312042" w:rsidP="00312042">
      <w:pPr>
        <w:pStyle w:val="Normal-pool"/>
        <w:rPr>
          <w:rFonts w:eastAsia="Calibri"/>
        </w:rPr>
      </w:pPr>
      <w:r w:rsidRPr="00631C1C">
        <w:rPr>
          <w:rFonts w:eastAsia="Calibri"/>
        </w:rPr>
        <w:br w:type="page"/>
      </w:r>
    </w:p>
    <w:p w14:paraId="7701C4D8" w14:textId="77777777" w:rsidR="00312042" w:rsidRPr="00631C1C" w:rsidRDefault="00312042" w:rsidP="00312042">
      <w:pPr>
        <w:pStyle w:val="CH2"/>
      </w:pPr>
      <w:bookmarkStart w:id="50" w:name="_Toc213853072"/>
      <w:r w:rsidRPr="00631C1C">
        <w:lastRenderedPageBreak/>
        <w:tab/>
      </w:r>
      <w:r w:rsidRPr="00631C1C">
        <w:tab/>
      </w:r>
      <w:bookmarkStart w:id="51" w:name="_Toc219712813"/>
      <w:r w:rsidRPr="00631C1C">
        <w:t xml:space="preserve">Decision MC-6/15: </w:t>
      </w:r>
      <w:bookmarkStart w:id="52" w:name="_Hlk213337772"/>
      <w:r w:rsidRPr="00631C1C">
        <w:t>Strengthening effective engagement with Indigenous Peoples, as well as local communities</w:t>
      </w:r>
      <w:bookmarkEnd w:id="50"/>
      <w:bookmarkEnd w:id="51"/>
      <w:bookmarkEnd w:id="52"/>
    </w:p>
    <w:p w14:paraId="19E98B08"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2F876F6C" w14:textId="50C8334B" w:rsidR="00312042" w:rsidRPr="00631C1C" w:rsidRDefault="00312042" w:rsidP="00312042">
      <w:pPr>
        <w:pStyle w:val="NormalNonumber"/>
        <w:tabs>
          <w:tab w:val="clear" w:pos="1247"/>
        </w:tabs>
        <w:ind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the rights of Indigenous Peoples as set out in the United Nations Declaration on the Rights of Indigenous Peoples, and that Indigenous Peoples, as well as local communities, are disproportionately impacted by the effects of mercury pollution,</w:t>
      </w:r>
    </w:p>
    <w:p w14:paraId="79CA60F1" w14:textId="336EE305"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eastAsia="Calibri" w:hAnsiTheme="majorBidi" w:cstheme="majorBidi"/>
          <w:i/>
          <w:iCs/>
        </w:rPr>
        <w:t>Emphasizing</w:t>
      </w:r>
      <w:r w:rsidRPr="00631C1C">
        <w:rPr>
          <w:rFonts w:asciiTheme="majorBidi" w:hAnsiTheme="majorBidi" w:cstheme="majorBidi"/>
          <w:i/>
          <w:iCs/>
        </w:rPr>
        <w:t xml:space="preserve"> </w:t>
      </w:r>
      <w:r w:rsidRPr="00631C1C">
        <w:rPr>
          <w:rFonts w:asciiTheme="majorBidi" w:hAnsiTheme="majorBidi" w:cstheme="majorBidi"/>
        </w:rPr>
        <w:t>that Indigenous Peoples, as well as local communities, should play an important role in the implementation of the Minamata Convention on Mercury, and underscoring that their full and effective engagement and participation in meetings and processes</w:t>
      </w:r>
      <w:r w:rsidR="0045242D">
        <w:rPr>
          <w:rFonts w:asciiTheme="majorBidi" w:hAnsiTheme="majorBidi" w:cstheme="majorBidi"/>
        </w:rPr>
        <w:t xml:space="preserve"> under the Convention</w:t>
      </w:r>
      <w:r w:rsidRPr="00631C1C">
        <w:rPr>
          <w:rFonts w:asciiTheme="majorBidi" w:hAnsiTheme="majorBidi" w:cstheme="majorBidi"/>
        </w:rPr>
        <w:t xml:space="preserve"> are essential to achieving its objective, </w:t>
      </w:r>
    </w:p>
    <w:p w14:paraId="63F5EE2B" w14:textId="51CEB899"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Taking </w:t>
      </w:r>
      <w:r w:rsidRPr="00631C1C">
        <w:rPr>
          <w:rFonts w:asciiTheme="majorBidi" w:eastAsia="Calibri" w:hAnsiTheme="majorBidi" w:cstheme="majorBidi"/>
          <w:i/>
          <w:iCs/>
        </w:rPr>
        <w:t>note</w:t>
      </w:r>
      <w:r w:rsidRPr="00631C1C">
        <w:rPr>
          <w:rFonts w:asciiTheme="majorBidi" w:hAnsiTheme="majorBidi" w:cstheme="majorBidi"/>
          <w:i/>
          <w:iCs/>
        </w:rPr>
        <w:t xml:space="preserve"> </w:t>
      </w:r>
      <w:r w:rsidRPr="00631C1C">
        <w:rPr>
          <w:rFonts w:asciiTheme="majorBidi" w:hAnsiTheme="majorBidi" w:cstheme="majorBidi"/>
        </w:rPr>
        <w:t xml:space="preserve">of the results of the survey on the needs and priorities of Indigenous Peoples, as well as local communities, </w:t>
      </w:r>
      <w:proofErr w:type="gramStart"/>
      <w:r w:rsidRPr="00631C1C">
        <w:rPr>
          <w:rFonts w:asciiTheme="majorBidi" w:hAnsiTheme="majorBidi" w:cstheme="majorBidi"/>
        </w:rPr>
        <w:t>with regard to</w:t>
      </w:r>
      <w:proofErr w:type="gramEnd"/>
      <w:r w:rsidRPr="00631C1C">
        <w:rPr>
          <w:rFonts w:asciiTheme="majorBidi" w:hAnsiTheme="majorBidi" w:cstheme="majorBidi"/>
        </w:rPr>
        <w:t xml:space="preserve"> the effects of mercury on their health, livelihoods, culture and knowledge, and recognizing that effective engagement and participation in the work of the Convention are a high priority for those groups in addressing mercury pollution,</w:t>
      </w:r>
    </w:p>
    <w:p w14:paraId="6CBEC1C2" w14:textId="028CA7B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eastAsia="Calibri" w:hAnsiTheme="majorBidi" w:cstheme="majorBidi"/>
          <w:i/>
          <w:iCs/>
        </w:rPr>
        <w:t>Welcoming</w:t>
      </w:r>
      <w:r w:rsidRPr="00631C1C">
        <w:rPr>
          <w:rFonts w:asciiTheme="majorBidi" w:hAnsiTheme="majorBidi" w:cstheme="majorBidi"/>
        </w:rPr>
        <w:t xml:space="preserve"> the efforts of the secretariat to develop the Indigenous Peoples’ Platform, and encouraging parties and other relevant stakeholders to continue to promote policies that enable Indigenous Peoples, as well as local communities, to benefit from and contribute to the dissemination of information, awareness and education on emissions and releases of mercury,</w:t>
      </w:r>
    </w:p>
    <w:p w14:paraId="6D1C1D05" w14:textId="690BD58D" w:rsidR="00312042" w:rsidRPr="00631C1C" w:rsidRDefault="00312042" w:rsidP="00A1197C">
      <w:pPr>
        <w:pStyle w:val="NormalNonumber"/>
        <w:tabs>
          <w:tab w:val="clear" w:pos="1247"/>
        </w:tabs>
        <w:ind w:firstLine="624"/>
        <w:rPr>
          <w:rFonts w:asciiTheme="majorBidi" w:hAnsiTheme="majorBidi" w:cstheme="majorBidi"/>
          <w:strike/>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decision MC-5/1</w:t>
      </w:r>
      <w:r w:rsidR="00A1197C" w:rsidRPr="00631C1C">
        <w:rPr>
          <w:rFonts w:asciiTheme="majorBidi" w:eastAsia="Calibri" w:hAnsiTheme="majorBidi" w:cstheme="majorBidi"/>
        </w:rPr>
        <w:t xml:space="preserve"> on the effects of mercury pollution on Indigenous Peoples and on local communities</w:t>
      </w:r>
      <w:r w:rsidRPr="00631C1C">
        <w:rPr>
          <w:rFonts w:asciiTheme="majorBidi" w:eastAsia="Calibri" w:hAnsiTheme="majorBidi" w:cstheme="majorBidi"/>
        </w:rPr>
        <w:t>,</w:t>
      </w:r>
    </w:p>
    <w:p w14:paraId="6A92383C" w14:textId="24DF6402" w:rsidR="00312042" w:rsidRPr="00631C1C"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Urges </w:t>
      </w:r>
      <w:r w:rsidRPr="00631C1C">
        <w:rPr>
          <w:rFonts w:asciiTheme="majorBidi" w:hAnsiTheme="majorBidi" w:cstheme="majorBidi"/>
        </w:rPr>
        <w:t xml:space="preserve">parties, and invites States not parties to the </w:t>
      </w:r>
      <w:r w:rsidR="002C1D99" w:rsidRPr="00631C1C">
        <w:rPr>
          <w:rFonts w:asciiTheme="majorBidi" w:hAnsiTheme="majorBidi" w:cstheme="majorBidi"/>
        </w:rPr>
        <w:t xml:space="preserve">Minamata </w:t>
      </w:r>
      <w:r w:rsidRPr="00631C1C">
        <w:rPr>
          <w:rFonts w:asciiTheme="majorBidi" w:hAnsiTheme="majorBidi" w:cstheme="majorBidi"/>
        </w:rPr>
        <w:t>Convention</w:t>
      </w:r>
      <w:r w:rsidR="002C1D99" w:rsidRPr="00631C1C">
        <w:rPr>
          <w:rFonts w:asciiTheme="majorBidi" w:hAnsiTheme="majorBidi" w:cstheme="majorBidi"/>
        </w:rPr>
        <w:t xml:space="preserve"> on Mercury</w:t>
      </w:r>
      <w:r w:rsidRPr="00631C1C">
        <w:rPr>
          <w:rFonts w:asciiTheme="majorBidi" w:hAnsiTheme="majorBidi" w:cstheme="majorBidi"/>
        </w:rPr>
        <w:t>, as well as governmental, intergovernmental and non-governmental organizations and others, to provide support for the effective participation of Indigenous Peoples, as well as local communities, as appropriate, particularly those from regions disproportionately impacted by mercury pollution, in work and meetings under the Convention, including through voluntary contributions to the special trust fund</w:t>
      </w:r>
      <w:r w:rsidR="003A7B8A" w:rsidRPr="00631C1C">
        <w:rPr>
          <w:rFonts w:asciiTheme="majorBidi" w:hAnsiTheme="majorBidi" w:cstheme="majorBidi"/>
        </w:rPr>
        <w:t xml:space="preserve"> of the Convention</w:t>
      </w:r>
      <w:r w:rsidRPr="00631C1C">
        <w:rPr>
          <w:rFonts w:asciiTheme="majorBidi" w:hAnsiTheme="majorBidi" w:cstheme="majorBidi"/>
        </w:rPr>
        <w:t xml:space="preserve">; </w:t>
      </w:r>
    </w:p>
    <w:p w14:paraId="06843389" w14:textId="77777777" w:rsidR="00312042" w:rsidRPr="00631C1C"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secretariat to:</w:t>
      </w:r>
    </w:p>
    <w:p w14:paraId="18B9CB2A" w14:textId="6EFDE563"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hAnsiTheme="majorBidi" w:cstheme="majorBidi"/>
        </w:rPr>
        <w:t xml:space="preserve">Seek advice from Indigenous Peoples, as well as local communities, through </w:t>
      </w:r>
      <w:r w:rsidRPr="00631C1C">
        <w:rPr>
          <w:rFonts w:asciiTheme="majorBidi" w:eastAsia="Calibri" w:hAnsiTheme="majorBidi" w:cstheme="majorBidi"/>
        </w:rPr>
        <w:t xml:space="preserve">Indigenous Peoples’ organizations accredited to the Convention, local communities’ organizations accredited to the Convention, and the International Indigenous Peoples’ Forum on Mercury on potential measures for strengthening their effective engagement in the work of the Convention and on proposed next </w:t>
      </w:r>
      <w:proofErr w:type="gramStart"/>
      <w:r w:rsidRPr="00631C1C">
        <w:rPr>
          <w:rFonts w:asciiTheme="majorBidi" w:eastAsia="Calibri" w:hAnsiTheme="majorBidi" w:cstheme="majorBidi"/>
        </w:rPr>
        <w:t>steps;</w:t>
      </w:r>
      <w:proofErr w:type="gramEnd"/>
    </w:p>
    <w:p w14:paraId="2AB3CD2C" w14:textId="75BBF5F0"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rPr>
        <w:t xml:space="preserve">Communicate regarding opportunities for engagement and support on the Indigenous Peoples’ </w:t>
      </w:r>
      <w:proofErr w:type="gramStart"/>
      <w:r w:rsidRPr="00631C1C">
        <w:rPr>
          <w:rFonts w:asciiTheme="majorBidi" w:eastAsia="Calibri" w:hAnsiTheme="majorBidi" w:cstheme="majorBidi"/>
        </w:rPr>
        <w:t>Platform;</w:t>
      </w:r>
      <w:proofErr w:type="gramEnd"/>
    </w:p>
    <w:p w14:paraId="4ED2CC54" w14:textId="77777777"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rPr>
        <w:t xml:space="preserve">Collaborate with the Office of the United Nations High Commissioner for Human Rights, the secretariat of the Convention on Biological Diversity, and other relevant organizations and stakeholders, as appropriate, to further strengthen effective engagement regarding mercury </w:t>
      </w:r>
      <w:proofErr w:type="gramStart"/>
      <w:r w:rsidRPr="00631C1C">
        <w:rPr>
          <w:rFonts w:asciiTheme="majorBidi" w:eastAsia="Calibri" w:hAnsiTheme="majorBidi" w:cstheme="majorBidi"/>
        </w:rPr>
        <w:t>pollution;</w:t>
      </w:r>
      <w:proofErr w:type="gramEnd"/>
    </w:p>
    <w:p w14:paraId="07F586F7" w14:textId="060C5E8A"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sectPr w:rsidR="00312042" w:rsidRPr="00631C1C" w:rsidSect="00E84D8D">
          <w:type w:val="continuous"/>
          <w:pgSz w:w="11906" w:h="16838" w:code="9"/>
          <w:pgMar w:top="907" w:right="992" w:bottom="1418" w:left="1418" w:header="539" w:footer="975" w:gutter="0"/>
          <w:cols w:space="539"/>
          <w:docGrid w:linePitch="360"/>
        </w:sectPr>
      </w:pPr>
      <w:r w:rsidRPr="00631C1C">
        <w:rPr>
          <w:rFonts w:asciiTheme="majorBidi" w:eastAsia="Calibri" w:hAnsiTheme="majorBidi" w:cstheme="majorBidi"/>
        </w:rPr>
        <w:t>Report to the Conference of the Parties at its seventh meeting on the implementation of the present decision.</w:t>
      </w:r>
    </w:p>
    <w:p w14:paraId="71475A0A" w14:textId="77777777" w:rsidR="00312042" w:rsidRPr="00631C1C" w:rsidRDefault="00312042" w:rsidP="00312042">
      <w:pPr>
        <w:pStyle w:val="Normal-pool"/>
      </w:pPr>
      <w:r w:rsidRPr="00631C1C">
        <w:br w:type="page"/>
      </w:r>
    </w:p>
    <w:p w14:paraId="59562732" w14:textId="77777777" w:rsidR="00312042" w:rsidRPr="00631C1C" w:rsidRDefault="00312042" w:rsidP="00312042">
      <w:pPr>
        <w:pStyle w:val="CH2"/>
        <w:rPr>
          <w:lang w:eastAsia="zh-CN"/>
        </w:rPr>
      </w:pPr>
      <w:bookmarkStart w:id="53" w:name="_Toc213853073"/>
      <w:r w:rsidRPr="00631C1C">
        <w:lastRenderedPageBreak/>
        <w:tab/>
      </w:r>
      <w:r w:rsidRPr="00631C1C">
        <w:tab/>
      </w:r>
      <w:bookmarkStart w:id="54" w:name="_Toc219712814"/>
      <w:r w:rsidRPr="00631C1C">
        <w:t>Decision MC-6/16: Addressing health concerns of women and children</w:t>
      </w:r>
      <w:bookmarkEnd w:id="53"/>
      <w:bookmarkEnd w:id="54"/>
      <w:r w:rsidRPr="00631C1C">
        <w:t xml:space="preserve"> </w:t>
      </w:r>
    </w:p>
    <w:p w14:paraId="592A82DA"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4EEACF4B" w14:textId="4352CFEB" w:rsidR="00312042" w:rsidRPr="00631C1C"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Takes note with appreciation </w:t>
      </w:r>
      <w:r w:rsidRPr="00631C1C">
        <w:rPr>
          <w:rFonts w:asciiTheme="majorBidi" w:hAnsiTheme="majorBidi" w:cstheme="majorBidi"/>
        </w:rPr>
        <w:t xml:space="preserve">of the activities carried out by the secretariat, parties and other stakeholders during the biennium 2024–2025 </w:t>
      </w:r>
      <w:r w:rsidRPr="00B92164">
        <w:rPr>
          <w:rFonts w:asciiTheme="majorBidi" w:hAnsiTheme="majorBidi" w:cstheme="majorBidi"/>
        </w:rPr>
        <w:t xml:space="preserve">as suggested in decision MC-5/15 </w:t>
      </w:r>
      <w:r w:rsidR="00A51B80" w:rsidRPr="00B92164">
        <w:rPr>
          <w:rFonts w:asciiTheme="majorBidi" w:hAnsiTheme="majorBidi" w:cstheme="majorBidi"/>
        </w:rPr>
        <w:t>on the g</w:t>
      </w:r>
      <w:r w:rsidRPr="00B92164">
        <w:rPr>
          <w:rFonts w:asciiTheme="majorBidi" w:hAnsiTheme="majorBidi" w:cstheme="majorBidi"/>
        </w:rPr>
        <w:t>ender</w:t>
      </w:r>
      <w:r w:rsidRPr="00631C1C">
        <w:rPr>
          <w:rFonts w:asciiTheme="majorBidi" w:hAnsiTheme="majorBidi" w:cstheme="majorBidi"/>
        </w:rPr>
        <w:t xml:space="preserve"> </w:t>
      </w:r>
      <w:r w:rsidRPr="00B92164">
        <w:rPr>
          <w:rFonts w:asciiTheme="majorBidi" w:hAnsiTheme="majorBidi" w:cstheme="majorBidi"/>
        </w:rPr>
        <w:t>action plan, including</w:t>
      </w:r>
      <w:r w:rsidRPr="00631C1C">
        <w:rPr>
          <w:rFonts w:asciiTheme="majorBidi" w:hAnsiTheme="majorBidi" w:cstheme="majorBidi"/>
        </w:rPr>
        <w:t xml:space="preserve"> </w:t>
      </w:r>
      <w:r w:rsidR="003749AC" w:rsidRPr="00631C1C">
        <w:rPr>
          <w:rFonts w:asciiTheme="majorBidi" w:hAnsiTheme="majorBidi" w:cstheme="majorBidi"/>
        </w:rPr>
        <w:t xml:space="preserve">activities </w:t>
      </w:r>
      <w:r w:rsidRPr="00631C1C">
        <w:rPr>
          <w:rFonts w:asciiTheme="majorBidi" w:hAnsiTheme="majorBidi" w:cstheme="majorBidi"/>
        </w:rPr>
        <w:t xml:space="preserve">to address health concerns of women and </w:t>
      </w:r>
      <w:proofErr w:type="gramStart"/>
      <w:r w:rsidRPr="00631C1C">
        <w:rPr>
          <w:rFonts w:asciiTheme="majorBidi" w:hAnsiTheme="majorBidi" w:cstheme="majorBidi"/>
        </w:rPr>
        <w:t>children</w:t>
      </w:r>
      <w:r w:rsidR="007446CE" w:rsidRPr="00631C1C">
        <w:rPr>
          <w:rFonts w:asciiTheme="majorBidi" w:hAnsiTheme="majorBidi" w:cstheme="majorBidi"/>
        </w:rPr>
        <w:t>;</w:t>
      </w:r>
      <w:proofErr w:type="gramEnd"/>
    </w:p>
    <w:p w14:paraId="211F51E1" w14:textId="3F72F4E4" w:rsidR="00312042" w:rsidRPr="00631C1C"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to </w:t>
      </w:r>
      <w:r w:rsidRPr="00B92164">
        <w:rPr>
          <w:rFonts w:asciiTheme="majorBidi" w:hAnsiTheme="majorBidi" w:cstheme="majorBidi"/>
        </w:rPr>
        <w:t xml:space="preserve">continue their implementation of decision MC-5/15 </w:t>
      </w:r>
      <w:r w:rsidR="00E900FD" w:rsidRPr="00B92164">
        <w:rPr>
          <w:rFonts w:asciiTheme="majorBidi" w:hAnsiTheme="majorBidi" w:cstheme="majorBidi"/>
        </w:rPr>
        <w:t>on the g</w:t>
      </w:r>
      <w:r w:rsidRPr="00B92164">
        <w:rPr>
          <w:rFonts w:asciiTheme="majorBidi" w:hAnsiTheme="majorBidi" w:cstheme="majorBidi"/>
        </w:rPr>
        <w:t>ender action plan, including</w:t>
      </w:r>
      <w:r w:rsidRPr="00631C1C">
        <w:rPr>
          <w:rFonts w:asciiTheme="majorBidi" w:hAnsiTheme="majorBidi" w:cstheme="majorBidi"/>
        </w:rPr>
        <w:t xml:space="preserve"> to address health concerns of women and children during the biennium </w:t>
      </w:r>
      <w:r w:rsidR="00A27A33">
        <w:rPr>
          <w:rFonts w:asciiTheme="majorBidi" w:hAnsiTheme="majorBidi" w:cstheme="majorBidi"/>
        </w:rPr>
        <w:br/>
      </w:r>
      <w:r w:rsidRPr="00631C1C">
        <w:rPr>
          <w:rFonts w:asciiTheme="majorBidi" w:hAnsiTheme="majorBidi" w:cstheme="majorBidi"/>
        </w:rPr>
        <w:t>2026–2027</w:t>
      </w:r>
      <w:r w:rsidRPr="00631C1C">
        <w:rPr>
          <w:rStyle w:val="FootnoteReference"/>
          <w:rFonts w:cstheme="majorBidi"/>
        </w:rPr>
        <w:footnoteReference w:id="24"/>
      </w:r>
      <w:r w:rsidRPr="00631C1C">
        <w:rPr>
          <w:rFonts w:asciiTheme="majorBidi" w:hAnsiTheme="majorBidi" w:cstheme="majorBidi"/>
        </w:rPr>
        <w:t xml:space="preserve"> and to share with the secretariat their related experiences and good </w:t>
      </w:r>
      <w:proofErr w:type="gramStart"/>
      <w:r w:rsidRPr="00631C1C">
        <w:rPr>
          <w:rFonts w:asciiTheme="majorBidi" w:hAnsiTheme="majorBidi" w:cstheme="majorBidi"/>
        </w:rPr>
        <w:t>practices;</w:t>
      </w:r>
      <w:proofErr w:type="gramEnd"/>
    </w:p>
    <w:p w14:paraId="4994F237" w14:textId="62B5D92F" w:rsidR="00312042" w:rsidRPr="00C14CF0"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Also invites</w:t>
      </w:r>
      <w:r w:rsidRPr="00631C1C">
        <w:rPr>
          <w:rFonts w:asciiTheme="majorBidi" w:hAnsiTheme="majorBidi" w:cstheme="majorBidi"/>
        </w:rPr>
        <w:t xml:space="preserve"> parties to provide comments, as appropriate, on possible activities to be </w:t>
      </w:r>
      <w:r w:rsidRPr="00C14CF0">
        <w:rPr>
          <w:rFonts w:asciiTheme="majorBidi" w:hAnsiTheme="majorBidi" w:cstheme="majorBidi"/>
        </w:rPr>
        <w:t>carried out by the secretariat, parties and other stakeholders during the biennium 2028–</w:t>
      </w:r>
      <w:proofErr w:type="gramStart"/>
      <w:r w:rsidRPr="00C14CF0">
        <w:rPr>
          <w:rFonts w:asciiTheme="majorBidi" w:hAnsiTheme="majorBidi" w:cstheme="majorBidi"/>
        </w:rPr>
        <w:t>2029;</w:t>
      </w:r>
      <w:proofErr w:type="gramEnd"/>
    </w:p>
    <w:p w14:paraId="721CFAC6" w14:textId="0B474E55" w:rsidR="00312042" w:rsidRPr="00C14CF0"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C14CF0">
        <w:rPr>
          <w:rFonts w:asciiTheme="majorBidi" w:hAnsiTheme="majorBidi" w:cstheme="majorBidi"/>
          <w:i/>
          <w:iCs/>
        </w:rPr>
        <w:t>Requests</w:t>
      </w:r>
      <w:r w:rsidRPr="00C14CF0">
        <w:rPr>
          <w:rFonts w:asciiTheme="majorBidi" w:hAnsiTheme="majorBidi" w:cstheme="majorBidi"/>
        </w:rPr>
        <w:t xml:space="preserve"> the secretariat to carry out activities during the biennium 2026–2027,</w:t>
      </w:r>
      <w:r w:rsidRPr="00C14CF0">
        <w:rPr>
          <w:rStyle w:val="FootnoteReference"/>
          <w:rFonts w:asciiTheme="majorBidi" w:hAnsiTheme="majorBidi" w:cstheme="majorBidi"/>
        </w:rPr>
        <w:footnoteReference w:id="25"/>
      </w:r>
      <w:r w:rsidRPr="00C14CF0">
        <w:rPr>
          <w:rFonts w:asciiTheme="majorBidi" w:hAnsiTheme="majorBidi" w:cstheme="majorBidi"/>
        </w:rPr>
        <w:t xml:space="preserve"> subject to the availability of </w:t>
      </w:r>
      <w:proofErr w:type="gramStart"/>
      <w:r w:rsidRPr="00C14CF0">
        <w:rPr>
          <w:rFonts w:asciiTheme="majorBidi" w:hAnsiTheme="majorBidi" w:cstheme="majorBidi"/>
        </w:rPr>
        <w:t>resources;</w:t>
      </w:r>
      <w:proofErr w:type="gramEnd"/>
      <w:r w:rsidRPr="00C14CF0">
        <w:rPr>
          <w:rFonts w:asciiTheme="majorBidi" w:hAnsiTheme="majorBidi" w:cstheme="majorBidi"/>
        </w:rPr>
        <w:t xml:space="preserve"> </w:t>
      </w:r>
    </w:p>
    <w:p w14:paraId="5CCD731E" w14:textId="084464AD" w:rsidR="00312042" w:rsidRPr="00631C1C"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rPr>
        <w:t>Also requests</w:t>
      </w:r>
      <w:r w:rsidRPr="00631C1C">
        <w:rPr>
          <w:rFonts w:asciiTheme="majorBidi" w:hAnsiTheme="majorBidi" w:cstheme="majorBidi"/>
          <w:iCs/>
        </w:rPr>
        <w:t xml:space="preserve"> the secretariat to </w:t>
      </w:r>
      <w:r w:rsidRPr="00631C1C">
        <w:rPr>
          <w:rFonts w:asciiTheme="majorBidi" w:hAnsiTheme="majorBidi" w:cstheme="majorBidi"/>
        </w:rPr>
        <w:t>report to the Conference of the Parties on the implementation of the present decision and propose possible activities to be carried out by the secretariat, parties and other stakeholders during the biennium 2028–2029, as appropriate, for consideration by the Conference at its seventh meeting.</w:t>
      </w:r>
    </w:p>
    <w:p w14:paraId="50C62309"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5C3AE1A4" w14:textId="42D70914" w:rsidR="00312042" w:rsidRPr="00631C1C" w:rsidRDefault="00312042" w:rsidP="00312042">
      <w:pPr>
        <w:pStyle w:val="CH2"/>
      </w:pPr>
      <w:bookmarkStart w:id="55" w:name="_Toc213853074"/>
      <w:r w:rsidRPr="00631C1C">
        <w:lastRenderedPageBreak/>
        <w:tab/>
      </w:r>
      <w:r w:rsidRPr="00631C1C">
        <w:tab/>
      </w:r>
      <w:bookmarkStart w:id="56" w:name="_Toc219712815"/>
      <w:r w:rsidRPr="00631C1C">
        <w:t>Decision MC-6/17: Knowledge management and implementation of the digital strategy</w:t>
      </w:r>
      <w:bookmarkEnd w:id="55"/>
      <w:bookmarkEnd w:id="56"/>
    </w:p>
    <w:p w14:paraId="59EF3475"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48BC4B37" w14:textId="3829988F"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the digital strategy </w:t>
      </w:r>
      <w:r w:rsidR="00765EE7" w:rsidRPr="00631C1C">
        <w:rPr>
          <w:rFonts w:asciiTheme="majorBidi" w:hAnsiTheme="majorBidi" w:cstheme="majorBidi"/>
        </w:rPr>
        <w:t xml:space="preserve">for </w:t>
      </w:r>
      <w:r w:rsidRPr="00631C1C">
        <w:rPr>
          <w:rFonts w:asciiTheme="majorBidi" w:hAnsiTheme="majorBidi" w:cstheme="majorBidi"/>
        </w:rPr>
        <w:t>the Minamata Convention on Mercury,</w:t>
      </w:r>
      <w:r w:rsidR="0036758B">
        <w:rPr>
          <w:rStyle w:val="FootnoteReference"/>
          <w:rFonts w:cstheme="majorBidi"/>
        </w:rPr>
        <w:footnoteReference w:id="26"/>
      </w:r>
      <w:r w:rsidRPr="00631C1C">
        <w:rPr>
          <w:rFonts w:asciiTheme="majorBidi" w:hAnsiTheme="majorBidi" w:cstheme="majorBidi"/>
        </w:rPr>
        <w:t xml:space="preserve"> as noted with appreciation in decision MC-5/16, to guide the work of the secretariat </w:t>
      </w:r>
      <w:r w:rsidRPr="00631C1C" w:rsidDel="00E63E2B">
        <w:rPr>
          <w:rFonts w:asciiTheme="majorBidi" w:hAnsiTheme="majorBidi" w:cstheme="majorBidi"/>
        </w:rPr>
        <w:t xml:space="preserve">in </w:t>
      </w:r>
      <w:r w:rsidRPr="00631C1C">
        <w:rPr>
          <w:rFonts w:asciiTheme="majorBidi" w:hAnsiTheme="majorBidi" w:cstheme="majorBidi"/>
        </w:rPr>
        <w:t>leveraging technology and managing knowledge effectively to support the implementation of the Convention,</w:t>
      </w:r>
    </w:p>
    <w:p w14:paraId="7A9E473B"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Emphasizing </w:t>
      </w:r>
      <w:r w:rsidRPr="00631C1C">
        <w:rPr>
          <w:rFonts w:asciiTheme="majorBidi" w:hAnsiTheme="majorBidi" w:cstheme="majorBidi"/>
        </w:rPr>
        <w:t>the benefits of digitalization in knowledge management and capacity-building for advancing progress towards the objective of the Convention, in accordance with the forward-looking vision of the United Nations 2.0 initiative of fostering innovation, collaboration, and a digital culture across the United Nations system,</w:t>
      </w:r>
    </w:p>
    <w:p w14:paraId="251FA2DD"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need for information exchange in accordance with articles 17 and 24 of the Convention to facilitate cooperation in the exchange of information between parties and relevant stakeholders,</w:t>
      </w:r>
    </w:p>
    <w:p w14:paraId="49B7B8A6" w14:textId="522F54ED"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1.</w:t>
      </w:r>
      <w:r w:rsidRPr="00631C1C">
        <w:rPr>
          <w:rFonts w:asciiTheme="majorBidi" w:hAnsiTheme="majorBidi" w:cstheme="majorBidi"/>
          <w:i/>
          <w:iCs/>
        </w:rPr>
        <w:tab/>
        <w:t>Welcomes</w:t>
      </w:r>
      <w:r w:rsidRPr="00631C1C">
        <w:rPr>
          <w:rFonts w:asciiTheme="majorBidi" w:hAnsiTheme="majorBidi" w:cstheme="majorBidi"/>
        </w:rPr>
        <w:t xml:space="preserve"> the progress made by the secretariat in implementing the digital strategy during the biennium 2024–2025;</w:t>
      </w:r>
      <w:r w:rsidR="00086C02" w:rsidRPr="00631C1C">
        <w:rPr>
          <w:rFonts w:asciiTheme="majorBidi" w:hAnsiTheme="majorBidi" w:cstheme="majorBidi"/>
          <w:shd w:val="clear" w:color="auto" w:fill="FFFFFF"/>
          <w:vertAlign w:val="superscript"/>
        </w:rPr>
        <w:footnoteReference w:id="27"/>
      </w:r>
    </w:p>
    <w:p w14:paraId="28339345"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2.</w:t>
      </w:r>
      <w:r w:rsidRPr="00631C1C">
        <w:tab/>
      </w:r>
      <w:r w:rsidRPr="00631C1C">
        <w:rPr>
          <w:rFonts w:asciiTheme="majorBidi" w:hAnsiTheme="majorBidi" w:cstheme="majorBidi"/>
          <w:i/>
          <w:iCs/>
        </w:rPr>
        <w:t>Requests</w:t>
      </w:r>
      <w:r w:rsidRPr="00631C1C">
        <w:rPr>
          <w:rFonts w:asciiTheme="majorBidi" w:hAnsiTheme="majorBidi" w:cstheme="majorBidi"/>
        </w:rPr>
        <w:t xml:space="preserve"> the secretariat to continue the implementation of the digital strategy in accordance with the programme of work and budget for the Minamata Convention on Mercury for the biennium 2026–2027 and to prioritize relevant activities for progressive advancement of the strategy in future bienniums, </w:t>
      </w:r>
      <w:r w:rsidRPr="00B92164">
        <w:rPr>
          <w:rFonts w:asciiTheme="majorBidi" w:hAnsiTheme="majorBidi" w:cstheme="majorBidi"/>
        </w:rPr>
        <w:t xml:space="preserve">including the potential for the use of artificial </w:t>
      </w:r>
      <w:proofErr w:type="gramStart"/>
      <w:r w:rsidRPr="00B92164">
        <w:rPr>
          <w:rFonts w:asciiTheme="majorBidi" w:hAnsiTheme="majorBidi" w:cstheme="majorBidi"/>
        </w:rPr>
        <w:t>intelligence</w:t>
      </w:r>
      <w:r w:rsidRPr="00631C1C">
        <w:rPr>
          <w:rFonts w:asciiTheme="majorBidi" w:hAnsiTheme="majorBidi" w:cstheme="majorBidi"/>
        </w:rPr>
        <w:t>;</w:t>
      </w:r>
      <w:proofErr w:type="gramEnd"/>
    </w:p>
    <w:p w14:paraId="5DA5852C" w14:textId="693CA163"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3.</w:t>
      </w:r>
      <w:r w:rsidRPr="00631C1C">
        <w:tab/>
      </w:r>
      <w:r w:rsidRPr="00631C1C">
        <w:rPr>
          <w:rFonts w:asciiTheme="majorBidi" w:hAnsiTheme="majorBidi" w:cstheme="majorBidi"/>
          <w:i/>
          <w:iCs/>
        </w:rPr>
        <w:t>Recognizes</w:t>
      </w:r>
      <w:r w:rsidRPr="00631C1C">
        <w:rPr>
          <w:rFonts w:asciiTheme="majorBidi" w:hAnsiTheme="majorBidi" w:cstheme="majorBidi"/>
        </w:rPr>
        <w:t xml:space="preserve"> the Convention website as the primary source of public information and knowledge about the Convention, and requests the secretariat to keep it updated in accordance with the digital </w:t>
      </w:r>
      <w:proofErr w:type="gramStart"/>
      <w:r w:rsidRPr="00631C1C">
        <w:rPr>
          <w:rFonts w:asciiTheme="majorBidi" w:hAnsiTheme="majorBidi" w:cstheme="majorBidi"/>
        </w:rPr>
        <w:t>strategy;</w:t>
      </w:r>
      <w:proofErr w:type="gramEnd"/>
    </w:p>
    <w:p w14:paraId="31F2D149" w14:textId="0DE8680B"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4.</w:t>
      </w:r>
      <w:r w:rsidRPr="00631C1C">
        <w:tab/>
      </w:r>
      <w:r w:rsidRPr="00631C1C">
        <w:rPr>
          <w:rFonts w:asciiTheme="majorBidi" w:hAnsiTheme="majorBidi" w:cstheme="majorBidi"/>
          <w:i/>
          <w:iCs/>
        </w:rPr>
        <w:t>Agrees</w:t>
      </w:r>
      <w:r w:rsidRPr="00631C1C">
        <w:rPr>
          <w:rFonts w:asciiTheme="majorBidi" w:hAnsiTheme="majorBidi" w:cstheme="majorBidi"/>
        </w:rPr>
        <w:t xml:space="preserve"> to support the development of the Minamata </w:t>
      </w:r>
      <w:r w:rsidRPr="00B92164">
        <w:rPr>
          <w:rFonts w:asciiTheme="majorBidi" w:hAnsiTheme="majorBidi" w:cstheme="majorBidi"/>
        </w:rPr>
        <w:t xml:space="preserve">Convention </w:t>
      </w:r>
      <w:r w:rsidRPr="00631C1C">
        <w:rPr>
          <w:rFonts w:asciiTheme="majorBidi" w:hAnsiTheme="majorBidi" w:cstheme="majorBidi"/>
        </w:rPr>
        <w:t xml:space="preserve">Exchange Platform </w:t>
      </w:r>
      <w:r w:rsidRPr="00B92164">
        <w:rPr>
          <w:rFonts w:asciiTheme="majorBidi" w:hAnsiTheme="majorBidi" w:cstheme="majorBidi"/>
        </w:rPr>
        <w:t>as a cost-effective and transparent vehicle</w:t>
      </w:r>
      <w:r w:rsidRPr="00631C1C">
        <w:rPr>
          <w:rFonts w:asciiTheme="majorBidi" w:hAnsiTheme="majorBidi" w:cstheme="majorBidi"/>
        </w:rPr>
        <w:t xml:space="preserve"> for information exchange pursuant to articles 17 and 24, subject to the availability of </w:t>
      </w:r>
      <w:proofErr w:type="gramStart"/>
      <w:r w:rsidRPr="00631C1C">
        <w:rPr>
          <w:rFonts w:asciiTheme="majorBidi" w:hAnsiTheme="majorBidi" w:cstheme="majorBidi"/>
        </w:rPr>
        <w:t>resources;</w:t>
      </w:r>
      <w:proofErr w:type="gramEnd"/>
    </w:p>
    <w:p w14:paraId="4B53B15D" w14:textId="13D97EEE"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5.</w:t>
      </w:r>
      <w:r w:rsidRPr="00631C1C">
        <w:tab/>
      </w:r>
      <w:r w:rsidRPr="00631C1C">
        <w:rPr>
          <w:rFonts w:asciiTheme="majorBidi" w:hAnsiTheme="majorBidi" w:cstheme="majorBidi"/>
          <w:i/>
          <w:iCs/>
        </w:rPr>
        <w:t>Encourages</w:t>
      </w:r>
      <w:r w:rsidRPr="00631C1C">
        <w:rPr>
          <w:rFonts w:asciiTheme="majorBidi" w:hAnsiTheme="majorBidi" w:cstheme="majorBidi"/>
        </w:rPr>
        <w:t xml:space="preserve"> the secretariat, </w:t>
      </w:r>
      <w:r w:rsidRPr="00B92164">
        <w:rPr>
          <w:rFonts w:asciiTheme="majorBidi" w:hAnsiTheme="majorBidi" w:cstheme="majorBidi"/>
        </w:rPr>
        <w:t>subject to the availability of resources</w:t>
      </w:r>
      <w:r w:rsidRPr="00631C1C">
        <w:rPr>
          <w:rFonts w:asciiTheme="majorBidi" w:hAnsiTheme="majorBidi" w:cstheme="majorBidi"/>
        </w:rPr>
        <w:t xml:space="preserve">, to continue cooperation and coordination activities with the Global Mercury Partnership to advance shared knowledge initiatives concerning mercury-related issues, including the joint development of data products, communication tools and knowledge platforms, while ensuring </w:t>
      </w:r>
      <w:proofErr w:type="gramStart"/>
      <w:r w:rsidRPr="00631C1C">
        <w:rPr>
          <w:rFonts w:asciiTheme="majorBidi" w:hAnsiTheme="majorBidi" w:cstheme="majorBidi"/>
        </w:rPr>
        <w:t>complementarity;</w:t>
      </w:r>
      <w:proofErr w:type="gramEnd"/>
    </w:p>
    <w:p w14:paraId="64C82070"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6.</w:t>
      </w:r>
      <w:r w:rsidRPr="00631C1C">
        <w:tab/>
      </w:r>
      <w:r w:rsidRPr="00631C1C">
        <w:rPr>
          <w:rFonts w:asciiTheme="majorBidi" w:hAnsiTheme="majorBidi" w:cstheme="majorBidi"/>
          <w:i/>
          <w:iCs/>
        </w:rPr>
        <w:t>Requests</w:t>
      </w:r>
      <w:r w:rsidRPr="00631C1C">
        <w:rPr>
          <w:rFonts w:asciiTheme="majorBidi" w:hAnsiTheme="majorBidi" w:cstheme="majorBidi"/>
        </w:rPr>
        <w:t xml:space="preserve"> the secretariat to continue collaborating with the secretariats of other multilateral environmental agreements and other partners, including the United Nations Information Portal on Multilateral Environmental Agreements (</w:t>
      </w:r>
      <w:proofErr w:type="spellStart"/>
      <w:r w:rsidRPr="00631C1C">
        <w:rPr>
          <w:rFonts w:asciiTheme="majorBidi" w:hAnsiTheme="majorBidi" w:cstheme="majorBidi"/>
        </w:rPr>
        <w:t>InforMEA</w:t>
      </w:r>
      <w:proofErr w:type="spellEnd"/>
      <w:r w:rsidRPr="00631C1C">
        <w:rPr>
          <w:rFonts w:asciiTheme="majorBidi" w:hAnsiTheme="majorBidi" w:cstheme="majorBidi"/>
        </w:rPr>
        <w:t xml:space="preserve">) initiative, on knowledge management, digitalization and information </w:t>
      </w:r>
      <w:proofErr w:type="gramStart"/>
      <w:r w:rsidRPr="00631C1C">
        <w:rPr>
          <w:rFonts w:asciiTheme="majorBidi" w:hAnsiTheme="majorBidi" w:cstheme="majorBidi"/>
        </w:rPr>
        <w:t>exchange;</w:t>
      </w:r>
      <w:proofErr w:type="gramEnd"/>
    </w:p>
    <w:p w14:paraId="6C9158DA"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7.</w:t>
      </w:r>
      <w:r w:rsidRPr="00631C1C">
        <w:tab/>
      </w:r>
      <w:r w:rsidRPr="00631C1C">
        <w:rPr>
          <w:rFonts w:asciiTheme="majorBidi" w:hAnsiTheme="majorBidi" w:cstheme="majorBidi"/>
          <w:i/>
          <w:iCs/>
        </w:rPr>
        <w:t xml:space="preserve">Also requests </w:t>
      </w:r>
      <w:r w:rsidRPr="00631C1C">
        <w:rPr>
          <w:rFonts w:asciiTheme="majorBidi" w:hAnsiTheme="majorBidi" w:cstheme="majorBidi"/>
        </w:rPr>
        <w:t>the secretariat to continue collaborating with the secretariat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to exchange information and share experiences and best practices relating to knowledge management and digitalization;</w:t>
      </w:r>
    </w:p>
    <w:p w14:paraId="1F0AA02E" w14:textId="19E73F23" w:rsidR="00312042" w:rsidRPr="00631C1C" w:rsidRDefault="00312042" w:rsidP="00312042">
      <w:pPr>
        <w:pStyle w:val="Normal-pool"/>
        <w:tabs>
          <w:tab w:val="clear" w:pos="1247"/>
        </w:tabs>
        <w:spacing w:after="120"/>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rPr>
        <w:t>8.</w:t>
      </w:r>
      <w:r w:rsidRPr="00631C1C">
        <w:tab/>
      </w:r>
      <w:r w:rsidRPr="00631C1C">
        <w:rPr>
          <w:rFonts w:asciiTheme="majorBidi" w:hAnsiTheme="majorBidi" w:cstheme="majorBidi"/>
          <w:i/>
          <w:iCs/>
        </w:rPr>
        <w:t>Further requests</w:t>
      </w:r>
      <w:r w:rsidRPr="00631C1C">
        <w:rPr>
          <w:rFonts w:asciiTheme="majorBidi" w:hAnsiTheme="majorBidi" w:cstheme="majorBidi"/>
        </w:rPr>
        <w:t xml:space="preserve"> the secretariat to report on progress in the implementation of the digital strategy to the Conference of the Parties at its seventh meeting.</w:t>
      </w:r>
    </w:p>
    <w:p w14:paraId="75AFB749"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71175CA9" w14:textId="576DF0EA" w:rsidR="00312042" w:rsidRPr="00631C1C" w:rsidRDefault="00312042" w:rsidP="00312042">
      <w:pPr>
        <w:pStyle w:val="CH2"/>
      </w:pPr>
      <w:bookmarkStart w:id="57" w:name="_Toc213853075"/>
      <w:r w:rsidRPr="00631C1C">
        <w:lastRenderedPageBreak/>
        <w:tab/>
      </w:r>
      <w:r w:rsidRPr="00631C1C">
        <w:tab/>
      </w:r>
      <w:bookmarkStart w:id="58" w:name="_Toc219712816"/>
      <w:r w:rsidRPr="00631C1C">
        <w:t>Decision MC-6/18: Road map for enhancing co-benefits from implementation of the Minamata Convention and the Kunming-Montreal Global Biodiversity Framework</w:t>
      </w:r>
      <w:bookmarkEnd w:id="57"/>
      <w:bookmarkEnd w:id="58"/>
    </w:p>
    <w:p w14:paraId="284AA406" w14:textId="2FC01AA0" w:rsidR="00312042" w:rsidRPr="00631C1C" w:rsidRDefault="00312042" w:rsidP="00312042">
      <w:pPr>
        <w:tabs>
          <w:tab w:val="left" w:pos="624"/>
          <w:tab w:val="left" w:pos="1871"/>
          <w:tab w:val="left" w:pos="2495"/>
          <w:tab w:val="left" w:pos="3119"/>
          <w:tab w:val="left" w:pos="3742"/>
          <w:tab w:val="left" w:pos="4366"/>
          <w:tab w:val="left" w:pos="4990"/>
        </w:tabs>
        <w:spacing w:after="120"/>
        <w:ind w:left="1247" w:firstLine="624"/>
        <w:rPr>
          <w:rFonts w:asciiTheme="majorBidi" w:hAnsiTheme="majorBidi" w:cstheme="majorBidi"/>
          <w:i/>
          <w:iCs/>
          <w:shd w:val="clear" w:color="auto" w:fill="FFFFFF"/>
        </w:rPr>
      </w:pPr>
      <w:r w:rsidRPr="00631C1C">
        <w:rPr>
          <w:rFonts w:asciiTheme="majorBidi" w:hAnsiTheme="majorBidi" w:cstheme="majorBidi"/>
          <w:i/>
          <w:iCs/>
          <w:shd w:val="clear" w:color="auto" w:fill="FFFFFF"/>
        </w:rPr>
        <w:t>The Conference of the Parties,</w:t>
      </w:r>
    </w:p>
    <w:p w14:paraId="528351EB" w14:textId="218F9895"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 xml:space="preserve">Acknowledging with appreciation </w:t>
      </w:r>
      <w:r w:rsidRPr="00631C1C">
        <w:rPr>
          <w:rFonts w:asciiTheme="majorBidi" w:hAnsiTheme="majorBidi" w:cstheme="majorBidi"/>
        </w:rPr>
        <w:t xml:space="preserve">the work by the secretariat in response to </w:t>
      </w:r>
      <w:r w:rsidRPr="00631C1C">
        <w:rPr>
          <w:rFonts w:asciiTheme="majorBidi" w:hAnsiTheme="majorBidi" w:cstheme="majorBidi"/>
          <w:shd w:val="clear" w:color="auto" w:fill="FFFFFF"/>
        </w:rPr>
        <w:t xml:space="preserve">decision MC-5/17 on mercury and the Kunming-Montreal Global Biodiversity Framework, including </w:t>
      </w:r>
      <w:r w:rsidRPr="00631C1C">
        <w:rPr>
          <w:rFonts w:asciiTheme="majorBidi" w:hAnsiTheme="majorBidi" w:cstheme="majorBidi"/>
        </w:rPr>
        <w:t xml:space="preserve">the input prepared in response to the calls by the Executive Secretary of the Convention on Biological Diversity on indicators, as reported to the Conference of the Parties to the Minamata Convention </w:t>
      </w:r>
      <w:r w:rsidR="002C1D99" w:rsidRPr="00631C1C">
        <w:rPr>
          <w:rFonts w:asciiTheme="majorBidi" w:hAnsiTheme="majorBidi" w:cstheme="majorBidi"/>
        </w:rPr>
        <w:t xml:space="preserve">on Mercury </w:t>
      </w:r>
      <w:r w:rsidRPr="00631C1C">
        <w:rPr>
          <w:rFonts w:asciiTheme="majorBidi" w:hAnsiTheme="majorBidi" w:cstheme="majorBidi"/>
        </w:rPr>
        <w:t>at its sixth meeting,</w:t>
      </w:r>
    </w:p>
    <w:p w14:paraId="12EA991D" w14:textId="1CDD5962" w:rsidR="00312042" w:rsidRPr="00631C1C" w:rsidRDefault="00312042" w:rsidP="00312042">
      <w:pPr>
        <w:tabs>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shd w:val="clear" w:color="auto" w:fill="FFFFFF"/>
        </w:rPr>
        <w:t xml:space="preserve">Acknowledging </w:t>
      </w:r>
      <w:r w:rsidRPr="00631C1C">
        <w:rPr>
          <w:rFonts w:asciiTheme="majorBidi" w:hAnsiTheme="majorBidi" w:cstheme="majorBidi"/>
          <w:shd w:val="clear" w:color="auto" w:fill="FFFFFF"/>
        </w:rPr>
        <w:t xml:space="preserve">the invitation by the </w:t>
      </w:r>
      <w:r w:rsidRPr="00631C1C">
        <w:rPr>
          <w:rFonts w:asciiTheme="majorBidi" w:hAnsiTheme="majorBidi" w:cstheme="majorBidi"/>
        </w:rPr>
        <w:t>Conference of the Parties to the Convention on Biological Diversity,</w:t>
      </w:r>
      <w:r w:rsidRPr="00631C1C" w:rsidDel="000356CD">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in its decision 16/35,</w:t>
      </w:r>
      <w:r w:rsidRPr="00631C1C" w:rsidDel="008E33C3">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to the Conference of</w:t>
      </w:r>
      <w:r w:rsidR="004A67FC" w:rsidRPr="00631C1C">
        <w:rPr>
          <w:rFonts w:asciiTheme="majorBidi" w:hAnsiTheme="majorBidi" w:cstheme="majorBidi"/>
          <w:shd w:val="clear" w:color="auto" w:fill="FFFFFF"/>
        </w:rPr>
        <w:t xml:space="preserve"> the</w:t>
      </w:r>
      <w:r w:rsidRPr="00631C1C">
        <w:rPr>
          <w:rFonts w:asciiTheme="majorBidi" w:hAnsiTheme="majorBidi" w:cstheme="majorBidi"/>
          <w:shd w:val="clear" w:color="auto" w:fill="FFFFFF"/>
        </w:rPr>
        <w:t xml:space="preserve"> Parties to the Minamata Convention, along with the governing bodies of the other chemical and waste conventions, the Food and Agriculture Organization of the United Nations and other relevant conventions and organizations, including the Global Framework on Chemicals – for a Planet Free of Harm from Chemicals and Waste,</w:t>
      </w:r>
      <w:r w:rsidRPr="00631C1C" w:rsidDel="00E537A5">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 xml:space="preserve">to collaborate with the three Rio conventions on target 7 of the Framework, “reduce pollution to levels that are not harmful to biodiversity”, </w:t>
      </w:r>
    </w:p>
    <w:p w14:paraId="4D00A0DC" w14:textId="66F3F101"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 xml:space="preserve">Acknowledging with appreciation </w:t>
      </w:r>
      <w:r w:rsidRPr="00631C1C">
        <w:rPr>
          <w:rFonts w:asciiTheme="majorBidi" w:hAnsiTheme="majorBidi" w:cstheme="majorBidi"/>
        </w:rPr>
        <w:t>the work facilitated by the United Nations Environment Programme under the Bern process, including the outcomes of the third conference under that process,</w:t>
      </w:r>
      <w:r w:rsidR="00A820C4" w:rsidRPr="00E8757C">
        <w:rPr>
          <w:rStyle w:val="FootnoteReference"/>
          <w:rFonts w:cstheme="majorBidi"/>
        </w:rPr>
        <w:footnoteReference w:id="28"/>
      </w:r>
    </w:p>
    <w:p w14:paraId="2C280206" w14:textId="72BAC27D"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 xml:space="preserve">Welcomes </w:t>
      </w:r>
      <w:r w:rsidRPr="00631C1C">
        <w:rPr>
          <w:rFonts w:asciiTheme="majorBidi" w:hAnsiTheme="majorBidi" w:cstheme="majorBidi"/>
          <w:shd w:val="clear" w:color="auto" w:fill="FFFFFF"/>
        </w:rPr>
        <w:t xml:space="preserve">the road map for enhancing co-benefits from implementation of the Minamata Convention </w:t>
      </w:r>
      <w:r w:rsidR="0002724A" w:rsidRPr="00631C1C">
        <w:rPr>
          <w:rFonts w:asciiTheme="majorBidi" w:hAnsiTheme="majorBidi" w:cstheme="majorBidi"/>
          <w:shd w:val="clear" w:color="auto" w:fill="FFFFFF"/>
        </w:rPr>
        <w:t xml:space="preserve">on Mercury </w:t>
      </w:r>
      <w:r w:rsidRPr="00631C1C">
        <w:rPr>
          <w:rFonts w:asciiTheme="majorBidi" w:hAnsiTheme="majorBidi" w:cstheme="majorBidi"/>
          <w:shd w:val="clear" w:color="auto" w:fill="FFFFFF"/>
        </w:rPr>
        <w:t xml:space="preserve">and the Kunming-Montreal Global </w:t>
      </w:r>
      <w:r w:rsidRPr="00631C1C">
        <w:rPr>
          <w:rFonts w:asciiTheme="majorBidi" w:hAnsiTheme="majorBidi" w:cstheme="majorBidi"/>
        </w:rPr>
        <w:t>Biodiversity</w:t>
      </w:r>
      <w:r w:rsidRPr="00631C1C">
        <w:rPr>
          <w:rFonts w:asciiTheme="majorBidi" w:hAnsiTheme="majorBidi" w:cstheme="majorBidi"/>
          <w:shd w:val="clear" w:color="auto" w:fill="FFFFFF"/>
        </w:rPr>
        <w:t xml:space="preserve"> Framework by 2030,</w:t>
      </w:r>
      <w:r w:rsidRPr="00631C1C">
        <w:rPr>
          <w:rFonts w:asciiTheme="majorBidi" w:hAnsiTheme="majorBidi" w:cstheme="majorBidi"/>
          <w:shd w:val="clear" w:color="auto" w:fill="FFFFFF"/>
          <w:vertAlign w:val="superscript"/>
        </w:rPr>
        <w:footnoteReference w:id="29"/>
      </w:r>
      <w:r w:rsidRPr="00631C1C">
        <w:rPr>
          <w:rFonts w:asciiTheme="majorBidi" w:hAnsiTheme="majorBidi" w:cstheme="majorBidi"/>
          <w:shd w:val="clear" w:color="auto" w:fill="FFFFFF"/>
        </w:rPr>
        <w:t xml:space="preserve"> prepared by the secretariat pursuant to decision </w:t>
      </w:r>
      <w:r w:rsidRPr="00631C1C">
        <w:rPr>
          <w:rFonts w:asciiTheme="majorBidi" w:hAnsiTheme="majorBidi" w:cstheme="majorBidi"/>
        </w:rPr>
        <w:t>MC-</w:t>
      </w:r>
      <w:r w:rsidRPr="00631C1C">
        <w:rPr>
          <w:rFonts w:asciiTheme="majorBidi" w:hAnsiTheme="majorBidi" w:cstheme="majorBidi"/>
          <w:shd w:val="clear" w:color="auto" w:fill="FFFFFF"/>
        </w:rPr>
        <w:t>5/</w:t>
      </w:r>
      <w:proofErr w:type="gramStart"/>
      <w:r w:rsidRPr="00631C1C">
        <w:rPr>
          <w:rFonts w:asciiTheme="majorBidi" w:hAnsiTheme="majorBidi" w:cstheme="majorBidi"/>
          <w:shd w:val="clear" w:color="auto" w:fill="FFFFFF"/>
        </w:rPr>
        <w:t>17;</w:t>
      </w:r>
      <w:proofErr w:type="gramEnd"/>
    </w:p>
    <w:p w14:paraId="15E25B73" w14:textId="6653ED7C"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 xml:space="preserve">Encourages </w:t>
      </w:r>
      <w:r w:rsidRPr="00631C1C">
        <w:rPr>
          <w:rFonts w:asciiTheme="majorBidi" w:hAnsiTheme="majorBidi" w:cstheme="majorBidi"/>
        </w:rPr>
        <w:t>parties and other relevant stakeholders</w:t>
      </w:r>
      <w:r w:rsidRPr="00631C1C">
        <w:rPr>
          <w:rFonts w:asciiTheme="majorBidi" w:hAnsiTheme="majorBidi" w:cstheme="majorBidi"/>
          <w:shd w:val="clear" w:color="auto" w:fill="FFFFFF"/>
        </w:rPr>
        <w:t xml:space="preserve">, </w:t>
      </w:r>
      <w:r w:rsidRPr="00631C1C">
        <w:rPr>
          <w:rFonts w:asciiTheme="majorBidi" w:hAnsiTheme="majorBidi" w:cstheme="majorBidi"/>
        </w:rPr>
        <w:t xml:space="preserve">as appropriate, to </w:t>
      </w:r>
      <w:r w:rsidR="00BA124D">
        <w:rPr>
          <w:rFonts w:asciiTheme="majorBidi" w:hAnsiTheme="majorBidi" w:cstheme="majorBidi"/>
        </w:rPr>
        <w:t>carry out</w:t>
      </w:r>
      <w:r w:rsidR="00BA124D" w:rsidRPr="00631C1C">
        <w:rPr>
          <w:rFonts w:asciiTheme="majorBidi" w:hAnsiTheme="majorBidi" w:cstheme="majorBidi"/>
        </w:rPr>
        <w:t xml:space="preserve"> </w:t>
      </w:r>
      <w:r w:rsidRPr="00631C1C">
        <w:rPr>
          <w:rFonts w:asciiTheme="majorBidi" w:hAnsiTheme="majorBidi" w:cstheme="majorBidi"/>
        </w:rPr>
        <w:t xml:space="preserve">the actions suggested in the road map, </w:t>
      </w:r>
      <w:r w:rsidRPr="00B92164">
        <w:rPr>
          <w:rFonts w:asciiTheme="majorBidi" w:hAnsiTheme="majorBidi" w:cstheme="majorBidi"/>
        </w:rPr>
        <w:t xml:space="preserve">on a voluntary basis, consistent with national priorities, circumstances and capacities, and under the leadership of national </w:t>
      </w:r>
      <w:proofErr w:type="gramStart"/>
      <w:r w:rsidR="004627CE" w:rsidRPr="00B92164">
        <w:rPr>
          <w:rFonts w:asciiTheme="majorBidi" w:hAnsiTheme="majorBidi" w:cstheme="majorBidi"/>
        </w:rPr>
        <w:t>G</w:t>
      </w:r>
      <w:r w:rsidRPr="00B92164">
        <w:rPr>
          <w:rFonts w:asciiTheme="majorBidi" w:hAnsiTheme="majorBidi" w:cstheme="majorBidi"/>
        </w:rPr>
        <w:t>overnments</w:t>
      </w:r>
      <w:r w:rsidRPr="00631C1C">
        <w:rPr>
          <w:rFonts w:asciiTheme="majorBidi" w:hAnsiTheme="majorBidi" w:cstheme="majorBidi"/>
          <w:shd w:val="clear" w:color="auto" w:fill="FFFFFF"/>
        </w:rPr>
        <w:t>;</w:t>
      </w:r>
      <w:proofErr w:type="gramEnd"/>
    </w:p>
    <w:p w14:paraId="27DB1841" w14:textId="06E99376"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Encourages</w:t>
      </w:r>
      <w:r w:rsidRPr="00631C1C">
        <w:rPr>
          <w:rFonts w:asciiTheme="majorBidi" w:hAnsiTheme="majorBidi" w:cstheme="majorBidi"/>
        </w:rPr>
        <w:t xml:space="preserve"> p</w:t>
      </w:r>
      <w:r w:rsidRPr="00631C1C">
        <w:rPr>
          <w:rFonts w:asciiTheme="majorBidi" w:hAnsiTheme="majorBidi" w:cstheme="majorBidi"/>
          <w:shd w:val="clear" w:color="auto" w:fill="FFFFFF"/>
        </w:rPr>
        <w:t>arties, and invites other Governments that have submitted notifications pursuant to paragraph 3 of article 7 on artisanal and small-scale gold mining, to make use of the technical support document prepared by the secretariat on</w:t>
      </w:r>
      <w:r w:rsidRPr="00631C1C">
        <w:rPr>
          <w:rFonts w:asciiTheme="majorBidi" w:hAnsiTheme="majorBidi" w:cstheme="majorBidi"/>
        </w:rPr>
        <w:t xml:space="preserve"> integrating action to reduce mercury pollution from artisanal and small-scale gold mining into national biodiversity strategies and action plans aligned with the Kunming-Montreal Global Biodiversity Framework</w:t>
      </w:r>
      <w:r w:rsidRPr="00B92164">
        <w:rPr>
          <w:rFonts w:asciiTheme="majorBidi" w:hAnsiTheme="majorBidi" w:cstheme="majorBidi"/>
        </w:rPr>
        <w:t>,</w:t>
      </w:r>
      <w:r w:rsidR="004627CE" w:rsidRPr="00631C1C">
        <w:rPr>
          <w:rStyle w:val="FootnoteReference"/>
          <w:rFonts w:cstheme="majorBidi"/>
        </w:rPr>
        <w:footnoteReference w:id="30"/>
      </w:r>
      <w:r w:rsidRPr="00B92164">
        <w:rPr>
          <w:rFonts w:asciiTheme="majorBidi" w:hAnsiTheme="majorBidi" w:cstheme="majorBidi"/>
        </w:rPr>
        <w:t xml:space="preserve"> as appropriate and without prejudice to national circumstances and policy frameworks</w:t>
      </w:r>
      <w:r w:rsidRPr="00631C1C">
        <w:rPr>
          <w:rFonts w:asciiTheme="majorBidi" w:hAnsiTheme="majorBidi" w:cstheme="majorBidi"/>
        </w:rPr>
        <w:t>;</w:t>
      </w:r>
    </w:p>
    <w:p w14:paraId="1B3E4869" w14:textId="01C436F7"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Welcomes</w:t>
      </w:r>
      <w:r w:rsidRPr="00631C1C">
        <w:rPr>
          <w:rFonts w:asciiTheme="majorBidi" w:hAnsiTheme="majorBidi" w:cstheme="majorBidi"/>
          <w:shd w:val="clear" w:color="auto" w:fill="FFFFFF"/>
        </w:rPr>
        <w:t xml:space="preserve"> the decision of </w:t>
      </w:r>
      <w:r w:rsidRPr="00631C1C">
        <w:rPr>
          <w:rFonts w:asciiTheme="majorBidi" w:hAnsiTheme="majorBidi" w:cstheme="majorBidi"/>
        </w:rPr>
        <w:t>the Conference of the Parties to the Convention on Biological Diversity</w:t>
      </w:r>
      <w:r w:rsidRPr="00631C1C">
        <w:rPr>
          <w:rFonts w:asciiTheme="majorBidi" w:hAnsiTheme="majorBidi" w:cstheme="majorBidi"/>
          <w:shd w:val="clear" w:color="auto" w:fill="FFFFFF"/>
        </w:rPr>
        <w:t xml:space="preserve"> to invite the Intergovernmental Science-Policy Platform on Biodiversity and Ecosystem Services to consider adding an assessment of pollution and biodiversity to its rolling work programme,</w:t>
      </w:r>
      <w:r w:rsidRPr="00631C1C">
        <w:rPr>
          <w:rFonts w:asciiTheme="majorBidi" w:hAnsiTheme="majorBidi" w:cstheme="majorBidi"/>
          <w:shd w:val="clear" w:color="auto" w:fill="FFFFFF"/>
          <w:vertAlign w:val="superscript"/>
        </w:rPr>
        <w:footnoteReference w:id="31"/>
      </w:r>
      <w:r w:rsidRPr="00631C1C">
        <w:rPr>
          <w:rFonts w:asciiTheme="majorBidi" w:hAnsiTheme="majorBidi" w:cstheme="majorBidi"/>
          <w:shd w:val="clear" w:color="auto" w:fill="FFFFFF"/>
        </w:rPr>
        <w:t xml:space="preserve"> and requests the secretariat to initiate cooperation with the secretariat of the Platform</w:t>
      </w:r>
      <w:r w:rsidRPr="00B92164">
        <w:rPr>
          <w:rFonts w:asciiTheme="majorBidi" w:hAnsiTheme="majorBidi" w:cstheme="majorBidi"/>
          <w:shd w:val="clear" w:color="auto" w:fill="FFFFFF"/>
        </w:rPr>
        <w:t>, without duplication of existing work under the Minamata Convention,</w:t>
      </w:r>
      <w:r w:rsidRPr="00631C1C">
        <w:rPr>
          <w:rFonts w:asciiTheme="majorBidi" w:hAnsiTheme="majorBidi" w:cstheme="majorBidi"/>
          <w:shd w:val="clear" w:color="auto" w:fill="FFFFFF"/>
        </w:rPr>
        <w:t xml:space="preserve"> with a view to exploring</w:t>
      </w:r>
      <w:r w:rsidRPr="00631C1C" w:rsidDel="00B5206D">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possible ways in which the work of the Platform might support the implementation of the Minamata Convention;</w:t>
      </w:r>
    </w:p>
    <w:p w14:paraId="3F6CB2F8" w14:textId="5F7D5774"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parties to engage in the Bern process and actively promote cooperation and policy coherence among multilateral environmental agreements at the national level, </w:t>
      </w:r>
      <w:proofErr w:type="gramStart"/>
      <w:r w:rsidRPr="00631C1C">
        <w:rPr>
          <w:rFonts w:asciiTheme="majorBidi" w:hAnsiTheme="majorBidi" w:cstheme="majorBidi"/>
        </w:rPr>
        <w:t>taking into account</w:t>
      </w:r>
      <w:proofErr w:type="gramEnd"/>
      <w:r w:rsidRPr="00631C1C">
        <w:rPr>
          <w:rFonts w:asciiTheme="majorBidi" w:hAnsiTheme="majorBidi" w:cstheme="majorBidi"/>
        </w:rPr>
        <w:t xml:space="preserve"> national circumstances, needs and priorities</w:t>
      </w:r>
      <w:r w:rsidRPr="00B92164">
        <w:rPr>
          <w:rFonts w:asciiTheme="majorBidi" w:hAnsiTheme="majorBidi" w:cstheme="majorBidi"/>
        </w:rPr>
        <w:t>, and fully respecting national sovereignty and policy space,</w:t>
      </w:r>
      <w:r w:rsidRPr="00631C1C">
        <w:rPr>
          <w:rFonts w:asciiTheme="majorBidi" w:hAnsiTheme="majorBidi" w:cstheme="majorBidi"/>
        </w:rPr>
        <w:t xml:space="preserve"> through, as appropriate, a whole-of-government and whole-of-society approach</w:t>
      </w:r>
      <w:r w:rsidRPr="00B92164">
        <w:rPr>
          <w:rFonts w:asciiTheme="majorBidi" w:hAnsiTheme="majorBidi" w:cstheme="majorBidi"/>
        </w:rPr>
        <w:t xml:space="preserve">, while avoiding unnecessary additional reporting </w:t>
      </w:r>
      <w:proofErr w:type="gramStart"/>
      <w:r w:rsidRPr="00B92164">
        <w:rPr>
          <w:rFonts w:asciiTheme="majorBidi" w:hAnsiTheme="majorBidi" w:cstheme="majorBidi"/>
        </w:rPr>
        <w:t>burdens</w:t>
      </w:r>
      <w:r w:rsidRPr="00631C1C">
        <w:rPr>
          <w:rFonts w:asciiTheme="majorBidi" w:hAnsiTheme="majorBidi" w:cstheme="majorBidi"/>
        </w:rPr>
        <w:t>;</w:t>
      </w:r>
      <w:proofErr w:type="gramEnd"/>
    </w:p>
    <w:p w14:paraId="481AB13B" w14:textId="05A90EFA"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iCs/>
        </w:rPr>
        <w:t>Requests</w:t>
      </w:r>
      <w:r w:rsidRPr="00631C1C">
        <w:rPr>
          <w:rFonts w:asciiTheme="majorBidi" w:hAnsiTheme="majorBidi" w:cstheme="majorBidi"/>
        </w:rPr>
        <w:t xml:space="preserve"> the secretariat, subject to the availability of resources, </w:t>
      </w:r>
      <w:r w:rsidRPr="00631C1C">
        <w:rPr>
          <w:rFonts w:asciiTheme="majorBidi" w:hAnsiTheme="majorBidi" w:cstheme="majorBidi"/>
          <w:shd w:val="clear" w:color="auto" w:fill="FFFFFF"/>
        </w:rPr>
        <w:t xml:space="preserve">to contribute to the implementation of the road map and </w:t>
      </w:r>
      <w:r w:rsidRPr="00631C1C">
        <w:rPr>
          <w:rFonts w:asciiTheme="majorBidi" w:hAnsiTheme="majorBidi" w:cstheme="majorBidi"/>
        </w:rPr>
        <w:t xml:space="preserve">to continue its engagement in the Bern process, in collaboration with other multilateral environmental agreements and </w:t>
      </w:r>
      <w:r w:rsidRPr="00B92164">
        <w:rPr>
          <w:rFonts w:asciiTheme="majorBidi" w:hAnsiTheme="majorBidi" w:cstheme="majorBidi"/>
        </w:rPr>
        <w:t>the United Nations Environment Programme, without creating new obligations for parties and subject to adequate financial and technical support, particularly for developing countries</w:t>
      </w:r>
      <w:r w:rsidRPr="00631C1C">
        <w:rPr>
          <w:rFonts w:asciiTheme="majorBidi" w:hAnsiTheme="majorBidi" w:cstheme="majorBidi"/>
          <w:shd w:val="clear" w:color="auto" w:fill="FFFFFF"/>
        </w:rPr>
        <w:t>.</w:t>
      </w:r>
    </w:p>
    <w:p w14:paraId="430DF5CE" w14:textId="77777777" w:rsidR="00312042" w:rsidRPr="00631C1C" w:rsidRDefault="00312042" w:rsidP="00312042">
      <w:pPr>
        <w:pStyle w:val="Normal-pool"/>
      </w:pPr>
      <w:bookmarkStart w:id="59" w:name="_Toc213853076"/>
      <w:r w:rsidRPr="00631C1C">
        <w:br w:type="page"/>
      </w:r>
    </w:p>
    <w:p w14:paraId="099BC3B8" w14:textId="77777777" w:rsidR="00312042" w:rsidRPr="00631C1C" w:rsidRDefault="00312042" w:rsidP="00312042">
      <w:pPr>
        <w:pStyle w:val="CH2"/>
      </w:pPr>
      <w:r w:rsidRPr="00631C1C">
        <w:lastRenderedPageBreak/>
        <w:tab/>
      </w:r>
      <w:r w:rsidRPr="00631C1C">
        <w:tab/>
      </w:r>
      <w:bookmarkStart w:id="60" w:name="_Toc219712817"/>
      <w:r w:rsidRPr="00631C1C">
        <w:t>Decision MC-6/19: International cooperation and coordination</w:t>
      </w:r>
      <w:bookmarkEnd w:id="59"/>
      <w:bookmarkEnd w:id="60"/>
    </w:p>
    <w:p w14:paraId="37B02231" w14:textId="77777777" w:rsidR="00312042" w:rsidRPr="00631C1C" w:rsidRDefault="00312042" w:rsidP="00312042">
      <w:pPr>
        <w:tabs>
          <w:tab w:val="left" w:pos="624"/>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7B1C7C0D" w14:textId="07B83F32"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paragraph 5 (b) of article 23 of the Minamata Convention on Mercury, which provides that the Conference of the Parties and the secretariat are to cooperate, where appropriate, with relevant international organizations and intergovernmental and non</w:t>
      </w:r>
      <w:r w:rsidRPr="00631C1C">
        <w:rPr>
          <w:rFonts w:asciiTheme="majorBidi" w:hAnsiTheme="majorBidi" w:cstheme="majorBidi"/>
        </w:rPr>
        <w:noBreakHyphen/>
        <w:t xml:space="preserve">governmental bodies, </w:t>
      </w:r>
    </w:p>
    <w:p w14:paraId="0ECFFF27" w14:textId="41596B79"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Expressing its appreciation</w:t>
      </w:r>
      <w:r w:rsidRPr="00631C1C">
        <w:rPr>
          <w:rFonts w:asciiTheme="majorBidi" w:hAnsiTheme="majorBidi" w:cstheme="majorBidi"/>
        </w:rPr>
        <w:t xml:space="preserve"> to the international organizations and initiatives that conducted activities in 2024 and 2025 to promote ratification and implementation of the Convention, as reported to the Conference of the Parties at its sixth meeting, for conducting those activities,</w:t>
      </w:r>
    </w:p>
    <w:p w14:paraId="5C7C3B88" w14:textId="425D0D86"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Welcoming</w:t>
      </w:r>
      <w:r w:rsidRPr="00631C1C">
        <w:rPr>
          <w:rFonts w:asciiTheme="majorBidi" w:hAnsiTheme="majorBidi" w:cstheme="majorBidi"/>
        </w:rPr>
        <w:t xml:space="preserve"> the cooperation between the secretariat and the United Nations Children’s Fund on a joint publication on the risk of mercury to children,</w:t>
      </w:r>
    </w:p>
    <w:p w14:paraId="2504AB5F" w14:textId="06DC958A"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Welcomes </w:t>
      </w:r>
      <w:r w:rsidRPr="00631C1C">
        <w:rPr>
          <w:rFonts w:asciiTheme="majorBidi" w:eastAsia="Calibri" w:hAnsiTheme="majorBidi" w:cstheme="majorBidi"/>
        </w:rPr>
        <w:t>the adoption, by the United Nations Environment Assembly, at its sixth session,</w:t>
      </w:r>
      <w:r w:rsidRPr="00631C1C">
        <w:rPr>
          <w:rFonts w:asciiTheme="majorBidi" w:eastAsia="Calibri" w:hAnsiTheme="majorBidi" w:cstheme="majorBidi"/>
          <w:vertAlign w:val="superscript"/>
        </w:rPr>
        <w:footnoteReference w:id="32"/>
      </w:r>
      <w:r w:rsidRPr="00631C1C">
        <w:rPr>
          <w:rFonts w:asciiTheme="majorBidi" w:eastAsia="Calibri" w:hAnsiTheme="majorBidi" w:cstheme="majorBidi"/>
        </w:rPr>
        <w:t xml:space="preserve"> of resolutions on matters related to the </w:t>
      </w:r>
      <w:r w:rsidR="0002724A" w:rsidRPr="00631C1C">
        <w:rPr>
          <w:rFonts w:asciiTheme="majorBidi" w:eastAsia="Calibri" w:hAnsiTheme="majorBidi" w:cstheme="majorBidi"/>
        </w:rPr>
        <w:t xml:space="preserve">Minamata </w:t>
      </w:r>
      <w:r w:rsidRPr="00631C1C">
        <w:rPr>
          <w:rFonts w:asciiTheme="majorBidi" w:eastAsia="Calibri" w:hAnsiTheme="majorBidi" w:cstheme="majorBidi"/>
        </w:rPr>
        <w:t xml:space="preserve">Convention </w:t>
      </w:r>
      <w:r w:rsidR="0002724A" w:rsidRPr="00631C1C">
        <w:rPr>
          <w:rFonts w:asciiTheme="majorBidi" w:eastAsia="Calibri" w:hAnsiTheme="majorBidi" w:cstheme="majorBidi"/>
        </w:rPr>
        <w:t xml:space="preserve">on Mercury, </w:t>
      </w:r>
      <w:r w:rsidRPr="00631C1C">
        <w:rPr>
          <w:rFonts w:asciiTheme="majorBidi" w:eastAsia="Calibri" w:hAnsiTheme="majorBidi" w:cstheme="majorBidi"/>
        </w:rPr>
        <w:t xml:space="preserve">and requests the secretariat to contribute to the implementation of those resolutions, as </w:t>
      </w:r>
      <w:proofErr w:type="gramStart"/>
      <w:r w:rsidRPr="00631C1C">
        <w:rPr>
          <w:rFonts w:asciiTheme="majorBidi" w:eastAsia="Calibri" w:hAnsiTheme="majorBidi" w:cstheme="majorBidi"/>
        </w:rPr>
        <w:t>appropriate;</w:t>
      </w:r>
      <w:proofErr w:type="gramEnd"/>
    </w:p>
    <w:p w14:paraId="3F2F229E" w14:textId="042FFD97"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Also welcomes</w:t>
      </w:r>
      <w:r w:rsidRPr="00631C1C">
        <w:rPr>
          <w:rFonts w:asciiTheme="majorBidi" w:eastAsia="Calibri" w:hAnsiTheme="majorBidi" w:cstheme="majorBidi"/>
        </w:rPr>
        <w:t xml:space="preserve"> the establishment of the Intergovernmental Science-Policy Panel on Chemicals, Waste and</w:t>
      </w:r>
      <w:r w:rsidRPr="00631C1C" w:rsidDel="00D00057">
        <w:rPr>
          <w:rFonts w:asciiTheme="majorBidi" w:eastAsia="Calibri" w:hAnsiTheme="majorBidi" w:cstheme="majorBidi"/>
        </w:rPr>
        <w:t xml:space="preserve"> </w:t>
      </w:r>
      <w:r w:rsidRPr="00631C1C">
        <w:rPr>
          <w:rFonts w:asciiTheme="majorBidi" w:eastAsia="Calibri" w:hAnsiTheme="majorBidi" w:cstheme="majorBidi"/>
        </w:rPr>
        <w:t>Pollution in Punta del Este, Uruguay, on 20 June 2025</w:t>
      </w:r>
      <w:r w:rsidR="00B50896" w:rsidRPr="00631C1C">
        <w:rPr>
          <w:rFonts w:asciiTheme="majorBidi" w:eastAsia="Calibri" w:hAnsiTheme="majorBidi" w:cstheme="majorBidi"/>
        </w:rPr>
        <w:t>,</w:t>
      </w:r>
      <w:r w:rsidRPr="00631C1C">
        <w:rPr>
          <w:rFonts w:asciiTheme="majorBidi" w:eastAsia="Calibri" w:hAnsiTheme="majorBidi" w:cstheme="majorBidi"/>
        </w:rPr>
        <w:t xml:space="preserve"> expresses its interest in establishing a partnership with the Panel to advance the work of reaching the objective of the Convention</w:t>
      </w:r>
      <w:r w:rsidR="00B50896" w:rsidRPr="00631C1C">
        <w:rPr>
          <w:rFonts w:asciiTheme="majorBidi" w:eastAsia="Calibri" w:hAnsiTheme="majorBidi" w:cstheme="majorBidi"/>
        </w:rPr>
        <w:t>,</w:t>
      </w:r>
      <w:r w:rsidRPr="00631C1C">
        <w:rPr>
          <w:rFonts w:asciiTheme="majorBidi" w:eastAsia="Calibri" w:hAnsiTheme="majorBidi" w:cstheme="majorBidi"/>
        </w:rPr>
        <w:t xml:space="preserve"> and requests the secretariat of the Convention to cooperate with the secretariat of the Panel and seek observer status in the plenary of the Panel;</w:t>
      </w:r>
    </w:p>
    <w:p w14:paraId="0E4FEFB4" w14:textId="49DABB5F"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secretariat </w:t>
      </w:r>
      <w:r w:rsidR="00BB1F59" w:rsidRPr="00631C1C">
        <w:rPr>
          <w:rFonts w:asciiTheme="majorBidi" w:eastAsia="Calibri" w:hAnsiTheme="majorBidi" w:cstheme="majorBidi"/>
        </w:rPr>
        <w:t xml:space="preserve">of the Convention </w:t>
      </w:r>
      <w:r w:rsidRPr="00631C1C">
        <w:rPr>
          <w:rFonts w:asciiTheme="majorBidi" w:eastAsia="Calibri" w:hAnsiTheme="majorBidi" w:cstheme="majorBidi"/>
        </w:rPr>
        <w:t xml:space="preserve">to conduct, subject to the availability of resources, a scoping study on possible areas where the strengthening of the science-policy interface would advance implementation of the Convention, with input from parties </w:t>
      </w:r>
      <w:r w:rsidRPr="00B92164">
        <w:rPr>
          <w:rFonts w:asciiTheme="majorBidi" w:eastAsia="Calibri" w:hAnsiTheme="majorBidi" w:cstheme="majorBidi"/>
        </w:rPr>
        <w:t xml:space="preserve">and others, as well as experts who collaborate </w:t>
      </w:r>
      <w:r w:rsidR="00BA124D" w:rsidRPr="00B92164">
        <w:rPr>
          <w:rFonts w:asciiTheme="majorBidi" w:eastAsia="Calibri" w:hAnsiTheme="majorBidi" w:cstheme="majorBidi"/>
        </w:rPr>
        <w:t>in the framework of</w:t>
      </w:r>
      <w:r w:rsidRPr="00631C1C">
        <w:rPr>
          <w:rFonts w:asciiTheme="majorBidi" w:eastAsia="Calibri" w:hAnsiTheme="majorBidi" w:cstheme="majorBidi"/>
        </w:rPr>
        <w:t xml:space="preserve"> the International Conference on Mercury as a Global Pollutant, for consideration by the Conference of the Parties at its seventh meeting; </w:t>
      </w:r>
    </w:p>
    <w:p w14:paraId="2BAB79E0" w14:textId="0CE3E23F"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Welcomes </w:t>
      </w:r>
      <w:r w:rsidRPr="00631C1C">
        <w:rPr>
          <w:rFonts w:asciiTheme="majorBidi" w:eastAsia="Calibri" w:hAnsiTheme="majorBidi" w:cstheme="majorBidi"/>
        </w:rPr>
        <w:t xml:space="preserve">the proposal for activities that provide mutual </w:t>
      </w:r>
      <w:r w:rsidRPr="00B92164">
        <w:rPr>
          <w:rFonts w:asciiTheme="majorBidi" w:eastAsia="Calibri" w:hAnsiTheme="majorBidi" w:cstheme="majorBidi"/>
        </w:rPr>
        <w:t>benefits</w:t>
      </w:r>
      <w:r w:rsidRPr="00631C1C">
        <w:rPr>
          <w:rFonts w:asciiTheme="majorBidi" w:eastAsia="Calibri" w:hAnsiTheme="majorBidi" w:cstheme="majorBidi"/>
        </w:rPr>
        <w:t xml:space="preserve"> to the implementation of the Convention and the Global Framework on Chemicals – for a Planet Free of Harm from Chemicals and Waste</w:t>
      </w:r>
      <w:r w:rsidR="00A716D4" w:rsidRPr="00631C1C">
        <w:rPr>
          <w:rFonts w:asciiTheme="majorBidi" w:eastAsia="Calibri" w:hAnsiTheme="majorBidi" w:cstheme="majorBidi"/>
        </w:rPr>
        <w:t>,</w:t>
      </w:r>
      <w:r w:rsidRPr="00631C1C">
        <w:rPr>
          <w:rFonts w:asciiTheme="majorBidi" w:eastAsia="Calibri" w:hAnsiTheme="majorBidi" w:cstheme="majorBidi"/>
          <w:vertAlign w:val="superscript"/>
        </w:rPr>
        <w:footnoteReference w:id="33"/>
      </w:r>
      <w:r w:rsidRPr="00631C1C">
        <w:rPr>
          <w:rFonts w:asciiTheme="majorBidi" w:eastAsia="Calibri" w:hAnsiTheme="majorBidi" w:cstheme="majorBidi"/>
        </w:rPr>
        <w:t xml:space="preserve"> and requests the secretariat to carry out those activities and continue and further enhance cooperation and coordination with the secretariat of the Global Framework on </w:t>
      </w:r>
      <w:proofErr w:type="gramStart"/>
      <w:r w:rsidRPr="00631C1C">
        <w:rPr>
          <w:rFonts w:asciiTheme="majorBidi" w:eastAsia="Calibri" w:hAnsiTheme="majorBidi" w:cstheme="majorBidi"/>
        </w:rPr>
        <w:t>Chemicals;</w:t>
      </w:r>
      <w:proofErr w:type="gramEnd"/>
      <w:r w:rsidRPr="00631C1C">
        <w:rPr>
          <w:rFonts w:asciiTheme="majorBidi" w:eastAsia="Calibri" w:hAnsiTheme="majorBidi" w:cstheme="majorBidi"/>
        </w:rPr>
        <w:t xml:space="preserve"> </w:t>
      </w:r>
    </w:p>
    <w:p w14:paraId="6C6F43AA" w14:textId="4E7DBD36"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Executive Secretary to take the necessary steps for membership of the Convention and participation of the secretariat </w:t>
      </w:r>
      <w:r w:rsidR="00BB1F59" w:rsidRPr="00631C1C">
        <w:rPr>
          <w:rFonts w:asciiTheme="majorBidi" w:eastAsia="Calibri" w:hAnsiTheme="majorBidi" w:cstheme="majorBidi"/>
        </w:rPr>
        <w:t xml:space="preserve">of the Convention </w:t>
      </w:r>
      <w:r w:rsidRPr="00631C1C">
        <w:rPr>
          <w:rFonts w:asciiTheme="majorBidi" w:eastAsia="Calibri" w:hAnsiTheme="majorBidi" w:cstheme="majorBidi"/>
        </w:rPr>
        <w:t>in the Inter-Organization Programme for the Sound Management of Chemicals</w:t>
      </w:r>
      <w:r w:rsidR="005130D6" w:rsidRPr="00631C1C">
        <w:rPr>
          <w:rFonts w:asciiTheme="majorBidi" w:eastAsia="Calibri" w:hAnsiTheme="majorBidi" w:cstheme="majorBidi"/>
        </w:rPr>
        <w:t>,</w:t>
      </w:r>
      <w:r w:rsidRPr="00631C1C">
        <w:rPr>
          <w:rFonts w:asciiTheme="majorBidi" w:eastAsia="Calibri" w:hAnsiTheme="majorBidi" w:cstheme="majorBidi"/>
        </w:rPr>
        <w:t xml:space="preserve"> and invites the secretariat to continue to work in close cooperation with the </w:t>
      </w:r>
      <w:proofErr w:type="gramStart"/>
      <w:r w:rsidRPr="00631C1C">
        <w:rPr>
          <w:rFonts w:asciiTheme="majorBidi" w:eastAsia="Calibri" w:hAnsiTheme="majorBidi" w:cstheme="majorBidi"/>
        </w:rPr>
        <w:t>Programme;</w:t>
      </w:r>
      <w:proofErr w:type="gramEnd"/>
      <w:r w:rsidRPr="00631C1C">
        <w:rPr>
          <w:rFonts w:asciiTheme="majorBidi" w:eastAsia="Calibri" w:hAnsiTheme="majorBidi" w:cstheme="majorBidi"/>
        </w:rPr>
        <w:t xml:space="preserve"> </w:t>
      </w:r>
    </w:p>
    <w:p w14:paraId="0383C0EE" w14:textId="42161756"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trike/>
        </w:rPr>
      </w:pPr>
      <w:r w:rsidRPr="00631C1C">
        <w:rPr>
          <w:rFonts w:asciiTheme="majorBidi" w:eastAsia="Calibri" w:hAnsiTheme="majorBidi" w:cstheme="majorBidi"/>
          <w:i/>
          <w:iCs/>
        </w:rPr>
        <w:t xml:space="preserve">Requests </w:t>
      </w:r>
      <w:r w:rsidRPr="00631C1C">
        <w:rPr>
          <w:rFonts w:asciiTheme="majorBidi" w:eastAsia="Calibri" w:hAnsiTheme="majorBidi" w:cstheme="majorBidi"/>
        </w:rPr>
        <w:t>the secretariat</w:t>
      </w:r>
      <w:r w:rsidRPr="00B92164">
        <w:rPr>
          <w:rFonts w:asciiTheme="majorBidi" w:eastAsia="Calibri" w:hAnsiTheme="majorBidi" w:cstheme="majorBidi"/>
        </w:rPr>
        <w:t xml:space="preserve">, subject to </w:t>
      </w:r>
      <w:r w:rsidR="00B50896" w:rsidRPr="00B92164">
        <w:rPr>
          <w:rFonts w:asciiTheme="majorBidi" w:eastAsia="Calibri" w:hAnsiTheme="majorBidi" w:cstheme="majorBidi"/>
        </w:rPr>
        <w:t xml:space="preserve">the </w:t>
      </w:r>
      <w:r w:rsidRPr="00B92164">
        <w:rPr>
          <w:rFonts w:asciiTheme="majorBidi" w:eastAsia="Calibri" w:hAnsiTheme="majorBidi" w:cstheme="majorBidi"/>
        </w:rPr>
        <w:t>availability of resources,</w:t>
      </w:r>
      <w:r w:rsidRPr="00631C1C">
        <w:rPr>
          <w:rFonts w:asciiTheme="majorBidi" w:eastAsia="Calibri" w:hAnsiTheme="majorBidi" w:cstheme="majorBidi"/>
        </w:rPr>
        <w:t xml:space="preserve"> to continue cooperation and coordination with the Global Mercury Partnership, the Convention on Biological Diversity, the United Nations Framework Convention on Climate Change, the United Nations Convention to Combat Desertification in Those Countries Experiencing Serious Drought and/or Desertification, Particularly in Africa, the International Atomic Energy Agency and the United Nations Children’s Fund on issues of common interest, and with other international bodies in areas of relevance to the Minamata Convention on Mercury, including in the areas and with the organizations listed in document </w:t>
      </w:r>
      <w:r w:rsidRPr="004820D7">
        <w:rPr>
          <w:rFonts w:asciiTheme="majorBidi" w:eastAsia="Calibri" w:hAnsiTheme="majorBidi" w:cstheme="majorBidi"/>
        </w:rPr>
        <w:t>UNEP/MC/COP.5/INF/28</w:t>
      </w:r>
      <w:r w:rsidRPr="00631C1C">
        <w:rPr>
          <w:rFonts w:asciiTheme="majorBidi" w:eastAsia="Calibri" w:hAnsiTheme="majorBidi" w:cstheme="majorBidi"/>
        </w:rPr>
        <w:t>;</w:t>
      </w:r>
    </w:p>
    <w:p w14:paraId="708D1AC9" w14:textId="48D08EB1"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eastAsia="Calibri" w:hAnsiTheme="majorBidi" w:cstheme="majorBidi"/>
          <w:i/>
          <w:iCs/>
        </w:rPr>
        <w:t xml:space="preserve">Also requests </w:t>
      </w:r>
      <w:r w:rsidRPr="00631C1C">
        <w:rPr>
          <w:rFonts w:asciiTheme="majorBidi" w:eastAsia="Calibri" w:hAnsiTheme="majorBidi" w:cstheme="majorBidi"/>
        </w:rPr>
        <w:t>the secretariat to report on the implementation of the present decision to the Conference of the Parties at its seventh meeting, as appropriate.</w:t>
      </w:r>
    </w:p>
    <w:p w14:paraId="7049974A"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523DDEE7" w14:textId="77777777" w:rsidR="00312042" w:rsidRPr="00631C1C" w:rsidRDefault="00312042" w:rsidP="00312042">
      <w:pPr>
        <w:pStyle w:val="CH2"/>
      </w:pPr>
      <w:bookmarkStart w:id="61" w:name="_Toc213853077"/>
      <w:r w:rsidRPr="00631C1C">
        <w:lastRenderedPageBreak/>
        <w:tab/>
      </w:r>
      <w:r w:rsidRPr="00631C1C">
        <w:tab/>
      </w:r>
      <w:bookmarkStart w:id="62" w:name="_Toc219712818"/>
      <w:r w:rsidRPr="00631C1C">
        <w:t>Decision MC-6/20: Cooperation and coordination between the secretariats of the Minamata Convention on Mercury and of the Basel, Rotterdam and Stockholm conventions</w:t>
      </w:r>
      <w:bookmarkEnd w:id="61"/>
      <w:bookmarkEnd w:id="62"/>
    </w:p>
    <w:p w14:paraId="2A9D28D9" w14:textId="77777777" w:rsidR="00312042" w:rsidRPr="00631C1C" w:rsidRDefault="00312042" w:rsidP="00312042">
      <w:pPr>
        <w:pStyle w:val="Normal-pool"/>
        <w:tabs>
          <w:tab w:val="clear" w:pos="1247"/>
        </w:tabs>
        <w:spacing w:after="120"/>
        <w:ind w:left="1247" w:firstLine="624"/>
        <w:rPr>
          <w:rFonts w:asciiTheme="majorBidi" w:eastAsia="Calibri" w:hAnsiTheme="majorBidi" w:cstheme="majorBidi"/>
          <w:i/>
          <w:iCs/>
        </w:rPr>
      </w:pPr>
      <w:r w:rsidRPr="00631C1C">
        <w:rPr>
          <w:rFonts w:asciiTheme="majorBidi" w:eastAsia="Calibri" w:hAnsiTheme="majorBidi" w:cstheme="majorBidi"/>
          <w:i/>
          <w:iCs/>
        </w:rPr>
        <w:t>The Conference of the Parties,</w:t>
      </w:r>
    </w:p>
    <w:p w14:paraId="6A34DA02" w14:textId="03FF007C"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iCs/>
        </w:rPr>
        <w:t xml:space="preserve">that the sharing of services within a stable framework </w:t>
      </w:r>
      <w:r w:rsidRPr="00631C1C">
        <w:rPr>
          <w:rFonts w:asciiTheme="majorBidi" w:hAnsiTheme="majorBidi" w:cstheme="majorBidi"/>
        </w:rPr>
        <w:t xml:space="preserve">will enhance cooperation and coordination based on experience and proximity and can </w:t>
      </w:r>
      <w:r w:rsidRPr="00631C1C">
        <w:rPr>
          <w:rFonts w:asciiTheme="majorBidi" w:hAnsiTheme="majorBidi" w:cstheme="majorBidi"/>
          <w:iCs/>
        </w:rPr>
        <w:t xml:space="preserve">foster the effective implementation of the </w:t>
      </w:r>
      <w:r w:rsidRPr="00631C1C">
        <w:rPr>
          <w:rFonts w:asciiTheme="majorBidi" w:hAnsiTheme="majorBidi" w:cstheme="majorBidi"/>
        </w:rPr>
        <w:t>Minamata</w:t>
      </w:r>
      <w:r w:rsidRPr="00631C1C">
        <w:rPr>
          <w:rFonts w:asciiTheme="majorBidi" w:hAnsiTheme="majorBidi" w:cstheme="majorBidi"/>
          <w:iCs/>
        </w:rPr>
        <w:t xml:space="preserve"> Convention</w:t>
      </w:r>
      <w:r w:rsidRPr="00631C1C">
        <w:rPr>
          <w:rFonts w:asciiTheme="majorBidi" w:hAnsiTheme="majorBidi" w:cstheme="majorBidi"/>
        </w:rPr>
        <w:t xml:space="preserve"> on Mercury,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without undermining the autonomy of the secretariats or the accountability of their executive heads,</w:t>
      </w:r>
    </w:p>
    <w:p w14:paraId="089C5C04" w14:textId="68C242E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 xml:space="preserve">decisions MC-3/11, MC-4/9 and MC-5/19, on cooperation and coordination with the secretariat of the Basel, Rotterdam and Stockholm conventions, </w:t>
      </w:r>
    </w:p>
    <w:p w14:paraId="7182BE65" w14:textId="7F8D780C"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rPr>
      </w:pPr>
      <w:r w:rsidRPr="00631C1C">
        <w:rPr>
          <w:rFonts w:asciiTheme="majorBidi" w:hAnsiTheme="majorBidi" w:cstheme="majorBidi"/>
          <w:i/>
        </w:rPr>
        <w:t>Takes note</w:t>
      </w:r>
      <w:r w:rsidRPr="00631C1C">
        <w:rPr>
          <w:rFonts w:asciiTheme="majorBidi" w:hAnsiTheme="majorBidi" w:cstheme="majorBidi"/>
          <w:iCs/>
        </w:rPr>
        <w:t xml:space="preserve"> of the joint report on cooperation and coordination between the secretariats of the Minamata Convention on Mercury and of the Basel, Rotterdam and Stockholm conventions,</w:t>
      </w:r>
      <w:r w:rsidRPr="00631C1C">
        <w:rPr>
          <w:rFonts w:asciiTheme="majorBidi" w:hAnsiTheme="majorBidi" w:cstheme="majorBidi"/>
          <w:iCs/>
          <w:vertAlign w:val="superscript"/>
        </w:rPr>
        <w:footnoteReference w:id="34"/>
      </w:r>
      <w:r w:rsidRPr="00631C1C">
        <w:rPr>
          <w:rFonts w:asciiTheme="majorBidi" w:hAnsiTheme="majorBidi" w:cstheme="majorBidi"/>
          <w:iCs/>
        </w:rPr>
        <w:t xml:space="preserve"> and of the outline of cooperation activities planned, including for the sharing and purchase of relevant services, between the two secretariats for the biennium 2026–</w:t>
      </w:r>
      <w:proofErr w:type="gramStart"/>
      <w:r w:rsidRPr="00631C1C">
        <w:rPr>
          <w:rFonts w:asciiTheme="majorBidi" w:hAnsiTheme="majorBidi" w:cstheme="majorBidi"/>
          <w:iCs/>
        </w:rPr>
        <w:t>2027;</w:t>
      </w:r>
      <w:proofErr w:type="gramEnd"/>
      <w:r w:rsidRPr="00631C1C">
        <w:rPr>
          <w:rFonts w:asciiTheme="majorBidi" w:hAnsiTheme="majorBidi" w:cstheme="majorBidi"/>
          <w:iCs/>
          <w:vertAlign w:val="superscript"/>
        </w:rPr>
        <w:footnoteReference w:id="35"/>
      </w:r>
    </w:p>
    <w:p w14:paraId="3FCF2AB1" w14:textId="71436648"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Reaffirms</w:t>
      </w:r>
      <w:r w:rsidRPr="00631C1C">
        <w:rPr>
          <w:rFonts w:asciiTheme="majorBidi" w:hAnsiTheme="majorBidi" w:cstheme="majorBidi"/>
        </w:rPr>
        <w:t xml:space="preserve"> the importance of continued cooperation on programmatic synergies, of </w:t>
      </w:r>
      <w:bookmarkStart w:id="63" w:name="_Hlk38284587"/>
      <w:r w:rsidRPr="00631C1C">
        <w:rPr>
          <w:rFonts w:asciiTheme="majorBidi" w:hAnsiTheme="majorBidi" w:cstheme="majorBidi"/>
        </w:rPr>
        <w:t xml:space="preserve">the use of the task force between the two secretariats </w:t>
      </w:r>
      <w:bookmarkEnd w:id="63"/>
      <w:r w:rsidRPr="00631C1C">
        <w:rPr>
          <w:rFonts w:asciiTheme="majorBidi" w:hAnsiTheme="majorBidi" w:cstheme="majorBidi"/>
        </w:rPr>
        <w:t xml:space="preserve">and the United Nations Environment Programme Chemicals and Health Branch, and of the possibility for the secretariat of the </w:t>
      </w:r>
      <w:r w:rsidRPr="00631C1C">
        <w:rPr>
          <w:rFonts w:asciiTheme="majorBidi" w:hAnsiTheme="majorBidi" w:cstheme="majorBidi"/>
          <w:iCs/>
        </w:rPr>
        <w:t>Minamata</w:t>
      </w:r>
      <w:r w:rsidRPr="00631C1C">
        <w:rPr>
          <w:rFonts w:asciiTheme="majorBidi" w:hAnsiTheme="majorBidi" w:cstheme="majorBidi"/>
        </w:rPr>
        <w:t xml:space="preserve"> Convention on Mercury to provide secretariat support to the Basel, Rotterdam and Stockholm conventions</w:t>
      </w:r>
      <w:r w:rsidRPr="00631C1C" w:rsidDel="00217DB0">
        <w:rPr>
          <w:rFonts w:asciiTheme="majorBidi" w:hAnsiTheme="majorBidi" w:cstheme="majorBidi"/>
        </w:rPr>
        <w:t xml:space="preserve"> </w:t>
      </w:r>
      <w:r w:rsidRPr="00631C1C">
        <w:rPr>
          <w:rFonts w:asciiTheme="majorBidi" w:hAnsiTheme="majorBidi" w:cstheme="majorBidi"/>
        </w:rPr>
        <w:t xml:space="preserve">on a cost recovery basis, in accordance with the programmes of work and budgets of the conventions for each biennium; </w:t>
      </w:r>
    </w:p>
    <w:p w14:paraId="09A5A7D7" w14:textId="41B7D729"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Welcomes</w:t>
      </w:r>
      <w:r w:rsidRPr="00631C1C">
        <w:rPr>
          <w:rFonts w:asciiTheme="majorBidi" w:hAnsiTheme="majorBidi" w:cstheme="majorBidi"/>
        </w:rPr>
        <w:t xml:space="preserve"> the cooperation between the secretariat of the Minamata Convention on Mercury and the secretariat of the Basel, Rotterdam and Stockholm conventions regarding the training of potential chairs and negotiators for meetings of bodies, and requests the secretariat of the Minamata Convention on Mercury, subject to the availability of resources, to continue contributing to the implementation of such </w:t>
      </w:r>
      <w:proofErr w:type="gramStart"/>
      <w:r w:rsidRPr="00631C1C">
        <w:rPr>
          <w:rFonts w:asciiTheme="majorBidi" w:hAnsiTheme="majorBidi" w:cstheme="majorBidi"/>
        </w:rPr>
        <w:t>training;</w:t>
      </w:r>
      <w:proofErr w:type="gramEnd"/>
    </w:p>
    <w:p w14:paraId="332486EC" w14:textId="44C6153D"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Requests</w:t>
      </w:r>
      <w:r w:rsidRPr="00631C1C">
        <w:rPr>
          <w:rFonts w:asciiTheme="majorBidi" w:hAnsiTheme="majorBidi" w:cstheme="majorBidi"/>
        </w:rPr>
        <w:t xml:space="preserve"> the Executive Secretary:</w:t>
      </w:r>
    </w:p>
    <w:p w14:paraId="1B58DED5" w14:textId="7E299ABA" w:rsidR="00312042" w:rsidRPr="00631C1C"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pPr>
      <w:r w:rsidRPr="00631C1C">
        <w:rPr>
          <w:rFonts w:asciiTheme="majorBidi" w:hAnsiTheme="majorBidi" w:cstheme="majorBidi"/>
        </w:rPr>
        <w:t xml:space="preserve">To continue, with the secretariat of the Minamata Convention on Mercury and under the overall steering of the task force, as appropriate, to cooperate on relevant administrative, programmatic, scientific and technical, and technical assistance matters, in accordance with the programme of work and budget, and to explore ways of further strengthening cooperation and collaboration with the Basel, Rotterdam and Stockholm conventions; </w:t>
      </w:r>
    </w:p>
    <w:p w14:paraId="3B6955B7" w14:textId="77777777" w:rsidR="00312042" w:rsidRPr="00631C1C"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pPr>
      <w:r w:rsidRPr="00631C1C">
        <w:rPr>
          <w:rFonts w:asciiTheme="majorBidi" w:hAnsiTheme="majorBidi" w:cstheme="majorBidi"/>
        </w:rPr>
        <w:t xml:space="preserve">To continue to implement the sharing of services and of the purchase of relevant services with the secretariat of the Basel, Rotterdam and Stockholm conventions on a cost recovery basis, as appropriate and in accordance with the programme of work and budget for each </w:t>
      </w:r>
      <w:proofErr w:type="gramStart"/>
      <w:r w:rsidRPr="00631C1C">
        <w:rPr>
          <w:rFonts w:asciiTheme="majorBidi" w:hAnsiTheme="majorBidi" w:cstheme="majorBidi"/>
        </w:rPr>
        <w:t>biennium;</w:t>
      </w:r>
      <w:proofErr w:type="gramEnd"/>
    </w:p>
    <w:p w14:paraId="530A1A22" w14:textId="77777777" w:rsidR="00312042" w:rsidRPr="00631C1C" w:rsidRDefault="00312042" w:rsidP="007B1491">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rPr>
        <w:t>To report on the implementation of the present decision, including on a stable framework for cooperation and for the sharing of services, providing an outline of the cooperation activities planned under such a framework for the biennium 2028–2029, for the consideration of and, as necessary, further guidance by the Conference of the Parties at its next meeting.</w:t>
      </w:r>
    </w:p>
    <w:p w14:paraId="45995D39" w14:textId="77777777" w:rsidR="00312042" w:rsidRPr="00631C1C" w:rsidRDefault="00312042" w:rsidP="00312042">
      <w:pPr>
        <w:spacing w:after="160" w:line="278" w:lineRule="auto"/>
        <w:rPr>
          <w:rFonts w:asciiTheme="majorBidi" w:hAnsiTheme="majorBidi" w:cstheme="majorBidi"/>
        </w:rPr>
      </w:pPr>
      <w:r w:rsidRPr="00631C1C">
        <w:rPr>
          <w:rFonts w:asciiTheme="majorBidi" w:hAnsiTheme="majorBidi" w:cstheme="majorBidi"/>
        </w:rPr>
        <w:br w:type="page"/>
      </w:r>
    </w:p>
    <w:p w14:paraId="279A2980" w14:textId="77777777" w:rsidR="00312042" w:rsidRPr="00631C1C" w:rsidRDefault="00312042" w:rsidP="00312042">
      <w:pPr>
        <w:pStyle w:val="CH2"/>
      </w:pPr>
      <w:bookmarkStart w:id="64" w:name="_Toc213853078"/>
      <w:r w:rsidRPr="00631C1C">
        <w:lastRenderedPageBreak/>
        <w:tab/>
      </w:r>
      <w:r w:rsidRPr="00631C1C">
        <w:tab/>
      </w:r>
      <w:bookmarkStart w:id="65" w:name="_Toc219712819"/>
      <w:r w:rsidRPr="00631C1C">
        <w:t xml:space="preserve">Decision MC-6/21: Programme of work and budget for the biennium </w:t>
      </w:r>
      <w:r w:rsidRPr="00631C1C">
        <w:br/>
        <w:t>2026‒2027</w:t>
      </w:r>
      <w:bookmarkEnd w:id="64"/>
      <w:bookmarkEnd w:id="65"/>
    </w:p>
    <w:p w14:paraId="6036EC83"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361C55B3" w14:textId="1D21BC0C"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decision MC-5/20 on the programme of work and budget for the biennium </w:t>
      </w:r>
      <w:r w:rsidRPr="00631C1C">
        <w:rPr>
          <w:rFonts w:asciiTheme="majorBidi" w:hAnsiTheme="majorBidi" w:cstheme="majorBidi"/>
        </w:rPr>
        <w:br/>
        <w:t>2024‒2025,</w:t>
      </w:r>
    </w:p>
    <w:p w14:paraId="78109462" w14:textId="3237D02F"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Welcoming </w:t>
      </w:r>
      <w:r w:rsidRPr="00631C1C">
        <w:rPr>
          <w:rFonts w:asciiTheme="majorBidi" w:hAnsiTheme="majorBidi" w:cstheme="majorBidi"/>
        </w:rPr>
        <w:t>the annual contribution by Switzerland, the host country of the secretariat, of 1 million Swiss francs, apportioned 60 per cent to the general trust fund and 40 per cent to the special trust fund</w:t>
      </w:r>
      <w:r w:rsidR="000909D0" w:rsidRPr="00631C1C">
        <w:rPr>
          <w:rFonts w:asciiTheme="majorBidi" w:hAnsiTheme="majorBidi" w:cstheme="majorBidi"/>
        </w:rPr>
        <w:t xml:space="preserve"> of the Minamata Convention on Mercury</w:t>
      </w:r>
      <w:r w:rsidRPr="00631C1C">
        <w:rPr>
          <w:rFonts w:asciiTheme="majorBidi" w:hAnsiTheme="majorBidi" w:cstheme="majorBidi"/>
        </w:rPr>
        <w:t>, to be prioritized for the purpose of supporting the participation of representatives from developing countries in the meetings of the Conference of the Parties,</w:t>
      </w:r>
    </w:p>
    <w:p w14:paraId="2F196412" w14:textId="223A5AE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Taking note</w:t>
      </w:r>
      <w:r w:rsidRPr="00631C1C">
        <w:rPr>
          <w:rFonts w:asciiTheme="majorBidi" w:hAnsiTheme="majorBidi" w:cstheme="majorBidi"/>
        </w:rPr>
        <w:t xml:space="preserve"> of the contributions paid to the general trust fund by parties,</w:t>
      </w:r>
    </w:p>
    <w:p w14:paraId="7C20D2BD" w14:textId="5C2F8A0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the Convention’s full working capital reserve in the general trust fund was established in 2018, and reaffirming that the working capital reserve is maintained at the level of 15 per cent of the annual budget,</w:t>
      </w:r>
    </w:p>
    <w:p w14:paraId="12419273" w14:textId="1E05B6DC" w:rsidR="00312042" w:rsidRPr="0095195E"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Recognizing with appreciation </w:t>
      </w:r>
      <w:r w:rsidRPr="0095195E">
        <w:rPr>
          <w:rFonts w:asciiTheme="majorBidi" w:hAnsiTheme="majorBidi" w:cstheme="majorBidi"/>
        </w:rPr>
        <w:t xml:space="preserve">the contributions and pledges made by Canada, Japan, the Kingdom of the Netherlands, Spain and Sweden to the special trust fund in the biennium 2024–2025, </w:t>
      </w:r>
    </w:p>
    <w:p w14:paraId="789C0DEE" w14:textId="47425224" w:rsidR="00312042" w:rsidRPr="00631C1C" w:rsidRDefault="00312042" w:rsidP="00312042">
      <w:pPr>
        <w:pStyle w:val="NormalNonumber"/>
        <w:tabs>
          <w:tab w:val="clear" w:pos="1247"/>
        </w:tabs>
        <w:ind w:firstLine="624"/>
        <w:rPr>
          <w:rFonts w:asciiTheme="majorBidi" w:hAnsiTheme="majorBidi" w:cstheme="majorBidi"/>
        </w:rPr>
      </w:pPr>
      <w:r w:rsidRPr="0095195E">
        <w:rPr>
          <w:rFonts w:asciiTheme="majorBidi" w:hAnsiTheme="majorBidi" w:cstheme="majorBidi"/>
          <w:i/>
          <w:iCs/>
        </w:rPr>
        <w:t>Recognizing also with appreciation</w:t>
      </w:r>
      <w:r w:rsidRPr="0095195E">
        <w:rPr>
          <w:rFonts w:asciiTheme="majorBidi" w:hAnsiTheme="majorBidi" w:cstheme="majorBidi"/>
        </w:rPr>
        <w:t xml:space="preserve"> the contributions and pledges made by Austria, Denmark, France, Germany, the Kingdom of the Netherlands, Norway</w:t>
      </w:r>
      <w:r w:rsidRPr="00631C1C">
        <w:rPr>
          <w:rFonts w:asciiTheme="majorBidi" w:hAnsiTheme="majorBidi" w:cstheme="majorBidi"/>
        </w:rPr>
        <w:t xml:space="preserve">, Sweden, Switzerland, the United Kingdom of Great Britain and Northern Ireland and the </w:t>
      </w:r>
      <w:r w:rsidRPr="008C7369">
        <w:rPr>
          <w:rFonts w:asciiTheme="majorBidi" w:hAnsiTheme="majorBidi" w:cstheme="majorBidi"/>
        </w:rPr>
        <w:t xml:space="preserve">United States of America to </w:t>
      </w:r>
      <w:r w:rsidR="009B2DAC" w:rsidRPr="00F16F39">
        <w:rPr>
          <w:rFonts w:asciiTheme="majorBidi" w:hAnsiTheme="majorBidi" w:cstheme="majorBidi"/>
        </w:rPr>
        <w:t>support activities under</w:t>
      </w:r>
      <w:r w:rsidR="009B2DAC" w:rsidRPr="008C7369">
        <w:rPr>
          <w:rFonts w:asciiTheme="majorBidi" w:hAnsiTheme="majorBidi" w:cstheme="majorBidi"/>
        </w:rPr>
        <w:t xml:space="preserve"> </w:t>
      </w:r>
      <w:r w:rsidRPr="008C7369">
        <w:rPr>
          <w:rFonts w:asciiTheme="majorBidi" w:hAnsiTheme="majorBidi" w:cstheme="majorBidi"/>
        </w:rPr>
        <w:t xml:space="preserve">the Specific Trust Fund </w:t>
      </w:r>
      <w:r w:rsidR="00B12E6A" w:rsidRPr="008C7369">
        <w:rPr>
          <w:rFonts w:asciiTheme="majorBidi" w:hAnsiTheme="majorBidi" w:cstheme="majorBidi"/>
        </w:rPr>
        <w:t>for the</w:t>
      </w:r>
      <w:r w:rsidRPr="008C7369">
        <w:rPr>
          <w:rFonts w:asciiTheme="majorBidi" w:hAnsiTheme="majorBidi" w:cstheme="majorBidi"/>
        </w:rPr>
        <w:t xml:space="preserve"> Specific International P</w:t>
      </w:r>
      <w:r w:rsidRPr="00631C1C">
        <w:rPr>
          <w:rFonts w:asciiTheme="majorBidi" w:hAnsiTheme="majorBidi" w:cstheme="majorBidi"/>
        </w:rPr>
        <w:t xml:space="preserve">rogramme </w:t>
      </w:r>
      <w:r w:rsidR="00B12E6A" w:rsidRPr="000C1EB2">
        <w:t>to Support Capacity-Building and Technical Assistance</w:t>
      </w:r>
      <w:r w:rsidRPr="00631C1C">
        <w:rPr>
          <w:rFonts w:asciiTheme="majorBidi" w:hAnsiTheme="majorBidi" w:cstheme="majorBidi"/>
        </w:rPr>
        <w:t xml:space="preserve"> for the fourth round of applications,</w:t>
      </w:r>
    </w:p>
    <w:p w14:paraId="15CF6098" w14:textId="77777777" w:rsidR="00312042" w:rsidRPr="00631C1C" w:rsidRDefault="00312042" w:rsidP="00312042">
      <w:pPr>
        <w:pStyle w:val="CH2"/>
        <w:ind w:firstLine="0"/>
        <w:jc w:val="center"/>
        <w:rPr>
          <w:rFonts w:asciiTheme="majorBidi" w:hAnsiTheme="majorBidi" w:cstheme="majorBidi"/>
          <w:sz w:val="20"/>
          <w:szCs w:val="20"/>
        </w:rPr>
      </w:pPr>
      <w:bookmarkStart w:id="66" w:name="_Toc216165217"/>
      <w:bookmarkStart w:id="67" w:name="_Toc219712820"/>
      <w:r w:rsidRPr="00631C1C">
        <w:rPr>
          <w:rFonts w:asciiTheme="majorBidi" w:hAnsiTheme="majorBidi" w:cstheme="majorBidi"/>
          <w:sz w:val="20"/>
          <w:szCs w:val="20"/>
        </w:rPr>
        <w:t>I</w:t>
      </w:r>
      <w:bookmarkEnd w:id="66"/>
      <w:bookmarkEnd w:id="67"/>
    </w:p>
    <w:p w14:paraId="4FB967E2" w14:textId="77777777" w:rsidR="00312042" w:rsidRPr="00631C1C" w:rsidRDefault="00312042" w:rsidP="00312042">
      <w:pPr>
        <w:pStyle w:val="CH2"/>
        <w:keepNext w:val="0"/>
        <w:keepLines w:val="0"/>
        <w:spacing w:before="120"/>
        <w:ind w:firstLine="0"/>
        <w:jc w:val="center"/>
        <w:rPr>
          <w:rFonts w:asciiTheme="majorBidi" w:hAnsiTheme="majorBidi" w:cstheme="majorBidi"/>
          <w:sz w:val="20"/>
          <w:szCs w:val="20"/>
        </w:rPr>
      </w:pPr>
      <w:bookmarkStart w:id="68" w:name="_Toc216165218"/>
      <w:bookmarkStart w:id="69" w:name="_Toc219712821"/>
      <w:r w:rsidRPr="00631C1C">
        <w:rPr>
          <w:rFonts w:asciiTheme="majorBidi" w:hAnsiTheme="majorBidi" w:cstheme="majorBidi"/>
          <w:sz w:val="20"/>
          <w:szCs w:val="20"/>
        </w:rPr>
        <w:t>General trust fund of the Minamata Convention on Mercury</w:t>
      </w:r>
      <w:bookmarkEnd w:id="68"/>
      <w:bookmarkEnd w:id="69"/>
    </w:p>
    <w:p w14:paraId="16D31994" w14:textId="487A7198"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Takes note</w:t>
      </w:r>
      <w:r w:rsidRPr="00631C1C">
        <w:rPr>
          <w:rFonts w:asciiTheme="majorBidi" w:hAnsiTheme="majorBidi" w:cstheme="majorBidi"/>
        </w:rPr>
        <w:t xml:space="preserve"> of the proposed programme of work and budget for the biennium 2026</w:t>
      </w:r>
      <w:r w:rsidRPr="00631C1C">
        <w:rPr>
          <w:rFonts w:asciiTheme="majorBidi" w:eastAsia="Symbol" w:hAnsiTheme="majorBidi" w:cstheme="majorBidi"/>
        </w:rPr>
        <w:sym w:font="Symbol" w:char="F02D"/>
      </w:r>
      <w:r w:rsidRPr="00631C1C">
        <w:rPr>
          <w:rFonts w:asciiTheme="majorBidi" w:hAnsiTheme="majorBidi" w:cstheme="majorBidi"/>
        </w:rPr>
        <w:t>2027</w:t>
      </w:r>
      <w:r w:rsidR="006C210C" w:rsidRPr="00631C1C">
        <w:rPr>
          <w:rFonts w:asciiTheme="majorBidi" w:hAnsiTheme="majorBidi" w:cstheme="majorBidi"/>
        </w:rPr>
        <w:t>,</w:t>
      </w:r>
      <w:r w:rsidRPr="00631C1C">
        <w:rPr>
          <w:rStyle w:val="FootnoteReference"/>
          <w:rFonts w:asciiTheme="majorBidi" w:hAnsiTheme="majorBidi" w:cstheme="majorBidi"/>
        </w:rPr>
        <w:footnoteReference w:id="36"/>
      </w:r>
      <w:r w:rsidRPr="00631C1C">
        <w:rPr>
          <w:rFonts w:asciiTheme="majorBidi" w:hAnsiTheme="majorBidi" w:cstheme="majorBidi"/>
        </w:rPr>
        <w:t xml:space="preserve"> the information on financial matters, including the report on expenditures</w:t>
      </w:r>
      <w:r w:rsidR="006C210C" w:rsidRPr="00631C1C">
        <w:rPr>
          <w:rFonts w:asciiTheme="majorBidi" w:hAnsiTheme="majorBidi" w:cstheme="majorBidi"/>
        </w:rPr>
        <w:t>,</w:t>
      </w:r>
      <w:r w:rsidRPr="00631C1C">
        <w:rPr>
          <w:rStyle w:val="FootnoteReference"/>
          <w:rFonts w:asciiTheme="majorBidi" w:hAnsiTheme="majorBidi" w:cstheme="majorBidi"/>
        </w:rPr>
        <w:footnoteReference w:id="37"/>
      </w:r>
      <w:r w:rsidRPr="00631C1C">
        <w:rPr>
          <w:rFonts w:asciiTheme="majorBidi" w:hAnsiTheme="majorBidi" w:cstheme="majorBidi"/>
        </w:rPr>
        <w:t xml:space="preserve"> the budget activity fact sheets</w:t>
      </w:r>
      <w:r w:rsidR="006C210C" w:rsidRPr="00631C1C">
        <w:rPr>
          <w:rFonts w:asciiTheme="majorBidi" w:hAnsiTheme="majorBidi" w:cstheme="majorBidi"/>
        </w:rPr>
        <w:t>,</w:t>
      </w:r>
      <w:r w:rsidRPr="00631C1C">
        <w:rPr>
          <w:rStyle w:val="FootnoteReference"/>
          <w:rFonts w:asciiTheme="majorBidi" w:hAnsiTheme="majorBidi" w:cstheme="majorBidi"/>
        </w:rPr>
        <w:footnoteReference w:id="38"/>
      </w:r>
      <w:r w:rsidRPr="00631C1C">
        <w:rPr>
          <w:rFonts w:asciiTheme="majorBidi" w:hAnsiTheme="majorBidi" w:cstheme="majorBidi"/>
        </w:rPr>
        <w:t xml:space="preserve"> and the report provided by the secretariat on progress in implementing the 2024</w:t>
      </w:r>
      <w:r w:rsidRPr="00631C1C">
        <w:rPr>
          <w:rFonts w:asciiTheme="majorBidi" w:eastAsia="Symbol" w:hAnsiTheme="majorBidi" w:cstheme="majorBidi"/>
        </w:rPr>
        <w:sym w:font="Symbol" w:char="F02D"/>
      </w:r>
      <w:r w:rsidRPr="00631C1C">
        <w:rPr>
          <w:rFonts w:asciiTheme="majorBidi" w:hAnsiTheme="majorBidi" w:cstheme="majorBidi"/>
        </w:rPr>
        <w:t>2025 work programme;</w:t>
      </w:r>
      <w:r w:rsidRPr="00631C1C">
        <w:rPr>
          <w:rStyle w:val="FootnoteReference"/>
          <w:rFonts w:asciiTheme="majorBidi" w:hAnsiTheme="majorBidi" w:cstheme="majorBidi"/>
        </w:rPr>
        <w:footnoteReference w:id="39"/>
      </w:r>
    </w:p>
    <w:p w14:paraId="3B88F964" w14:textId="1C64A7EB"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Approves </w:t>
      </w:r>
      <w:r w:rsidRPr="00631C1C">
        <w:rPr>
          <w:rFonts w:asciiTheme="majorBidi" w:hAnsiTheme="majorBidi" w:cstheme="majorBidi"/>
        </w:rPr>
        <w:t xml:space="preserve">the budget for the general trust fund for the biennium 2026‒2027 of 8,431,553 United States </w:t>
      </w:r>
      <w:proofErr w:type="gramStart"/>
      <w:r w:rsidRPr="00631C1C">
        <w:rPr>
          <w:rFonts w:asciiTheme="majorBidi" w:hAnsiTheme="majorBidi" w:cstheme="majorBidi"/>
        </w:rPr>
        <w:t>dollars;</w:t>
      </w:r>
      <w:proofErr w:type="gramEnd"/>
    </w:p>
    <w:p w14:paraId="10D434C4" w14:textId="626975AF"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Authorizes </w:t>
      </w:r>
      <w:r w:rsidRPr="00631C1C">
        <w:rPr>
          <w:rFonts w:asciiTheme="majorBidi" w:hAnsiTheme="majorBidi" w:cstheme="majorBidi"/>
        </w:rPr>
        <w:t xml:space="preserve">the Executive Secretary to draw down from the estimated available surplus of the general trust fund the amount of 96,050 United States dollars to fund one meeting of the </w:t>
      </w:r>
      <w:r w:rsidR="00037328" w:rsidRPr="00631C1C">
        <w:rPr>
          <w:rFonts w:asciiTheme="majorBidi" w:hAnsiTheme="majorBidi" w:cstheme="majorBidi"/>
        </w:rPr>
        <w:t>E</w:t>
      </w:r>
      <w:r w:rsidRPr="00631C1C">
        <w:rPr>
          <w:rFonts w:asciiTheme="majorBidi" w:hAnsiTheme="majorBidi" w:cstheme="majorBidi"/>
        </w:rPr>
        <w:t xml:space="preserve">ffectiveness </w:t>
      </w:r>
      <w:r w:rsidR="00037328" w:rsidRPr="00631C1C">
        <w:rPr>
          <w:rFonts w:asciiTheme="majorBidi" w:hAnsiTheme="majorBidi" w:cstheme="majorBidi"/>
        </w:rPr>
        <w:t>E</w:t>
      </w:r>
      <w:r w:rsidRPr="00631C1C">
        <w:rPr>
          <w:rFonts w:asciiTheme="majorBidi" w:hAnsiTheme="majorBidi" w:cstheme="majorBidi"/>
        </w:rPr>
        <w:t xml:space="preserve">valuation </w:t>
      </w:r>
      <w:proofErr w:type="gramStart"/>
      <w:r w:rsidR="00037328" w:rsidRPr="00631C1C">
        <w:rPr>
          <w:rFonts w:asciiTheme="majorBidi" w:hAnsiTheme="majorBidi" w:cstheme="majorBidi"/>
        </w:rPr>
        <w:t>G</w:t>
      </w:r>
      <w:r w:rsidRPr="00631C1C">
        <w:rPr>
          <w:rFonts w:asciiTheme="majorBidi" w:hAnsiTheme="majorBidi" w:cstheme="majorBidi"/>
        </w:rPr>
        <w:t>roup;</w:t>
      </w:r>
      <w:proofErr w:type="gramEnd"/>
      <w:r w:rsidRPr="00631C1C">
        <w:rPr>
          <w:rFonts w:asciiTheme="majorBidi" w:hAnsiTheme="majorBidi" w:cstheme="majorBidi"/>
        </w:rPr>
        <w:t xml:space="preserve"> </w:t>
      </w:r>
    </w:p>
    <w:p w14:paraId="37F908F6" w14:textId="3439AB0C"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the staffing table of the secretariat for the biennium 2026‒2027 used for costing purposes to set the overall budget, which is set out </w:t>
      </w:r>
      <w:r w:rsidRPr="00B92164">
        <w:rPr>
          <w:rFonts w:asciiTheme="majorBidi" w:hAnsiTheme="majorBidi" w:cstheme="majorBidi"/>
        </w:rPr>
        <w:t xml:space="preserve">in table 3 of the </w:t>
      </w:r>
      <w:r w:rsidR="0033352A" w:rsidRPr="00B92164">
        <w:rPr>
          <w:rFonts w:asciiTheme="majorBidi" w:hAnsiTheme="majorBidi" w:cstheme="majorBidi"/>
        </w:rPr>
        <w:t xml:space="preserve">annex to the </w:t>
      </w:r>
      <w:r w:rsidRPr="00B92164">
        <w:rPr>
          <w:rFonts w:asciiTheme="majorBidi" w:hAnsiTheme="majorBidi" w:cstheme="majorBidi"/>
        </w:rPr>
        <w:t xml:space="preserve">present </w:t>
      </w:r>
      <w:proofErr w:type="gramStart"/>
      <w:r w:rsidRPr="00B92164">
        <w:rPr>
          <w:rFonts w:asciiTheme="majorBidi" w:hAnsiTheme="majorBidi" w:cstheme="majorBidi"/>
        </w:rPr>
        <w:t>decision</w:t>
      </w:r>
      <w:r w:rsidRPr="00631C1C">
        <w:rPr>
          <w:rFonts w:asciiTheme="majorBidi" w:hAnsiTheme="majorBidi" w:cstheme="majorBidi"/>
        </w:rPr>
        <w:t>;</w:t>
      </w:r>
      <w:proofErr w:type="gramEnd"/>
    </w:p>
    <w:p w14:paraId="67D9A353" w14:textId="42AE5F7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Authorizes</w:t>
      </w:r>
      <w:r w:rsidRPr="00631C1C">
        <w:rPr>
          <w:rFonts w:asciiTheme="majorBidi" w:hAnsiTheme="majorBidi" w:cstheme="majorBidi"/>
        </w:rPr>
        <w:t xml:space="preserve">, on an exceptional basis, the Executive Secretary, as a last resort, </w:t>
      </w:r>
      <w:r w:rsidR="00B87962" w:rsidRPr="00631C1C">
        <w:rPr>
          <w:rFonts w:asciiTheme="majorBidi" w:hAnsiTheme="majorBidi" w:cstheme="majorBidi"/>
        </w:rPr>
        <w:t xml:space="preserve">to </w:t>
      </w:r>
      <w:r w:rsidRPr="00631C1C">
        <w:rPr>
          <w:rFonts w:asciiTheme="majorBidi" w:hAnsiTheme="majorBidi" w:cstheme="majorBidi"/>
        </w:rPr>
        <w:t>draw additional funds, not exceeding 541,749 United States dollars, from the net balance of the general trust fund to cover any shortfall in the approved staffing table for the biennium 2026–2027, should the annual increase applied to real staff costs and used to determine the budgeted staffing cost not be adequate, provided that the net balance is not reduced below the working capital reserve;</w:t>
      </w:r>
    </w:p>
    <w:p w14:paraId="235B9ED1" w14:textId="3690335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the indicative scale of assessments for the apportionment of expenses for </w:t>
      </w:r>
      <w:r w:rsidRPr="00631C1C">
        <w:rPr>
          <w:rFonts w:asciiTheme="majorBidi" w:hAnsiTheme="majorBidi" w:cstheme="majorBidi"/>
        </w:rPr>
        <w:br/>
        <w:t xml:space="preserve">2026‒2027 as set out in table 2 of the </w:t>
      </w:r>
      <w:r w:rsidR="0033352A" w:rsidRPr="00631C1C">
        <w:rPr>
          <w:rFonts w:asciiTheme="majorBidi" w:hAnsiTheme="majorBidi" w:cstheme="majorBidi"/>
        </w:rPr>
        <w:t xml:space="preserve">annex to the </w:t>
      </w:r>
      <w:r w:rsidRPr="00631C1C">
        <w:rPr>
          <w:rFonts w:asciiTheme="majorBidi" w:hAnsiTheme="majorBidi" w:cstheme="majorBidi"/>
        </w:rPr>
        <w:t>present decision</w:t>
      </w:r>
      <w:r w:rsidR="005020CF" w:rsidRPr="00631C1C">
        <w:rPr>
          <w:rFonts w:asciiTheme="majorBidi" w:hAnsiTheme="majorBidi" w:cstheme="majorBidi"/>
        </w:rPr>
        <w:t>,</w:t>
      </w:r>
      <w:r w:rsidRPr="00631C1C">
        <w:rPr>
          <w:rFonts w:asciiTheme="majorBidi" w:hAnsiTheme="majorBidi" w:cstheme="majorBidi"/>
        </w:rPr>
        <w:t xml:space="preserve"> and authorizes the Executive Secretary, consistent with the Financial Regulations and Rules of the United Nations, to adjust the scale to include all parties for which the Convention is in force by 1 January 2026;</w:t>
      </w:r>
    </w:p>
    <w:p w14:paraId="0CE86E7A" w14:textId="39C5591A"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Recalls </w:t>
      </w:r>
      <w:r w:rsidRPr="00631C1C">
        <w:rPr>
          <w:rFonts w:asciiTheme="majorBidi" w:hAnsiTheme="majorBidi" w:cstheme="majorBidi"/>
        </w:rPr>
        <w:t xml:space="preserve">that contributions to the general trust fund are due by 1 January of the year for which those contributions have been budgeted and at the latest by 31 December of that year, and requests parties to pay their contributions as soon as possible to enable the secretariat to carry out its </w:t>
      </w:r>
      <w:proofErr w:type="gramStart"/>
      <w:r w:rsidRPr="00631C1C">
        <w:rPr>
          <w:rFonts w:asciiTheme="majorBidi" w:hAnsiTheme="majorBidi" w:cstheme="majorBidi"/>
        </w:rPr>
        <w:t>work;</w:t>
      </w:r>
      <w:proofErr w:type="gramEnd"/>
    </w:p>
    <w:p w14:paraId="4BE2FAC9" w14:textId="550D65EB"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lastRenderedPageBreak/>
        <w:t xml:space="preserve">Invites </w:t>
      </w:r>
      <w:r w:rsidRPr="00631C1C">
        <w:rPr>
          <w:rFonts w:asciiTheme="majorBidi" w:hAnsiTheme="majorBidi" w:cstheme="majorBidi"/>
        </w:rPr>
        <w:t>parties to make every effort to pay any outstanding contributions as soon as possible</w:t>
      </w:r>
      <w:r w:rsidR="007C0E3A" w:rsidRPr="00631C1C">
        <w:rPr>
          <w:rFonts w:asciiTheme="majorBidi" w:hAnsiTheme="majorBidi" w:cstheme="majorBidi"/>
        </w:rPr>
        <w:t>,</w:t>
      </w:r>
      <w:r w:rsidRPr="00631C1C">
        <w:rPr>
          <w:rFonts w:asciiTheme="majorBidi" w:hAnsiTheme="majorBidi" w:cstheme="majorBidi"/>
        </w:rPr>
        <w:t xml:space="preserve"> and requests the secretariat to report to the Conference of the Parties at its seventh meeting on the progress achieved owing to the efforts made by </w:t>
      </w:r>
      <w:proofErr w:type="gramStart"/>
      <w:r w:rsidRPr="00631C1C">
        <w:rPr>
          <w:rFonts w:asciiTheme="majorBidi" w:hAnsiTheme="majorBidi" w:cstheme="majorBidi"/>
        </w:rPr>
        <w:t>parties;</w:t>
      </w:r>
      <w:proofErr w:type="gramEnd"/>
    </w:p>
    <w:p w14:paraId="5DBBE143" w14:textId="63909648"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secretariat to work directly with the permanent missions, ministries of foreign affairs and focal points of the parties in that situation so that they fully pay their outstanding contributions as soon as possible, and to present at appropriate meetings information on the current situation regarding outstanding contributions and their </w:t>
      </w:r>
      <w:proofErr w:type="gramStart"/>
      <w:r w:rsidRPr="00631C1C">
        <w:rPr>
          <w:rFonts w:asciiTheme="majorBidi" w:hAnsiTheme="majorBidi" w:cstheme="majorBidi"/>
        </w:rPr>
        <w:t>consequences;</w:t>
      </w:r>
      <w:proofErr w:type="gramEnd"/>
    </w:p>
    <w:p w14:paraId="0BBDA4EE" w14:textId="77777777" w:rsidR="00312042" w:rsidRPr="00631C1C" w:rsidRDefault="00312042" w:rsidP="00312042">
      <w:pPr>
        <w:pStyle w:val="CH2"/>
        <w:ind w:firstLine="0"/>
        <w:jc w:val="center"/>
        <w:rPr>
          <w:rFonts w:asciiTheme="majorBidi" w:hAnsiTheme="majorBidi" w:cstheme="majorBidi"/>
          <w:sz w:val="20"/>
          <w:szCs w:val="20"/>
        </w:rPr>
      </w:pPr>
      <w:bookmarkStart w:id="70" w:name="_Toc216165219"/>
      <w:bookmarkStart w:id="71" w:name="_Toc219712822"/>
      <w:r w:rsidRPr="00631C1C">
        <w:rPr>
          <w:rFonts w:asciiTheme="majorBidi" w:hAnsiTheme="majorBidi" w:cstheme="majorBidi"/>
          <w:sz w:val="20"/>
          <w:szCs w:val="20"/>
        </w:rPr>
        <w:t>II</w:t>
      </w:r>
      <w:bookmarkEnd w:id="70"/>
      <w:bookmarkEnd w:id="71"/>
    </w:p>
    <w:p w14:paraId="056CECEC" w14:textId="77777777" w:rsidR="00312042" w:rsidRPr="00631C1C" w:rsidRDefault="00312042" w:rsidP="00312042">
      <w:pPr>
        <w:pStyle w:val="CH2"/>
        <w:spacing w:before="120"/>
        <w:ind w:firstLine="0"/>
        <w:jc w:val="center"/>
        <w:rPr>
          <w:rFonts w:asciiTheme="majorBidi" w:hAnsiTheme="majorBidi" w:cstheme="majorBidi"/>
          <w:sz w:val="20"/>
          <w:szCs w:val="20"/>
        </w:rPr>
      </w:pPr>
      <w:bookmarkStart w:id="72" w:name="_Toc216165220"/>
      <w:bookmarkStart w:id="73" w:name="_Toc219712823"/>
      <w:r w:rsidRPr="00631C1C">
        <w:rPr>
          <w:rFonts w:asciiTheme="majorBidi" w:hAnsiTheme="majorBidi" w:cstheme="majorBidi"/>
          <w:sz w:val="20"/>
          <w:szCs w:val="20"/>
        </w:rPr>
        <w:t>Special trust fund of the Minamata Convention on Mercury</w:t>
      </w:r>
      <w:bookmarkEnd w:id="72"/>
      <w:bookmarkEnd w:id="73"/>
    </w:p>
    <w:p w14:paraId="3EC9BE86"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report provided by the Executive Secretary on the activities and expenditures for 2024‒2025 through the special trust fund as contained in the information on financial matters,</w:t>
      </w:r>
      <w:r w:rsidRPr="00631C1C">
        <w:rPr>
          <w:rStyle w:val="FootnoteReference"/>
          <w:rFonts w:asciiTheme="majorBidi" w:hAnsiTheme="majorBidi" w:cstheme="majorBidi"/>
        </w:rPr>
        <w:footnoteReference w:id="40"/>
      </w:r>
      <w:r w:rsidRPr="00631C1C">
        <w:rPr>
          <w:rFonts w:asciiTheme="majorBidi" w:hAnsiTheme="majorBidi" w:cstheme="majorBidi"/>
        </w:rPr>
        <w:t xml:space="preserve"> as well as the report provided by the secretariat on progress in implementing the 2024–2025 work programme;</w:t>
      </w:r>
      <w:r w:rsidRPr="00631C1C">
        <w:rPr>
          <w:rStyle w:val="FootnoteReference"/>
          <w:rFonts w:asciiTheme="majorBidi" w:hAnsiTheme="majorBidi" w:cstheme="majorBidi"/>
        </w:rPr>
        <w:footnoteReference w:id="41"/>
      </w:r>
      <w:r w:rsidRPr="00631C1C">
        <w:rPr>
          <w:rFonts w:asciiTheme="majorBidi" w:hAnsiTheme="majorBidi" w:cstheme="majorBidi"/>
        </w:rPr>
        <w:t xml:space="preserve"> </w:t>
      </w:r>
    </w:p>
    <w:p w14:paraId="5C9EFBA3"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Also takes note</w:t>
      </w:r>
      <w:r w:rsidRPr="00631C1C">
        <w:rPr>
          <w:rFonts w:asciiTheme="majorBidi" w:hAnsiTheme="majorBidi" w:cstheme="majorBidi"/>
        </w:rPr>
        <w:t xml:space="preserve"> of the proposed programme of work and budget for the biennium 2026–2027,</w:t>
      </w:r>
      <w:r w:rsidRPr="00631C1C">
        <w:rPr>
          <w:rStyle w:val="FootnoteReference"/>
          <w:rFonts w:asciiTheme="majorBidi" w:hAnsiTheme="majorBidi" w:cstheme="majorBidi"/>
        </w:rPr>
        <w:footnoteReference w:id="42"/>
      </w:r>
      <w:r w:rsidRPr="00631C1C">
        <w:rPr>
          <w:rFonts w:asciiTheme="majorBidi" w:hAnsiTheme="majorBidi" w:cstheme="majorBidi"/>
        </w:rPr>
        <w:t xml:space="preserve"> as well as the additional information on financial matters</w:t>
      </w:r>
      <w:r w:rsidRPr="00631C1C">
        <w:rPr>
          <w:rStyle w:val="FootnoteReference"/>
          <w:rFonts w:asciiTheme="majorBidi" w:hAnsiTheme="majorBidi" w:cstheme="majorBidi"/>
        </w:rPr>
        <w:footnoteReference w:id="43"/>
      </w:r>
      <w:r w:rsidRPr="00631C1C">
        <w:rPr>
          <w:rFonts w:asciiTheme="majorBidi" w:hAnsiTheme="majorBidi" w:cstheme="majorBidi"/>
        </w:rPr>
        <w:t xml:space="preserve"> and the budget activity fact sheets;</w:t>
      </w:r>
      <w:r w:rsidRPr="00631C1C">
        <w:rPr>
          <w:rStyle w:val="FootnoteReference"/>
          <w:rFonts w:asciiTheme="majorBidi" w:hAnsiTheme="majorBidi" w:cstheme="majorBidi"/>
        </w:rPr>
        <w:footnoteReference w:id="44"/>
      </w:r>
    </w:p>
    <w:p w14:paraId="5A2877B3" w14:textId="7E0BCAC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Agrees </w:t>
      </w:r>
      <w:r w:rsidRPr="00631C1C">
        <w:rPr>
          <w:rFonts w:asciiTheme="majorBidi" w:hAnsiTheme="majorBidi" w:cstheme="majorBidi"/>
        </w:rPr>
        <w:t xml:space="preserve">to the estimates for the special trust fund for the biennium 2026–2027 of 4,891,770 United States </w:t>
      </w:r>
      <w:proofErr w:type="gramStart"/>
      <w:r w:rsidRPr="00631C1C">
        <w:rPr>
          <w:rFonts w:asciiTheme="majorBidi" w:hAnsiTheme="majorBidi" w:cstheme="majorBidi"/>
        </w:rPr>
        <w:t>dollars;</w:t>
      </w:r>
      <w:proofErr w:type="gramEnd"/>
      <w:r w:rsidRPr="00631C1C">
        <w:rPr>
          <w:rFonts w:asciiTheme="majorBidi" w:hAnsiTheme="majorBidi" w:cstheme="majorBidi"/>
        </w:rPr>
        <w:t xml:space="preserve"> </w:t>
      </w:r>
    </w:p>
    <w:p w14:paraId="5D8505E9" w14:textId="3CE23FBE"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Notes </w:t>
      </w:r>
      <w:r w:rsidRPr="00631C1C">
        <w:rPr>
          <w:rFonts w:asciiTheme="majorBidi" w:hAnsiTheme="majorBidi" w:cstheme="majorBidi"/>
        </w:rPr>
        <w:t xml:space="preserve">that implementation of the planned activities is subject to the availability of resources contributed to the special trust </w:t>
      </w:r>
      <w:proofErr w:type="gramStart"/>
      <w:r w:rsidRPr="00631C1C">
        <w:rPr>
          <w:rFonts w:asciiTheme="majorBidi" w:hAnsiTheme="majorBidi" w:cstheme="majorBidi"/>
        </w:rPr>
        <w:t>fund;</w:t>
      </w:r>
      <w:proofErr w:type="gramEnd"/>
    </w:p>
    <w:p w14:paraId="5340AD76" w14:textId="4EB431F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 xml:space="preserve">parties to the Convention, and invites non-parties to the Convention and others in a position to do so, to contribute to the special trust </w:t>
      </w:r>
      <w:proofErr w:type="gramStart"/>
      <w:r w:rsidRPr="00631C1C">
        <w:rPr>
          <w:rFonts w:asciiTheme="majorBidi" w:hAnsiTheme="majorBidi" w:cstheme="majorBidi"/>
        </w:rPr>
        <w:t>fund;</w:t>
      </w:r>
      <w:proofErr w:type="gramEnd"/>
    </w:p>
    <w:p w14:paraId="734B5E55" w14:textId="71EDB7AE"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and non-parties to the Convention and others in a position to do so to contribute to the special trust fund to support the participation of representatives of parties from developing countries and countries with economies in transition in the meetings of the Conference of the Parties and its subsidiary </w:t>
      </w:r>
      <w:proofErr w:type="gramStart"/>
      <w:r w:rsidRPr="00631C1C">
        <w:rPr>
          <w:rFonts w:asciiTheme="majorBidi" w:hAnsiTheme="majorBidi" w:cstheme="majorBidi"/>
        </w:rPr>
        <w:t>bodies;</w:t>
      </w:r>
      <w:proofErr w:type="gramEnd"/>
    </w:p>
    <w:p w14:paraId="2D6ED43F" w14:textId="256E148C"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Executive Secretary to organize, subject to the availability of resources, a high-level event to mark the tenth anniversary of the Convention during the eighth session of the United Nations Environment </w:t>
      </w:r>
      <w:proofErr w:type="gramStart"/>
      <w:r w:rsidRPr="00631C1C">
        <w:rPr>
          <w:rFonts w:asciiTheme="majorBidi" w:hAnsiTheme="majorBidi" w:cstheme="majorBidi"/>
        </w:rPr>
        <w:t>Assembly;</w:t>
      </w:r>
      <w:proofErr w:type="gramEnd"/>
    </w:p>
    <w:p w14:paraId="0FD147FC" w14:textId="77777777" w:rsidR="00312042" w:rsidRPr="00631C1C" w:rsidRDefault="00312042" w:rsidP="00312042">
      <w:pPr>
        <w:pStyle w:val="CH2"/>
        <w:ind w:firstLine="0"/>
        <w:jc w:val="center"/>
        <w:rPr>
          <w:rFonts w:asciiTheme="majorBidi" w:hAnsiTheme="majorBidi" w:cstheme="majorBidi"/>
          <w:sz w:val="20"/>
          <w:szCs w:val="20"/>
        </w:rPr>
      </w:pPr>
      <w:bookmarkStart w:id="74" w:name="_Toc216165221"/>
      <w:bookmarkStart w:id="75" w:name="_Toc219712824"/>
      <w:r w:rsidRPr="00631C1C">
        <w:rPr>
          <w:rFonts w:asciiTheme="majorBidi" w:hAnsiTheme="majorBidi" w:cstheme="majorBidi"/>
          <w:sz w:val="20"/>
          <w:szCs w:val="20"/>
        </w:rPr>
        <w:t>III</w:t>
      </w:r>
      <w:bookmarkEnd w:id="74"/>
      <w:bookmarkEnd w:id="75"/>
    </w:p>
    <w:p w14:paraId="6AC352E1" w14:textId="77777777" w:rsidR="00312042" w:rsidRPr="00631C1C" w:rsidRDefault="00312042" w:rsidP="00312042">
      <w:pPr>
        <w:pStyle w:val="CH2"/>
        <w:keepNext w:val="0"/>
        <w:keepLines w:val="0"/>
        <w:spacing w:before="120"/>
        <w:ind w:firstLine="0"/>
        <w:jc w:val="center"/>
        <w:rPr>
          <w:rFonts w:asciiTheme="majorBidi" w:hAnsiTheme="majorBidi" w:cstheme="majorBidi"/>
          <w:sz w:val="20"/>
          <w:szCs w:val="20"/>
        </w:rPr>
      </w:pPr>
      <w:bookmarkStart w:id="76" w:name="_Toc216165222"/>
      <w:bookmarkStart w:id="77" w:name="_Toc219712825"/>
      <w:r w:rsidRPr="00631C1C">
        <w:rPr>
          <w:rFonts w:asciiTheme="majorBidi" w:hAnsiTheme="majorBidi" w:cstheme="majorBidi"/>
          <w:sz w:val="20"/>
          <w:szCs w:val="20"/>
        </w:rPr>
        <w:t>Specific Trust Fund for the Minamata Convention on Mercury</w:t>
      </w:r>
      <w:bookmarkEnd w:id="76"/>
      <w:bookmarkEnd w:id="77"/>
    </w:p>
    <w:p w14:paraId="624F74C0" w14:textId="3F6DA673"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overall report on the Specific International Programme to Support Capacity-Building and Technical Assistance and the Specific Trust Fund established for those activities;</w:t>
      </w:r>
      <w:r w:rsidRPr="00631C1C">
        <w:rPr>
          <w:rStyle w:val="FootnoteReference"/>
          <w:rFonts w:asciiTheme="majorBidi" w:hAnsiTheme="majorBidi" w:cstheme="majorBidi"/>
        </w:rPr>
        <w:footnoteReference w:id="45"/>
      </w:r>
      <w:r w:rsidRPr="00631C1C">
        <w:rPr>
          <w:rFonts w:asciiTheme="majorBidi" w:hAnsiTheme="majorBidi" w:cstheme="majorBidi"/>
        </w:rPr>
        <w:t xml:space="preserve"> </w:t>
      </w:r>
    </w:p>
    <w:p w14:paraId="1D3EE2FD" w14:textId="0C9A43B6"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and non-parties to the Convention and others in a position to do so to contribute to the Specific Trust Fund to support capacity-building and technical assistance activities in accordance with article 13 of the </w:t>
      </w:r>
      <w:proofErr w:type="gramStart"/>
      <w:r w:rsidRPr="00631C1C">
        <w:rPr>
          <w:rFonts w:asciiTheme="majorBidi" w:hAnsiTheme="majorBidi" w:cstheme="majorBidi"/>
        </w:rPr>
        <w:t>Convention;</w:t>
      </w:r>
      <w:proofErr w:type="gramEnd"/>
    </w:p>
    <w:p w14:paraId="1096B358"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 xml:space="preserve">parties to fund a Junior Professional Officer position to assist with the activities of the Specific International </w:t>
      </w:r>
      <w:proofErr w:type="gramStart"/>
      <w:r w:rsidRPr="00631C1C">
        <w:rPr>
          <w:rFonts w:asciiTheme="majorBidi" w:hAnsiTheme="majorBidi" w:cstheme="majorBidi"/>
        </w:rPr>
        <w:t>Programme;</w:t>
      </w:r>
      <w:proofErr w:type="gramEnd"/>
    </w:p>
    <w:p w14:paraId="006AE9A0" w14:textId="77777777" w:rsidR="00312042" w:rsidRPr="00631C1C" w:rsidRDefault="00312042" w:rsidP="00312042">
      <w:pPr>
        <w:pStyle w:val="CH2"/>
        <w:ind w:firstLine="0"/>
        <w:jc w:val="center"/>
        <w:rPr>
          <w:rFonts w:asciiTheme="majorBidi" w:hAnsiTheme="majorBidi" w:cstheme="majorBidi"/>
          <w:b w:val="0"/>
          <w:sz w:val="20"/>
          <w:szCs w:val="20"/>
        </w:rPr>
      </w:pPr>
      <w:bookmarkStart w:id="78" w:name="_Toc216165223"/>
      <w:bookmarkStart w:id="79" w:name="_Toc219712826"/>
      <w:r w:rsidRPr="00631C1C">
        <w:rPr>
          <w:rFonts w:asciiTheme="majorBidi" w:hAnsiTheme="majorBidi" w:cstheme="majorBidi"/>
          <w:sz w:val="20"/>
          <w:szCs w:val="20"/>
        </w:rPr>
        <w:t>IV</w:t>
      </w:r>
      <w:bookmarkEnd w:id="78"/>
      <w:bookmarkEnd w:id="79"/>
    </w:p>
    <w:p w14:paraId="20914A83" w14:textId="77777777" w:rsidR="00312042" w:rsidRPr="00631C1C" w:rsidRDefault="00312042" w:rsidP="00312042">
      <w:pPr>
        <w:pStyle w:val="CH2"/>
        <w:keepNext w:val="0"/>
        <w:keepLines w:val="0"/>
        <w:spacing w:before="120"/>
        <w:ind w:firstLine="0"/>
        <w:jc w:val="center"/>
        <w:rPr>
          <w:rFonts w:asciiTheme="majorBidi" w:hAnsiTheme="majorBidi" w:cstheme="majorBidi"/>
          <w:b w:val="0"/>
          <w:sz w:val="20"/>
          <w:szCs w:val="20"/>
        </w:rPr>
      </w:pPr>
      <w:bookmarkStart w:id="80" w:name="_Toc216165224"/>
      <w:bookmarkStart w:id="81" w:name="_Toc219712827"/>
      <w:r w:rsidRPr="00631C1C">
        <w:rPr>
          <w:rFonts w:asciiTheme="majorBidi" w:hAnsiTheme="majorBidi" w:cstheme="majorBidi"/>
          <w:sz w:val="20"/>
          <w:szCs w:val="20"/>
        </w:rPr>
        <w:t>Preparations for the biennium 2028–2029</w:t>
      </w:r>
      <w:bookmarkEnd w:id="80"/>
      <w:bookmarkEnd w:id="81"/>
    </w:p>
    <w:p w14:paraId="00E43D97"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eastAsia="en-GB"/>
        </w:rPr>
      </w:pPr>
      <w:r w:rsidRPr="00631C1C">
        <w:rPr>
          <w:rFonts w:asciiTheme="majorBidi" w:hAnsiTheme="majorBidi" w:cstheme="majorBidi"/>
          <w:i/>
          <w:iCs/>
        </w:rPr>
        <w:t xml:space="preserve">Requests </w:t>
      </w:r>
      <w:r w:rsidRPr="00631C1C">
        <w:rPr>
          <w:rFonts w:asciiTheme="majorBidi" w:hAnsiTheme="majorBidi" w:cstheme="majorBidi"/>
        </w:rPr>
        <w:t>the Executive Secretary to prepare a budget for the biennium 2028–2029 for consideration by the Conference of the Parties at its seventh meeting, in 2027,</w:t>
      </w:r>
      <w:r w:rsidRPr="00631C1C">
        <w:rPr>
          <w:rFonts w:asciiTheme="majorBidi" w:hAnsiTheme="majorBidi" w:cstheme="majorBidi"/>
          <w:iCs/>
        </w:rPr>
        <w:t xml:space="preserve"> explaining the key principles, assumptions and </w:t>
      </w:r>
      <w:r w:rsidRPr="00631C1C">
        <w:rPr>
          <w:rFonts w:asciiTheme="majorBidi" w:hAnsiTheme="majorBidi" w:cstheme="majorBidi"/>
        </w:rPr>
        <w:t>programmatic</w:t>
      </w:r>
      <w:r w:rsidRPr="00631C1C">
        <w:rPr>
          <w:rFonts w:asciiTheme="majorBidi" w:hAnsiTheme="majorBidi" w:cstheme="majorBidi"/>
          <w:iCs/>
        </w:rPr>
        <w:t xml:space="preserve"> strategy on which the budget is based and presenting </w:t>
      </w:r>
      <w:r w:rsidRPr="00631C1C">
        <w:rPr>
          <w:rFonts w:asciiTheme="majorBidi" w:hAnsiTheme="majorBidi" w:cstheme="majorBidi"/>
          <w:iCs/>
        </w:rPr>
        <w:lastRenderedPageBreak/>
        <w:t xml:space="preserve">expenditures for that biennium in a </w:t>
      </w:r>
      <w:r w:rsidRPr="00631C1C">
        <w:rPr>
          <w:rFonts w:asciiTheme="majorBidi" w:hAnsiTheme="majorBidi" w:cstheme="majorBidi"/>
        </w:rPr>
        <w:t>programmatic</w:t>
      </w:r>
      <w:r w:rsidRPr="00631C1C">
        <w:rPr>
          <w:rFonts w:asciiTheme="majorBidi" w:hAnsiTheme="majorBidi" w:cstheme="majorBidi"/>
          <w:iCs/>
        </w:rPr>
        <w:t xml:space="preserve"> format and broken down by budget activity, with each activity to be supported by a </w:t>
      </w:r>
      <w:r w:rsidRPr="00631C1C">
        <w:rPr>
          <w:rFonts w:asciiTheme="majorBidi" w:hAnsiTheme="majorBidi" w:cstheme="majorBidi"/>
        </w:rPr>
        <w:t>budget</w:t>
      </w:r>
      <w:r w:rsidRPr="00631C1C">
        <w:rPr>
          <w:rFonts w:asciiTheme="majorBidi" w:hAnsiTheme="majorBidi" w:cstheme="majorBidi"/>
          <w:iCs/>
        </w:rPr>
        <w:t xml:space="preserve"> activity fact sheet;</w:t>
      </w:r>
    </w:p>
    <w:p w14:paraId="4F1B7919"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eastAsia="en-GB"/>
        </w:rPr>
      </w:pPr>
      <w:r w:rsidRPr="00631C1C">
        <w:rPr>
          <w:rFonts w:asciiTheme="majorBidi" w:hAnsiTheme="majorBidi" w:cstheme="majorBidi"/>
          <w:i/>
        </w:rPr>
        <w:t>Also requests</w:t>
      </w:r>
      <w:r w:rsidRPr="00631C1C">
        <w:rPr>
          <w:rFonts w:asciiTheme="majorBidi" w:hAnsiTheme="majorBidi" w:cstheme="majorBidi"/>
        </w:rPr>
        <w:t xml:space="preserve"> the Executive Secretary, in preparing the budget and programme of work for the biennium 2028</w:t>
      </w:r>
      <w:r w:rsidRPr="00631C1C">
        <w:rPr>
          <w:rFonts w:asciiTheme="majorBidi" w:hAnsiTheme="majorBidi" w:cstheme="majorBidi"/>
          <w:iCs/>
        </w:rPr>
        <w:t>–</w:t>
      </w:r>
      <w:r w:rsidRPr="00631C1C">
        <w:rPr>
          <w:rFonts w:asciiTheme="majorBidi" w:hAnsiTheme="majorBidi" w:cstheme="majorBidi"/>
        </w:rPr>
        <w:t>2029, to present two scenarios:</w:t>
      </w:r>
    </w:p>
    <w:p w14:paraId="6C018EDB" w14:textId="77777777" w:rsidR="00312042" w:rsidRPr="00631C1C"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One maintaining the operational budget at the 2026–2027 level in nominal </w:t>
      </w:r>
      <w:proofErr w:type="gramStart"/>
      <w:r w:rsidRPr="00631C1C">
        <w:rPr>
          <w:rFonts w:asciiTheme="majorBidi" w:hAnsiTheme="majorBidi" w:cstheme="majorBidi"/>
        </w:rPr>
        <w:t>terms;</w:t>
      </w:r>
      <w:proofErr w:type="gramEnd"/>
    </w:p>
    <w:p w14:paraId="12D2624B" w14:textId="6C9753CE" w:rsidR="00312042" w:rsidRPr="00631C1C"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One reflecting the changes required to the above-mentioned scenario to meet the projected needs and the costs or savings related thereto, which should not exceed a 5 per cent increase over the 2026–2027 level in nominal </w:t>
      </w:r>
      <w:proofErr w:type="gramStart"/>
      <w:r w:rsidRPr="00631C1C">
        <w:rPr>
          <w:rFonts w:asciiTheme="majorBidi" w:hAnsiTheme="majorBidi" w:cstheme="majorBidi"/>
        </w:rPr>
        <w:t>terms;</w:t>
      </w:r>
      <w:proofErr w:type="gramEnd"/>
    </w:p>
    <w:p w14:paraId="2C119F1B" w14:textId="0476F15D"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 xml:space="preserve">Stresses </w:t>
      </w:r>
      <w:r w:rsidRPr="00631C1C">
        <w:rPr>
          <w:rFonts w:asciiTheme="majorBidi" w:hAnsiTheme="majorBidi" w:cstheme="majorBidi"/>
        </w:rPr>
        <w:t xml:space="preserve">the need to ensure that the budget proposals are realistic and represent the agreed priorities of all parties </w:t>
      </w:r>
      <w:bookmarkStart w:id="82" w:name="_Hlk38285479"/>
      <w:r w:rsidRPr="00631C1C">
        <w:rPr>
          <w:rFonts w:asciiTheme="majorBidi" w:hAnsiTheme="majorBidi" w:cstheme="majorBidi"/>
        </w:rPr>
        <w:t xml:space="preserve">to help ensure a sustainable and stable fund and cash balance, including contributions </w:t>
      </w:r>
      <w:proofErr w:type="gramStart"/>
      <w:r w:rsidRPr="00631C1C">
        <w:rPr>
          <w:rFonts w:asciiTheme="majorBidi" w:hAnsiTheme="majorBidi" w:cstheme="majorBidi"/>
        </w:rPr>
        <w:t>received;</w:t>
      </w:r>
      <w:bookmarkEnd w:id="82"/>
      <w:proofErr w:type="gramEnd"/>
    </w:p>
    <w:p w14:paraId="3B1189B4" w14:textId="62162312"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Executive Secretary, in keeping with </w:t>
      </w:r>
      <w:bookmarkStart w:id="83" w:name="_Hlk38285636"/>
      <w:r w:rsidRPr="00631C1C">
        <w:rPr>
          <w:rFonts w:asciiTheme="majorBidi" w:hAnsiTheme="majorBidi" w:cstheme="majorBidi"/>
        </w:rPr>
        <w:t xml:space="preserve">paragraph 8 of rule 5 </w:t>
      </w:r>
      <w:bookmarkEnd w:id="83"/>
      <w:r w:rsidRPr="00631C1C">
        <w:rPr>
          <w:rFonts w:asciiTheme="majorBidi" w:hAnsiTheme="majorBidi" w:cstheme="majorBidi"/>
        </w:rPr>
        <w:t xml:space="preserve">of the financial rules for the Conference of the Parties to the Minamata </w:t>
      </w:r>
      <w:r w:rsidRPr="00631C1C">
        <w:rPr>
          <w:rFonts w:asciiTheme="majorBidi" w:hAnsiTheme="majorBidi" w:cstheme="majorBidi"/>
          <w:iCs/>
        </w:rPr>
        <w:t xml:space="preserve">Convention on Mercury, its subsidiary </w:t>
      </w:r>
      <w:r w:rsidRPr="00631C1C">
        <w:rPr>
          <w:rFonts w:asciiTheme="majorBidi" w:hAnsiTheme="majorBidi" w:cstheme="majorBidi"/>
        </w:rPr>
        <w:t>bodies</w:t>
      </w:r>
      <w:r w:rsidRPr="00631C1C">
        <w:rPr>
          <w:rFonts w:asciiTheme="majorBidi" w:hAnsiTheme="majorBidi" w:cstheme="majorBidi"/>
          <w:iCs/>
        </w:rPr>
        <w:t xml:space="preserve"> and the secretariat of the Convention</w:t>
      </w:r>
      <w:r w:rsidRPr="00631C1C">
        <w:rPr>
          <w:rFonts w:asciiTheme="majorBidi" w:hAnsiTheme="majorBidi" w:cstheme="majorBidi"/>
        </w:rPr>
        <w:t>, to acknowledge promptly the receipt of all pledges and contributions and inform the parties thereof by publishing on the Convention website up-to-date information on the status of pledges and payments of contributions, and to provide detailed, up-to-date information on actual income and expenses of the general trust fund and the special trust fund;</w:t>
      </w:r>
    </w:p>
    <w:p w14:paraId="2ADC8F64" w14:textId="0E9FEDC6"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Also requests </w:t>
      </w:r>
      <w:r w:rsidRPr="00631C1C">
        <w:rPr>
          <w:rFonts w:asciiTheme="majorBidi" w:hAnsiTheme="majorBidi" w:cstheme="majorBidi"/>
        </w:rPr>
        <w:t xml:space="preserve">the Executive Secretary to provide, in line with paragraph 1 of rule 3 of the financial rules for the Conference of the Parties to the Minamata </w:t>
      </w:r>
      <w:r w:rsidRPr="00631C1C">
        <w:rPr>
          <w:rFonts w:asciiTheme="majorBidi" w:hAnsiTheme="majorBidi" w:cstheme="majorBidi"/>
          <w:iCs/>
        </w:rPr>
        <w:t xml:space="preserve">Convention on Mercury, its </w:t>
      </w:r>
      <w:r w:rsidRPr="00631C1C">
        <w:rPr>
          <w:rFonts w:asciiTheme="majorBidi" w:hAnsiTheme="majorBidi" w:cstheme="majorBidi"/>
        </w:rPr>
        <w:t>subsidiary</w:t>
      </w:r>
      <w:r w:rsidRPr="00631C1C">
        <w:rPr>
          <w:rFonts w:asciiTheme="majorBidi" w:hAnsiTheme="majorBidi" w:cstheme="majorBidi"/>
          <w:iCs/>
        </w:rPr>
        <w:t xml:space="preserve"> bodies and the secretariat of the Convention</w:t>
      </w:r>
      <w:r w:rsidRPr="00631C1C">
        <w:rPr>
          <w:rFonts w:asciiTheme="majorBidi" w:hAnsiTheme="majorBidi" w:cstheme="majorBidi"/>
        </w:rPr>
        <w:t xml:space="preserve">, detailed information on </w:t>
      </w:r>
      <w:r w:rsidR="00F0612D" w:rsidRPr="00631C1C">
        <w:rPr>
          <w:rFonts w:asciiTheme="majorBidi" w:hAnsiTheme="majorBidi" w:cstheme="majorBidi"/>
        </w:rPr>
        <w:t xml:space="preserve">actual </w:t>
      </w:r>
      <w:r w:rsidRPr="00631C1C">
        <w:rPr>
          <w:rFonts w:asciiTheme="majorBidi" w:hAnsiTheme="majorBidi" w:cstheme="majorBidi"/>
        </w:rPr>
        <w:t>income and expenditures for each year of the biennium 2024–2025 and for 2026 and estimates of actual expenditures for 2027;</w:t>
      </w:r>
    </w:p>
    <w:p w14:paraId="6A75B05D" w14:textId="251C3455"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E84D8D">
          <w:footnotePr>
            <w:numRestart w:val="eachSect"/>
          </w:footnotePr>
          <w:type w:val="continuous"/>
          <w:pgSz w:w="11906" w:h="16838" w:code="9"/>
          <w:pgMar w:top="907" w:right="992" w:bottom="1418" w:left="1418" w:header="539" w:footer="975" w:gutter="0"/>
          <w:cols w:space="539"/>
          <w:docGrid w:linePitch="360"/>
        </w:sectPr>
      </w:pPr>
      <w:r w:rsidRPr="00631C1C">
        <w:rPr>
          <w:rFonts w:asciiTheme="majorBidi" w:hAnsiTheme="majorBidi" w:cstheme="majorBidi"/>
          <w:i/>
          <w:iCs/>
        </w:rPr>
        <w:t>Further requests</w:t>
      </w:r>
      <w:r w:rsidRPr="00631C1C">
        <w:rPr>
          <w:rFonts w:asciiTheme="majorBidi" w:hAnsiTheme="majorBidi" w:cstheme="majorBidi"/>
        </w:rPr>
        <w:t xml:space="preserve"> the Executive Secretary to prepare a report, subject to the availability of resources, for consideration by the Conference of the Parties at its seventh meeting, presenting options for cost</w:t>
      </w:r>
      <w:r w:rsidR="00950F3B" w:rsidRPr="00631C1C">
        <w:rPr>
          <w:rFonts w:asciiTheme="majorBidi" w:hAnsiTheme="majorBidi" w:cstheme="majorBidi"/>
        </w:rPr>
        <w:t>-</w:t>
      </w:r>
      <w:r w:rsidRPr="00631C1C">
        <w:rPr>
          <w:rFonts w:asciiTheme="majorBidi" w:hAnsiTheme="majorBidi" w:cstheme="majorBidi"/>
        </w:rPr>
        <w:t xml:space="preserve">saving measures. These options may include, </w:t>
      </w:r>
      <w:r w:rsidRPr="007B1491">
        <w:rPr>
          <w:rFonts w:asciiTheme="majorBidi" w:hAnsiTheme="majorBidi" w:cstheme="majorBidi"/>
          <w:i/>
          <w:iCs/>
        </w:rPr>
        <w:t>inter alia</w:t>
      </w:r>
      <w:r w:rsidRPr="00631C1C">
        <w:rPr>
          <w:rFonts w:asciiTheme="majorBidi" w:hAnsiTheme="majorBidi" w:cstheme="majorBidi"/>
        </w:rPr>
        <w:t>, adjustments to the timing, format and duration of meetings convened under the Convention, considerations pertaining to cost-effective technology for translation, considerations related to the staffing of the secretariat, as well as considerations on potential cost-sharing arrangements with the secretariats of other relevant multilateral environmental agreements, drawing on best practices.</w:t>
      </w:r>
    </w:p>
    <w:p w14:paraId="3FFBD31A" w14:textId="1EB03CF3" w:rsidR="00312042" w:rsidRPr="00601884" w:rsidRDefault="00F641CB" w:rsidP="00F641CB">
      <w:pPr>
        <w:pStyle w:val="CH2"/>
        <w:rPr>
          <w:rFonts w:asciiTheme="majorBidi" w:hAnsiTheme="majorBidi" w:cstheme="majorBidi"/>
        </w:rPr>
      </w:pPr>
      <w:r>
        <w:lastRenderedPageBreak/>
        <w:tab/>
      </w:r>
      <w:r>
        <w:tab/>
      </w:r>
      <w:r w:rsidR="00312042" w:rsidRPr="00601884">
        <w:t>Annex</w:t>
      </w:r>
      <w:r w:rsidR="00737D80" w:rsidRPr="00601884">
        <w:t xml:space="preserve"> to decision MC-6/21</w:t>
      </w:r>
    </w:p>
    <w:p w14:paraId="3ADE54D4" w14:textId="33DF4751" w:rsidR="00312042" w:rsidRPr="00631C1C" w:rsidRDefault="00312042" w:rsidP="00312042">
      <w:pPr>
        <w:pStyle w:val="Titletable"/>
        <w:spacing w:after="0"/>
        <w:rPr>
          <w:rFonts w:asciiTheme="majorBidi" w:hAnsiTheme="majorBidi" w:cstheme="majorBidi"/>
        </w:rPr>
      </w:pPr>
      <w:r w:rsidRPr="00631C1C">
        <w:rPr>
          <w:rFonts w:asciiTheme="majorBidi" w:hAnsiTheme="majorBidi" w:cstheme="majorBidi"/>
          <w:b w:val="0"/>
          <w:bCs w:val="0"/>
        </w:rPr>
        <w:t>Table 1</w:t>
      </w:r>
      <w:r w:rsidRPr="00631C1C">
        <w:rPr>
          <w:rFonts w:asciiTheme="majorBidi" w:hAnsiTheme="majorBidi" w:cstheme="majorBidi"/>
          <w:b w:val="0"/>
          <w:bCs w:val="0"/>
        </w:rPr>
        <w:br/>
      </w:r>
      <w:r w:rsidRPr="00631C1C">
        <w:rPr>
          <w:rFonts w:asciiTheme="majorBidi" w:hAnsiTheme="majorBidi" w:cstheme="majorBidi"/>
        </w:rPr>
        <w:t>Programme of work and budget for the biennium 2026</w:t>
      </w:r>
      <w:r w:rsidR="0095195E">
        <w:rPr>
          <w:rFonts w:asciiTheme="majorBidi" w:hAnsiTheme="majorBidi" w:cstheme="majorBidi"/>
        </w:rPr>
        <w:t>–</w:t>
      </w:r>
      <w:r w:rsidRPr="00631C1C">
        <w:rPr>
          <w:rFonts w:asciiTheme="majorBidi" w:hAnsiTheme="majorBidi" w:cstheme="majorBidi"/>
        </w:rPr>
        <w:t>2027</w:t>
      </w:r>
    </w:p>
    <w:p w14:paraId="7E690E52" w14:textId="17BFB78F" w:rsidR="00312042" w:rsidRPr="00631C1C" w:rsidRDefault="00312042" w:rsidP="00312042">
      <w:pPr>
        <w:pStyle w:val="Titletable"/>
        <w:spacing w:after="0"/>
        <w:rPr>
          <w:rFonts w:asciiTheme="majorBidi" w:hAnsiTheme="majorBidi" w:cstheme="majorBidi"/>
          <w:b w:val="0"/>
          <w:bCs w:val="0"/>
        </w:rPr>
      </w:pPr>
      <w:r w:rsidRPr="00631C1C">
        <w:rPr>
          <w:rFonts w:asciiTheme="majorBidi" w:hAnsiTheme="majorBidi" w:cstheme="majorBidi"/>
          <w:b w:val="0"/>
          <w:bCs w:val="0"/>
        </w:rPr>
        <w:t>(United States dollars)</w:t>
      </w:r>
    </w:p>
    <w:tbl>
      <w:tblPr>
        <w:tblW w:w="5000" w:type="pct"/>
        <w:jc w:val="right"/>
        <w:tblLook w:val="04A0" w:firstRow="1" w:lastRow="0" w:firstColumn="1" w:lastColumn="0" w:noHBand="0" w:noVBand="1"/>
      </w:tblPr>
      <w:tblGrid>
        <w:gridCol w:w="284"/>
        <w:gridCol w:w="6946"/>
        <w:gridCol w:w="1275"/>
        <w:gridCol w:w="1134"/>
        <w:gridCol w:w="1276"/>
        <w:gridCol w:w="1134"/>
        <w:gridCol w:w="1134"/>
        <w:gridCol w:w="1245"/>
      </w:tblGrid>
      <w:tr w:rsidR="00F234CD" w:rsidRPr="00631C1C"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single" w:sz="4" w:space="0" w:color="auto"/>
              <w:bottom w:val="single" w:sz="4" w:space="0" w:color="auto"/>
            </w:tcBorders>
            <w:shd w:val="clear" w:color="000000" w:fill="DBB731"/>
            <w:noWrap/>
            <w:vAlign w:val="bottom"/>
            <w:hideMark/>
          </w:tcPr>
          <w:p w14:paraId="762443C7" w14:textId="30F1A737" w:rsidR="00312042" w:rsidRPr="00CB7E8A" w:rsidRDefault="00312042" w:rsidP="00CB7E8A">
            <w:pPr>
              <w:spacing w:before="40" w:after="40"/>
              <w:rPr>
                <w:i/>
                <w:iCs/>
                <w:sz w:val="18"/>
                <w:szCs w:val="18"/>
              </w:rPr>
            </w:pPr>
            <w:r w:rsidRPr="00CB7E8A">
              <w:rPr>
                <w:i/>
                <w:iCs/>
                <w:sz w:val="18"/>
                <w:szCs w:val="18"/>
              </w:rPr>
              <w:t>Budget 2026</w:t>
            </w:r>
            <w:r w:rsidR="00D96C37" w:rsidRPr="00CB7E8A">
              <w:rPr>
                <w:i/>
                <w:iCs/>
                <w:sz w:val="18"/>
                <w:szCs w:val="18"/>
              </w:rPr>
              <w:t>–</w:t>
            </w:r>
            <w:r w:rsidRPr="00CB7E8A">
              <w:rPr>
                <w:i/>
                <w:iCs/>
                <w:sz w:val="18"/>
                <w:szCs w:val="18"/>
              </w:rPr>
              <w:t>2027</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CB7E8A" w:rsidRDefault="00312042" w:rsidP="00CB7E8A">
            <w:pPr>
              <w:spacing w:before="40" w:after="40"/>
              <w:jc w:val="center"/>
              <w:rPr>
                <w:i/>
                <w:iCs/>
                <w:sz w:val="18"/>
                <w:szCs w:val="18"/>
              </w:rPr>
            </w:pPr>
            <w:r w:rsidRPr="00CB7E8A">
              <w:rPr>
                <w:i/>
                <w:iCs/>
                <w:sz w:val="18"/>
                <w:szCs w:val="18"/>
              </w:rPr>
              <w:t xml:space="preserve">General </w:t>
            </w:r>
            <w:r w:rsidR="00D96C37" w:rsidRPr="00CB7E8A">
              <w:rPr>
                <w:i/>
                <w:iCs/>
                <w:sz w:val="18"/>
                <w:szCs w:val="18"/>
              </w:rPr>
              <w:t>t</w:t>
            </w:r>
            <w:r w:rsidRPr="00CB7E8A">
              <w:rPr>
                <w:i/>
                <w:iCs/>
                <w:sz w:val="18"/>
                <w:szCs w:val="18"/>
              </w:rPr>
              <w:t xml:space="preserve">rust </w:t>
            </w:r>
            <w:r w:rsidR="00D96C37" w:rsidRPr="00CB7E8A">
              <w:rPr>
                <w:i/>
                <w:iCs/>
                <w:sz w:val="18"/>
                <w:szCs w:val="18"/>
              </w:rPr>
              <w:t>f</w:t>
            </w:r>
            <w:r w:rsidRPr="00CB7E8A">
              <w:rPr>
                <w:i/>
                <w:iCs/>
                <w:sz w:val="18"/>
                <w:szCs w:val="18"/>
              </w:rPr>
              <w:t>und</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CB7E8A" w:rsidRDefault="00312042" w:rsidP="00CB7E8A">
            <w:pPr>
              <w:spacing w:before="40" w:after="40"/>
              <w:jc w:val="center"/>
              <w:rPr>
                <w:i/>
                <w:iCs/>
                <w:sz w:val="18"/>
                <w:szCs w:val="18"/>
              </w:rPr>
            </w:pPr>
            <w:r w:rsidRPr="00CB7E8A">
              <w:rPr>
                <w:i/>
                <w:iCs/>
                <w:sz w:val="18"/>
                <w:szCs w:val="18"/>
              </w:rPr>
              <w:t xml:space="preserve">Special </w:t>
            </w:r>
            <w:r w:rsidR="00D96C37" w:rsidRPr="00CB7E8A">
              <w:rPr>
                <w:i/>
                <w:iCs/>
                <w:sz w:val="18"/>
                <w:szCs w:val="18"/>
              </w:rPr>
              <w:t>t</w:t>
            </w:r>
            <w:r w:rsidRPr="00CB7E8A">
              <w:rPr>
                <w:i/>
                <w:iCs/>
                <w:sz w:val="18"/>
                <w:szCs w:val="18"/>
              </w:rPr>
              <w:t xml:space="preserve">rust </w:t>
            </w:r>
            <w:r w:rsidR="00D96C37" w:rsidRPr="00CB7E8A">
              <w:rPr>
                <w:i/>
                <w:iCs/>
                <w:sz w:val="18"/>
                <w:szCs w:val="18"/>
              </w:rPr>
              <w:t>f</w:t>
            </w:r>
            <w:r w:rsidRPr="00CB7E8A">
              <w:rPr>
                <w:i/>
                <w:iCs/>
                <w:sz w:val="18"/>
                <w:szCs w:val="18"/>
              </w:rPr>
              <w:t>und</w:t>
            </w:r>
          </w:p>
        </w:tc>
      </w:tr>
      <w:tr w:rsidR="00F234CD" w:rsidRPr="00631C1C"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CB7E8A" w:rsidRDefault="00312042" w:rsidP="00CB7E8A">
            <w:pPr>
              <w:spacing w:before="40" w:after="40"/>
              <w:rPr>
                <w:i/>
                <w:iCs/>
                <w:sz w:val="18"/>
                <w:szCs w:val="18"/>
              </w:rPr>
            </w:pPr>
            <w:r w:rsidRPr="00CB7E8A">
              <w:rPr>
                <w:i/>
                <w:iCs/>
                <w:sz w:val="18"/>
                <w:szCs w:val="18"/>
              </w:rPr>
              <w:t>Activity</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CB7E8A" w:rsidRDefault="00312042" w:rsidP="00CB7E8A">
            <w:pPr>
              <w:spacing w:before="40" w:after="40"/>
              <w:jc w:val="right"/>
              <w:rPr>
                <w:i/>
                <w:iCs/>
                <w:sz w:val="18"/>
                <w:szCs w:val="18"/>
              </w:rPr>
            </w:pPr>
            <w:r w:rsidRPr="00CB7E8A">
              <w:rPr>
                <w:i/>
                <w:iCs/>
                <w:sz w:val="18"/>
                <w:szCs w:val="18"/>
              </w:rPr>
              <w:t>2026</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CB7E8A" w:rsidRDefault="00312042" w:rsidP="00CB7E8A">
            <w:pPr>
              <w:spacing w:before="40" w:after="40"/>
              <w:jc w:val="right"/>
              <w:rPr>
                <w:i/>
                <w:iCs/>
                <w:sz w:val="18"/>
                <w:szCs w:val="18"/>
              </w:rPr>
            </w:pPr>
            <w:r w:rsidRPr="00CB7E8A">
              <w:rPr>
                <w:i/>
                <w:iCs/>
                <w:sz w:val="18"/>
                <w:szCs w:val="18"/>
              </w:rPr>
              <w:t>2027</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CB7E8A" w:rsidRDefault="00312042" w:rsidP="00CB7E8A">
            <w:pPr>
              <w:spacing w:before="40" w:after="40"/>
              <w:jc w:val="right"/>
              <w:rPr>
                <w:i/>
                <w:iCs/>
                <w:sz w:val="18"/>
                <w:szCs w:val="18"/>
              </w:rPr>
            </w:pPr>
            <w:r w:rsidRPr="00CB7E8A">
              <w:rPr>
                <w:i/>
                <w:iCs/>
                <w:sz w:val="18"/>
                <w:szCs w:val="18"/>
              </w:rPr>
              <w:t>Total</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CB7E8A" w:rsidRDefault="00312042" w:rsidP="00CB7E8A">
            <w:pPr>
              <w:spacing w:before="40" w:after="40"/>
              <w:jc w:val="right"/>
              <w:rPr>
                <w:i/>
                <w:iCs/>
                <w:sz w:val="18"/>
                <w:szCs w:val="18"/>
              </w:rPr>
            </w:pPr>
            <w:r w:rsidRPr="00CB7E8A">
              <w:rPr>
                <w:i/>
                <w:iCs/>
                <w:sz w:val="18"/>
                <w:szCs w:val="18"/>
              </w:rPr>
              <w:t>2026</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CB7E8A" w:rsidRDefault="00312042" w:rsidP="00CB7E8A">
            <w:pPr>
              <w:spacing w:before="40" w:after="40"/>
              <w:jc w:val="right"/>
              <w:rPr>
                <w:i/>
                <w:iCs/>
                <w:sz w:val="18"/>
                <w:szCs w:val="18"/>
              </w:rPr>
            </w:pPr>
            <w:r w:rsidRPr="00CB7E8A">
              <w:rPr>
                <w:i/>
                <w:iCs/>
                <w:sz w:val="18"/>
                <w:szCs w:val="18"/>
              </w:rPr>
              <w:t>2027</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CB7E8A" w:rsidRDefault="00312042" w:rsidP="00CB7E8A">
            <w:pPr>
              <w:spacing w:before="40" w:after="40"/>
              <w:jc w:val="right"/>
              <w:rPr>
                <w:i/>
                <w:iCs/>
                <w:sz w:val="18"/>
                <w:szCs w:val="18"/>
              </w:rPr>
            </w:pPr>
            <w:r w:rsidRPr="00CB7E8A">
              <w:rPr>
                <w:i/>
                <w:iCs/>
                <w:sz w:val="18"/>
                <w:szCs w:val="18"/>
              </w:rPr>
              <w:t>Total</w:t>
            </w:r>
          </w:p>
        </w:tc>
      </w:tr>
      <w:tr w:rsidR="00F234CD" w:rsidRPr="00631C1C"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CB7E8A" w:rsidRDefault="00312042" w:rsidP="00CB7E8A">
            <w:pPr>
              <w:spacing w:before="40" w:after="40"/>
              <w:rPr>
                <w:b/>
                <w:bCs/>
                <w:sz w:val="18"/>
                <w:szCs w:val="18"/>
              </w:rPr>
            </w:pPr>
            <w:r w:rsidRPr="00CB7E8A">
              <w:rPr>
                <w:b/>
                <w:bCs/>
                <w:sz w:val="18"/>
                <w:szCs w:val="18"/>
              </w:rPr>
              <w:t>A. Conferences and meetings</w:t>
            </w:r>
          </w:p>
        </w:tc>
        <w:tc>
          <w:tcPr>
            <w:tcW w:w="1275" w:type="dxa"/>
            <w:tcBorders>
              <w:top w:val="single" w:sz="4" w:space="0" w:color="auto"/>
            </w:tcBorders>
            <w:noWrap/>
            <w:vAlign w:val="center"/>
            <w:hideMark/>
          </w:tcPr>
          <w:p w14:paraId="78A2E62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C643BAA"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4C51A5F9"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3592AA7"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3EC649C5"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5808E335" w14:textId="77777777" w:rsidR="00312042" w:rsidRPr="00CB7E8A" w:rsidRDefault="00312042" w:rsidP="00CB7E8A">
            <w:pPr>
              <w:spacing w:before="40" w:after="40"/>
              <w:jc w:val="right"/>
              <w:rPr>
                <w:b/>
                <w:bCs/>
                <w:sz w:val="18"/>
                <w:szCs w:val="18"/>
              </w:rPr>
            </w:pPr>
          </w:p>
        </w:tc>
      </w:tr>
      <w:tr w:rsidR="00F234CD" w:rsidRPr="00631C1C" w14:paraId="016FAB39" w14:textId="77777777" w:rsidTr="009A58EE">
        <w:trPr>
          <w:trHeight w:val="315"/>
          <w:jc w:val="right"/>
        </w:trPr>
        <w:tc>
          <w:tcPr>
            <w:tcW w:w="7230" w:type="dxa"/>
            <w:gridSpan w:val="2"/>
            <w:noWrap/>
            <w:vAlign w:val="center"/>
            <w:hideMark/>
          </w:tcPr>
          <w:p w14:paraId="12A20C48" w14:textId="77777777" w:rsidR="00312042" w:rsidRPr="00CB7E8A" w:rsidRDefault="00312042" w:rsidP="00CB7E8A">
            <w:pPr>
              <w:spacing w:before="40" w:after="40"/>
              <w:rPr>
                <w:b/>
                <w:bCs/>
                <w:sz w:val="18"/>
                <w:szCs w:val="18"/>
              </w:rPr>
            </w:pPr>
            <w:r w:rsidRPr="00CB7E8A">
              <w:rPr>
                <w:b/>
                <w:bCs/>
                <w:sz w:val="18"/>
                <w:szCs w:val="18"/>
              </w:rPr>
              <w:t>1. Seventh meeting of the Conference of the Parties</w:t>
            </w:r>
          </w:p>
        </w:tc>
        <w:tc>
          <w:tcPr>
            <w:tcW w:w="1275" w:type="dxa"/>
            <w:noWrap/>
            <w:vAlign w:val="center"/>
            <w:hideMark/>
          </w:tcPr>
          <w:p w14:paraId="6DBDEE62" w14:textId="77777777" w:rsidR="00312042" w:rsidRPr="00CB7E8A" w:rsidRDefault="00312042" w:rsidP="00CB7E8A">
            <w:pPr>
              <w:spacing w:before="40" w:after="40"/>
              <w:jc w:val="right"/>
              <w:rPr>
                <w:b/>
                <w:bCs/>
                <w:sz w:val="18"/>
                <w:szCs w:val="18"/>
              </w:rPr>
            </w:pPr>
          </w:p>
        </w:tc>
        <w:tc>
          <w:tcPr>
            <w:tcW w:w="1134" w:type="dxa"/>
            <w:noWrap/>
            <w:vAlign w:val="center"/>
            <w:hideMark/>
          </w:tcPr>
          <w:p w14:paraId="2A6F29B4" w14:textId="77777777" w:rsidR="00312042" w:rsidRPr="00CB7E8A" w:rsidRDefault="00312042" w:rsidP="00CB7E8A">
            <w:pPr>
              <w:spacing w:before="40" w:after="40"/>
              <w:jc w:val="right"/>
              <w:rPr>
                <w:b/>
                <w:bCs/>
                <w:sz w:val="18"/>
                <w:szCs w:val="18"/>
              </w:rPr>
            </w:pPr>
          </w:p>
        </w:tc>
        <w:tc>
          <w:tcPr>
            <w:tcW w:w="1276" w:type="dxa"/>
            <w:noWrap/>
            <w:vAlign w:val="center"/>
            <w:hideMark/>
          </w:tcPr>
          <w:p w14:paraId="059F9ADD" w14:textId="77777777" w:rsidR="00312042" w:rsidRPr="00CB7E8A" w:rsidRDefault="00312042" w:rsidP="00CB7E8A">
            <w:pPr>
              <w:spacing w:before="40" w:after="40"/>
              <w:jc w:val="right"/>
              <w:rPr>
                <w:b/>
                <w:bCs/>
                <w:sz w:val="18"/>
                <w:szCs w:val="18"/>
              </w:rPr>
            </w:pPr>
          </w:p>
        </w:tc>
        <w:tc>
          <w:tcPr>
            <w:tcW w:w="1134" w:type="dxa"/>
            <w:noWrap/>
            <w:vAlign w:val="center"/>
            <w:hideMark/>
          </w:tcPr>
          <w:p w14:paraId="5704B3CD" w14:textId="77777777" w:rsidR="00312042" w:rsidRPr="00CB7E8A" w:rsidRDefault="00312042" w:rsidP="00CB7E8A">
            <w:pPr>
              <w:spacing w:before="40" w:after="40"/>
              <w:jc w:val="right"/>
              <w:rPr>
                <w:b/>
                <w:bCs/>
                <w:sz w:val="18"/>
                <w:szCs w:val="18"/>
              </w:rPr>
            </w:pPr>
          </w:p>
        </w:tc>
        <w:tc>
          <w:tcPr>
            <w:tcW w:w="1134" w:type="dxa"/>
            <w:noWrap/>
            <w:vAlign w:val="center"/>
            <w:hideMark/>
          </w:tcPr>
          <w:p w14:paraId="6A729D0E" w14:textId="77777777" w:rsidR="00312042" w:rsidRPr="00CB7E8A" w:rsidRDefault="00312042" w:rsidP="00CB7E8A">
            <w:pPr>
              <w:spacing w:before="40" w:after="40"/>
              <w:jc w:val="right"/>
              <w:rPr>
                <w:b/>
                <w:bCs/>
                <w:sz w:val="18"/>
                <w:szCs w:val="18"/>
              </w:rPr>
            </w:pPr>
          </w:p>
        </w:tc>
        <w:tc>
          <w:tcPr>
            <w:tcW w:w="1245" w:type="dxa"/>
            <w:noWrap/>
            <w:vAlign w:val="center"/>
            <w:hideMark/>
          </w:tcPr>
          <w:p w14:paraId="4A001D45" w14:textId="77777777" w:rsidR="00312042" w:rsidRPr="00CB7E8A" w:rsidRDefault="00312042" w:rsidP="00CB7E8A">
            <w:pPr>
              <w:spacing w:before="40" w:after="40"/>
              <w:jc w:val="right"/>
              <w:rPr>
                <w:b/>
                <w:bCs/>
                <w:sz w:val="18"/>
                <w:szCs w:val="18"/>
              </w:rPr>
            </w:pPr>
          </w:p>
        </w:tc>
      </w:tr>
      <w:tr w:rsidR="00F234CD" w:rsidRPr="00631C1C" w14:paraId="7F7B6407" w14:textId="77777777" w:rsidTr="00CC70C4">
        <w:trPr>
          <w:trHeight w:val="52"/>
          <w:jc w:val="right"/>
        </w:trPr>
        <w:tc>
          <w:tcPr>
            <w:tcW w:w="284" w:type="dxa"/>
            <w:tcBorders>
              <w:top w:val="nil"/>
            </w:tcBorders>
            <w:noWrap/>
            <w:hideMark/>
          </w:tcPr>
          <w:p w14:paraId="3408644D" w14:textId="77777777" w:rsidR="00312042" w:rsidRPr="00CB7E8A" w:rsidRDefault="00312042" w:rsidP="00CB7E8A">
            <w:pPr>
              <w:spacing w:before="40" w:after="40"/>
              <w:rPr>
                <w:sz w:val="18"/>
                <w:szCs w:val="18"/>
              </w:rPr>
            </w:pPr>
          </w:p>
        </w:tc>
        <w:tc>
          <w:tcPr>
            <w:tcW w:w="6946" w:type="dxa"/>
            <w:tcBorders>
              <w:top w:val="nil"/>
            </w:tcBorders>
            <w:noWrap/>
            <w:vAlign w:val="center"/>
            <w:hideMark/>
          </w:tcPr>
          <w:p w14:paraId="40FCB976" w14:textId="668C4AEB" w:rsidR="00312042" w:rsidRPr="00CB7E8A" w:rsidRDefault="00312042" w:rsidP="00CB7E8A">
            <w:pPr>
              <w:spacing w:before="40" w:after="40"/>
              <w:rPr>
                <w:sz w:val="18"/>
                <w:szCs w:val="18"/>
              </w:rPr>
            </w:pPr>
            <w:r w:rsidRPr="00CB7E8A">
              <w:rPr>
                <w:sz w:val="18"/>
                <w:szCs w:val="18"/>
              </w:rPr>
              <w:t>1.1.</w:t>
            </w:r>
            <w:r w:rsidR="006D5BCD">
              <w:rPr>
                <w:sz w:val="18"/>
                <w:szCs w:val="18"/>
              </w:rPr>
              <w:t xml:space="preserve"> </w:t>
            </w:r>
            <w:r w:rsidRPr="00CB7E8A">
              <w:rPr>
                <w:sz w:val="18"/>
                <w:szCs w:val="18"/>
              </w:rPr>
              <w:t>Seventh meeting</w:t>
            </w:r>
          </w:p>
        </w:tc>
        <w:tc>
          <w:tcPr>
            <w:tcW w:w="1275" w:type="dxa"/>
            <w:tcBorders>
              <w:top w:val="nil"/>
            </w:tcBorders>
            <w:noWrap/>
            <w:vAlign w:val="center"/>
            <w:hideMark/>
          </w:tcPr>
          <w:p w14:paraId="3A63C0E4"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FEBC4E5" w14:textId="77777777" w:rsidR="00312042" w:rsidRPr="00CB7E8A" w:rsidRDefault="00312042" w:rsidP="00CB7E8A">
            <w:pPr>
              <w:spacing w:before="40" w:after="40"/>
              <w:jc w:val="right"/>
              <w:rPr>
                <w:sz w:val="18"/>
                <w:szCs w:val="18"/>
              </w:rPr>
            </w:pPr>
            <w:r w:rsidRPr="00CB7E8A">
              <w:rPr>
                <w:sz w:val="18"/>
                <w:szCs w:val="18"/>
              </w:rPr>
              <w:t>1 045 000</w:t>
            </w:r>
          </w:p>
        </w:tc>
        <w:tc>
          <w:tcPr>
            <w:tcW w:w="1276" w:type="dxa"/>
            <w:tcBorders>
              <w:top w:val="nil"/>
            </w:tcBorders>
            <w:noWrap/>
            <w:vAlign w:val="center"/>
            <w:hideMark/>
          </w:tcPr>
          <w:p w14:paraId="32ED4568" w14:textId="77777777" w:rsidR="00312042" w:rsidRPr="00CB7E8A" w:rsidRDefault="00312042" w:rsidP="00CB7E8A">
            <w:pPr>
              <w:spacing w:before="40" w:after="40"/>
              <w:jc w:val="right"/>
              <w:rPr>
                <w:sz w:val="18"/>
                <w:szCs w:val="18"/>
              </w:rPr>
            </w:pPr>
            <w:r w:rsidRPr="00CB7E8A">
              <w:rPr>
                <w:sz w:val="18"/>
                <w:szCs w:val="18"/>
              </w:rPr>
              <w:t>1 045 000</w:t>
            </w:r>
          </w:p>
        </w:tc>
        <w:tc>
          <w:tcPr>
            <w:tcW w:w="1134" w:type="dxa"/>
            <w:tcBorders>
              <w:top w:val="nil"/>
            </w:tcBorders>
            <w:noWrap/>
            <w:vAlign w:val="center"/>
            <w:hideMark/>
          </w:tcPr>
          <w:p w14:paraId="538C73CF"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E439B8C" w14:textId="77777777" w:rsidR="00312042" w:rsidRPr="00CB7E8A" w:rsidRDefault="00312042" w:rsidP="00CB7E8A">
            <w:pPr>
              <w:spacing w:before="40" w:after="40"/>
              <w:jc w:val="right"/>
              <w:rPr>
                <w:sz w:val="18"/>
                <w:szCs w:val="18"/>
              </w:rPr>
            </w:pPr>
            <w:r w:rsidRPr="00CB7E8A">
              <w:rPr>
                <w:sz w:val="18"/>
                <w:szCs w:val="18"/>
              </w:rPr>
              <w:t>475 000</w:t>
            </w:r>
          </w:p>
        </w:tc>
        <w:tc>
          <w:tcPr>
            <w:tcW w:w="1245" w:type="dxa"/>
            <w:tcBorders>
              <w:top w:val="nil"/>
            </w:tcBorders>
            <w:noWrap/>
            <w:vAlign w:val="center"/>
            <w:hideMark/>
          </w:tcPr>
          <w:p w14:paraId="12B3316A" w14:textId="77777777" w:rsidR="00312042" w:rsidRPr="00CB7E8A" w:rsidRDefault="00312042" w:rsidP="00CB7E8A">
            <w:pPr>
              <w:spacing w:before="40" w:after="40"/>
              <w:jc w:val="right"/>
              <w:rPr>
                <w:sz w:val="18"/>
                <w:szCs w:val="18"/>
              </w:rPr>
            </w:pPr>
            <w:r w:rsidRPr="00CB7E8A">
              <w:rPr>
                <w:sz w:val="18"/>
                <w:szCs w:val="18"/>
              </w:rPr>
              <w:t>475 000</w:t>
            </w:r>
          </w:p>
        </w:tc>
      </w:tr>
      <w:tr w:rsidR="00F234CD" w:rsidRPr="00631C1C" w14:paraId="3FFC7861" w14:textId="77777777" w:rsidTr="006C1159">
        <w:trPr>
          <w:trHeight w:val="183"/>
          <w:jc w:val="right"/>
        </w:trPr>
        <w:tc>
          <w:tcPr>
            <w:tcW w:w="284" w:type="dxa"/>
            <w:noWrap/>
            <w:hideMark/>
          </w:tcPr>
          <w:p w14:paraId="3BB96D69" w14:textId="77777777" w:rsidR="00312042" w:rsidRPr="00CB7E8A" w:rsidRDefault="00312042" w:rsidP="00CB7E8A">
            <w:pPr>
              <w:spacing w:before="40" w:after="40"/>
              <w:rPr>
                <w:sz w:val="18"/>
                <w:szCs w:val="18"/>
              </w:rPr>
            </w:pPr>
          </w:p>
        </w:tc>
        <w:tc>
          <w:tcPr>
            <w:tcW w:w="6946" w:type="dxa"/>
            <w:noWrap/>
            <w:vAlign w:val="center"/>
            <w:hideMark/>
          </w:tcPr>
          <w:p w14:paraId="53A71B34" w14:textId="5F150986" w:rsidR="00312042" w:rsidRPr="00CB7E8A" w:rsidRDefault="00312042" w:rsidP="00CB7E8A">
            <w:pPr>
              <w:spacing w:before="40" w:after="40"/>
              <w:rPr>
                <w:sz w:val="18"/>
                <w:szCs w:val="18"/>
              </w:rPr>
            </w:pPr>
            <w:r w:rsidRPr="00CB7E8A">
              <w:rPr>
                <w:sz w:val="18"/>
                <w:szCs w:val="18"/>
              </w:rPr>
              <w:t>1.2.</w:t>
            </w:r>
            <w:r w:rsidR="006D5BCD">
              <w:rPr>
                <w:sz w:val="18"/>
                <w:szCs w:val="18"/>
              </w:rPr>
              <w:t xml:space="preserve"> </w:t>
            </w:r>
            <w:r w:rsidRPr="00CB7E8A">
              <w:rPr>
                <w:sz w:val="18"/>
                <w:szCs w:val="18"/>
              </w:rPr>
              <w:t>Regional preparatory meetings</w:t>
            </w:r>
          </w:p>
        </w:tc>
        <w:tc>
          <w:tcPr>
            <w:tcW w:w="1275" w:type="dxa"/>
            <w:noWrap/>
            <w:vAlign w:val="center"/>
            <w:hideMark/>
          </w:tcPr>
          <w:p w14:paraId="4CCB6D5C" w14:textId="77777777" w:rsidR="00312042" w:rsidRPr="00CB7E8A" w:rsidRDefault="00312042" w:rsidP="00CB7E8A">
            <w:pPr>
              <w:spacing w:before="40" w:after="40"/>
              <w:jc w:val="right"/>
              <w:rPr>
                <w:sz w:val="18"/>
                <w:szCs w:val="18"/>
              </w:rPr>
            </w:pPr>
          </w:p>
        </w:tc>
        <w:tc>
          <w:tcPr>
            <w:tcW w:w="1134" w:type="dxa"/>
            <w:noWrap/>
            <w:vAlign w:val="center"/>
            <w:hideMark/>
          </w:tcPr>
          <w:p w14:paraId="332F4999" w14:textId="77777777" w:rsidR="00312042" w:rsidRPr="00CB7E8A" w:rsidRDefault="00312042" w:rsidP="00CB7E8A">
            <w:pPr>
              <w:spacing w:before="40" w:after="40"/>
              <w:jc w:val="right"/>
              <w:rPr>
                <w:sz w:val="18"/>
                <w:szCs w:val="18"/>
              </w:rPr>
            </w:pPr>
          </w:p>
        </w:tc>
        <w:tc>
          <w:tcPr>
            <w:tcW w:w="1276" w:type="dxa"/>
            <w:noWrap/>
            <w:vAlign w:val="center"/>
            <w:hideMark/>
          </w:tcPr>
          <w:p w14:paraId="382750FE" w14:textId="77777777" w:rsidR="00312042" w:rsidRPr="00CB7E8A" w:rsidRDefault="00312042" w:rsidP="00CB7E8A">
            <w:pPr>
              <w:spacing w:before="40" w:after="40"/>
              <w:jc w:val="right"/>
              <w:rPr>
                <w:sz w:val="18"/>
                <w:szCs w:val="18"/>
              </w:rPr>
            </w:pPr>
          </w:p>
        </w:tc>
        <w:tc>
          <w:tcPr>
            <w:tcW w:w="1134" w:type="dxa"/>
            <w:noWrap/>
            <w:vAlign w:val="center"/>
            <w:hideMark/>
          </w:tcPr>
          <w:p w14:paraId="575AF504" w14:textId="77777777" w:rsidR="00312042" w:rsidRPr="00CB7E8A" w:rsidRDefault="00312042" w:rsidP="00CB7E8A">
            <w:pPr>
              <w:spacing w:before="40" w:after="40"/>
              <w:jc w:val="right"/>
              <w:rPr>
                <w:sz w:val="18"/>
                <w:szCs w:val="18"/>
              </w:rPr>
            </w:pPr>
          </w:p>
        </w:tc>
        <w:tc>
          <w:tcPr>
            <w:tcW w:w="1134" w:type="dxa"/>
            <w:noWrap/>
            <w:vAlign w:val="center"/>
            <w:hideMark/>
          </w:tcPr>
          <w:p w14:paraId="57768500" w14:textId="77777777" w:rsidR="00312042" w:rsidRPr="00CB7E8A" w:rsidRDefault="00312042" w:rsidP="00CB7E8A">
            <w:pPr>
              <w:spacing w:before="40" w:after="40"/>
              <w:jc w:val="right"/>
              <w:rPr>
                <w:sz w:val="18"/>
                <w:szCs w:val="18"/>
              </w:rPr>
            </w:pPr>
            <w:r w:rsidRPr="00CB7E8A">
              <w:rPr>
                <w:sz w:val="18"/>
                <w:szCs w:val="18"/>
              </w:rPr>
              <w:t>420 000</w:t>
            </w:r>
          </w:p>
        </w:tc>
        <w:tc>
          <w:tcPr>
            <w:tcW w:w="1245" w:type="dxa"/>
            <w:noWrap/>
            <w:vAlign w:val="center"/>
            <w:hideMark/>
          </w:tcPr>
          <w:p w14:paraId="78D93613" w14:textId="77777777" w:rsidR="00312042" w:rsidRPr="00CB7E8A" w:rsidRDefault="00312042" w:rsidP="00CB7E8A">
            <w:pPr>
              <w:spacing w:before="40" w:after="40"/>
              <w:jc w:val="right"/>
              <w:rPr>
                <w:sz w:val="18"/>
                <w:szCs w:val="18"/>
              </w:rPr>
            </w:pPr>
            <w:r w:rsidRPr="00CB7E8A">
              <w:rPr>
                <w:sz w:val="18"/>
                <w:szCs w:val="18"/>
              </w:rPr>
              <w:t>420 000</w:t>
            </w:r>
          </w:p>
        </w:tc>
      </w:tr>
      <w:tr w:rsidR="00F234CD" w:rsidRPr="00631C1C" w14:paraId="7BDEB6F7" w14:textId="77777777" w:rsidTr="009A58EE">
        <w:trPr>
          <w:trHeight w:val="315"/>
          <w:jc w:val="right"/>
        </w:trPr>
        <w:tc>
          <w:tcPr>
            <w:tcW w:w="7230" w:type="dxa"/>
            <w:gridSpan w:val="2"/>
            <w:shd w:val="clear" w:color="000000" w:fill="B4C6E7"/>
            <w:noWrap/>
            <w:vAlign w:val="center"/>
            <w:hideMark/>
          </w:tcPr>
          <w:p w14:paraId="53A2F648" w14:textId="77777777" w:rsidR="00312042" w:rsidRPr="00CB7E8A" w:rsidRDefault="00312042" w:rsidP="00CB7E8A">
            <w:pPr>
              <w:spacing w:before="40" w:after="40"/>
              <w:rPr>
                <w:b/>
                <w:bCs/>
                <w:sz w:val="18"/>
                <w:szCs w:val="18"/>
              </w:rPr>
            </w:pPr>
            <w:r w:rsidRPr="00CB7E8A">
              <w:rPr>
                <w:b/>
                <w:bCs/>
                <w:sz w:val="18"/>
                <w:szCs w:val="18"/>
              </w:rPr>
              <w:t>1. Seventh meeting of the Conference of the Parties</w:t>
            </w:r>
          </w:p>
        </w:tc>
        <w:tc>
          <w:tcPr>
            <w:tcW w:w="1275" w:type="dxa"/>
            <w:shd w:val="clear" w:color="000000" w:fill="B4C6E7"/>
            <w:noWrap/>
            <w:vAlign w:val="center"/>
            <w:hideMark/>
          </w:tcPr>
          <w:p w14:paraId="2DCF0837"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7A7AFA92"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276" w:type="dxa"/>
            <w:shd w:val="clear" w:color="000000" w:fill="B4C6E7"/>
            <w:noWrap/>
            <w:vAlign w:val="center"/>
            <w:hideMark/>
          </w:tcPr>
          <w:p w14:paraId="5AEBB603"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134" w:type="dxa"/>
            <w:shd w:val="clear" w:color="000000" w:fill="B4C6E7"/>
            <w:noWrap/>
            <w:vAlign w:val="center"/>
            <w:hideMark/>
          </w:tcPr>
          <w:p w14:paraId="1FB27E6A"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DA85C83" w14:textId="77777777" w:rsidR="00312042" w:rsidRPr="00CB7E8A" w:rsidRDefault="00312042" w:rsidP="00CB7E8A">
            <w:pPr>
              <w:spacing w:before="40" w:after="40"/>
              <w:jc w:val="right"/>
              <w:rPr>
                <w:b/>
                <w:bCs/>
                <w:sz w:val="18"/>
                <w:szCs w:val="18"/>
              </w:rPr>
            </w:pPr>
            <w:r w:rsidRPr="00CB7E8A">
              <w:rPr>
                <w:b/>
                <w:bCs/>
                <w:sz w:val="18"/>
                <w:szCs w:val="18"/>
              </w:rPr>
              <w:t>895 000</w:t>
            </w:r>
          </w:p>
        </w:tc>
        <w:tc>
          <w:tcPr>
            <w:tcW w:w="1245" w:type="dxa"/>
            <w:shd w:val="clear" w:color="000000" w:fill="B4C6E7"/>
            <w:noWrap/>
            <w:vAlign w:val="center"/>
            <w:hideMark/>
          </w:tcPr>
          <w:p w14:paraId="5EF1C350" w14:textId="77777777" w:rsidR="00312042" w:rsidRPr="00CB7E8A" w:rsidRDefault="00312042" w:rsidP="00CB7E8A">
            <w:pPr>
              <w:spacing w:before="40" w:after="40"/>
              <w:jc w:val="right"/>
              <w:rPr>
                <w:b/>
                <w:bCs/>
                <w:sz w:val="18"/>
                <w:szCs w:val="18"/>
              </w:rPr>
            </w:pPr>
            <w:r w:rsidRPr="00CB7E8A">
              <w:rPr>
                <w:b/>
                <w:bCs/>
                <w:sz w:val="18"/>
                <w:szCs w:val="18"/>
              </w:rPr>
              <w:t>895 000</w:t>
            </w:r>
          </w:p>
        </w:tc>
      </w:tr>
      <w:tr w:rsidR="00F234CD" w:rsidRPr="00631C1C" w14:paraId="2869B899" w14:textId="77777777" w:rsidTr="006C1159">
        <w:trPr>
          <w:trHeight w:val="163"/>
          <w:jc w:val="right"/>
        </w:trPr>
        <w:tc>
          <w:tcPr>
            <w:tcW w:w="7230" w:type="dxa"/>
            <w:gridSpan w:val="2"/>
            <w:noWrap/>
            <w:vAlign w:val="center"/>
            <w:hideMark/>
          </w:tcPr>
          <w:p w14:paraId="2A1E18F1" w14:textId="77777777" w:rsidR="00312042" w:rsidRPr="00CB7E8A" w:rsidRDefault="00312042" w:rsidP="00CB7E8A">
            <w:pPr>
              <w:spacing w:before="40" w:after="40"/>
              <w:rPr>
                <w:b/>
                <w:bCs/>
                <w:sz w:val="18"/>
                <w:szCs w:val="18"/>
              </w:rPr>
            </w:pPr>
            <w:r w:rsidRPr="00CB7E8A">
              <w:rPr>
                <w:b/>
                <w:bCs/>
                <w:sz w:val="18"/>
                <w:szCs w:val="18"/>
              </w:rPr>
              <w:t>2. Bureau of the Conference of the Parties</w:t>
            </w:r>
          </w:p>
        </w:tc>
        <w:tc>
          <w:tcPr>
            <w:tcW w:w="1275" w:type="dxa"/>
            <w:noWrap/>
            <w:vAlign w:val="center"/>
            <w:hideMark/>
          </w:tcPr>
          <w:p w14:paraId="5FAFAF17" w14:textId="77777777" w:rsidR="00312042" w:rsidRPr="00CB7E8A" w:rsidRDefault="00312042" w:rsidP="00CB7E8A">
            <w:pPr>
              <w:spacing w:before="40" w:after="40"/>
              <w:jc w:val="right"/>
              <w:rPr>
                <w:b/>
                <w:bCs/>
                <w:sz w:val="18"/>
                <w:szCs w:val="18"/>
              </w:rPr>
            </w:pPr>
          </w:p>
        </w:tc>
        <w:tc>
          <w:tcPr>
            <w:tcW w:w="1134" w:type="dxa"/>
            <w:noWrap/>
            <w:vAlign w:val="center"/>
            <w:hideMark/>
          </w:tcPr>
          <w:p w14:paraId="71DCE184" w14:textId="77777777" w:rsidR="00312042" w:rsidRPr="00CB7E8A" w:rsidRDefault="00312042" w:rsidP="00CB7E8A">
            <w:pPr>
              <w:spacing w:before="40" w:after="40"/>
              <w:jc w:val="right"/>
              <w:rPr>
                <w:b/>
                <w:bCs/>
                <w:sz w:val="18"/>
                <w:szCs w:val="18"/>
              </w:rPr>
            </w:pPr>
          </w:p>
        </w:tc>
        <w:tc>
          <w:tcPr>
            <w:tcW w:w="1276" w:type="dxa"/>
            <w:noWrap/>
            <w:vAlign w:val="center"/>
            <w:hideMark/>
          </w:tcPr>
          <w:p w14:paraId="41C46ED4" w14:textId="77777777" w:rsidR="00312042" w:rsidRPr="00CB7E8A" w:rsidRDefault="00312042" w:rsidP="00CB7E8A">
            <w:pPr>
              <w:spacing w:before="40" w:after="40"/>
              <w:jc w:val="right"/>
              <w:rPr>
                <w:b/>
                <w:bCs/>
                <w:sz w:val="18"/>
                <w:szCs w:val="18"/>
              </w:rPr>
            </w:pPr>
          </w:p>
        </w:tc>
        <w:tc>
          <w:tcPr>
            <w:tcW w:w="1134" w:type="dxa"/>
            <w:noWrap/>
            <w:vAlign w:val="center"/>
            <w:hideMark/>
          </w:tcPr>
          <w:p w14:paraId="27DC87D2" w14:textId="77777777" w:rsidR="00312042" w:rsidRPr="00CB7E8A" w:rsidRDefault="00312042" w:rsidP="00CB7E8A">
            <w:pPr>
              <w:spacing w:before="40" w:after="40"/>
              <w:jc w:val="right"/>
              <w:rPr>
                <w:b/>
                <w:bCs/>
                <w:sz w:val="18"/>
                <w:szCs w:val="18"/>
              </w:rPr>
            </w:pPr>
          </w:p>
        </w:tc>
        <w:tc>
          <w:tcPr>
            <w:tcW w:w="1134" w:type="dxa"/>
            <w:noWrap/>
            <w:vAlign w:val="center"/>
            <w:hideMark/>
          </w:tcPr>
          <w:p w14:paraId="52533DBB" w14:textId="77777777" w:rsidR="00312042" w:rsidRPr="00CB7E8A" w:rsidRDefault="00312042" w:rsidP="00CB7E8A">
            <w:pPr>
              <w:spacing w:before="40" w:after="40"/>
              <w:jc w:val="right"/>
              <w:rPr>
                <w:b/>
                <w:bCs/>
                <w:sz w:val="18"/>
                <w:szCs w:val="18"/>
              </w:rPr>
            </w:pPr>
          </w:p>
        </w:tc>
        <w:tc>
          <w:tcPr>
            <w:tcW w:w="1245" w:type="dxa"/>
            <w:noWrap/>
            <w:vAlign w:val="center"/>
            <w:hideMark/>
          </w:tcPr>
          <w:p w14:paraId="5E7422D9" w14:textId="77777777" w:rsidR="00312042" w:rsidRPr="00CB7E8A" w:rsidRDefault="00312042" w:rsidP="00CB7E8A">
            <w:pPr>
              <w:spacing w:before="40" w:after="40"/>
              <w:jc w:val="right"/>
              <w:rPr>
                <w:b/>
                <w:bCs/>
                <w:sz w:val="18"/>
                <w:szCs w:val="18"/>
              </w:rPr>
            </w:pPr>
          </w:p>
        </w:tc>
      </w:tr>
      <w:tr w:rsidR="00F234CD" w:rsidRPr="00631C1C" w14:paraId="552D82EC" w14:textId="77777777" w:rsidTr="006C1159">
        <w:trPr>
          <w:trHeight w:val="52"/>
          <w:jc w:val="right"/>
        </w:trPr>
        <w:tc>
          <w:tcPr>
            <w:tcW w:w="284" w:type="dxa"/>
            <w:tcBorders>
              <w:bottom w:val="nil"/>
            </w:tcBorders>
            <w:noWrap/>
            <w:hideMark/>
          </w:tcPr>
          <w:p w14:paraId="7ADB9048" w14:textId="77777777" w:rsidR="00312042" w:rsidRPr="00CB7E8A" w:rsidRDefault="00312042" w:rsidP="00CB7E8A">
            <w:pPr>
              <w:spacing w:before="40" w:after="40"/>
              <w:rPr>
                <w:sz w:val="18"/>
                <w:szCs w:val="18"/>
              </w:rPr>
            </w:pPr>
            <w:r w:rsidRPr="00CB7E8A">
              <w:rPr>
                <w:sz w:val="18"/>
                <w:szCs w:val="18"/>
              </w:rPr>
              <w:t> </w:t>
            </w:r>
          </w:p>
        </w:tc>
        <w:tc>
          <w:tcPr>
            <w:tcW w:w="6946" w:type="dxa"/>
            <w:tcBorders>
              <w:bottom w:val="nil"/>
            </w:tcBorders>
            <w:noWrap/>
            <w:vAlign w:val="center"/>
            <w:hideMark/>
          </w:tcPr>
          <w:p w14:paraId="543B1E07" w14:textId="76816976" w:rsidR="00312042" w:rsidRPr="00CB7E8A" w:rsidRDefault="00312042" w:rsidP="00CB7E8A">
            <w:pPr>
              <w:spacing w:before="40" w:after="40"/>
              <w:rPr>
                <w:sz w:val="18"/>
                <w:szCs w:val="18"/>
              </w:rPr>
            </w:pPr>
            <w:r w:rsidRPr="00CB7E8A">
              <w:rPr>
                <w:sz w:val="18"/>
                <w:szCs w:val="18"/>
              </w:rPr>
              <w:t>2.1</w:t>
            </w:r>
            <w:r w:rsidR="006512CC" w:rsidRPr="00CB7E8A">
              <w:rPr>
                <w:sz w:val="18"/>
                <w:szCs w:val="18"/>
              </w:rPr>
              <w:t>.</w:t>
            </w:r>
            <w:r w:rsidRPr="00CB7E8A">
              <w:rPr>
                <w:sz w:val="18"/>
                <w:szCs w:val="18"/>
              </w:rPr>
              <w:t xml:space="preserve"> Meetings of the Bureau</w:t>
            </w:r>
          </w:p>
        </w:tc>
        <w:tc>
          <w:tcPr>
            <w:tcW w:w="1275" w:type="dxa"/>
            <w:tcBorders>
              <w:bottom w:val="nil"/>
            </w:tcBorders>
            <w:noWrap/>
            <w:vAlign w:val="center"/>
            <w:hideMark/>
          </w:tcPr>
          <w:p w14:paraId="7AFBE6C1" w14:textId="77777777" w:rsidR="00312042" w:rsidRPr="00CB7E8A" w:rsidRDefault="00312042" w:rsidP="00CB7E8A">
            <w:pPr>
              <w:spacing w:before="40" w:after="40"/>
              <w:jc w:val="right"/>
              <w:rPr>
                <w:sz w:val="18"/>
                <w:szCs w:val="18"/>
              </w:rPr>
            </w:pPr>
            <w:r w:rsidRPr="00CB7E8A">
              <w:rPr>
                <w:sz w:val="18"/>
                <w:szCs w:val="18"/>
              </w:rPr>
              <w:t>26 000</w:t>
            </w:r>
          </w:p>
        </w:tc>
        <w:tc>
          <w:tcPr>
            <w:tcW w:w="1134" w:type="dxa"/>
            <w:tcBorders>
              <w:bottom w:val="nil"/>
            </w:tcBorders>
            <w:noWrap/>
            <w:vAlign w:val="center"/>
            <w:hideMark/>
          </w:tcPr>
          <w:p w14:paraId="2CD06FC1" w14:textId="77777777" w:rsidR="00312042" w:rsidRPr="00CB7E8A" w:rsidRDefault="00312042" w:rsidP="00CB7E8A">
            <w:pPr>
              <w:spacing w:before="40" w:after="40"/>
              <w:jc w:val="right"/>
              <w:rPr>
                <w:sz w:val="18"/>
                <w:szCs w:val="18"/>
              </w:rPr>
            </w:pPr>
          </w:p>
        </w:tc>
        <w:tc>
          <w:tcPr>
            <w:tcW w:w="1276" w:type="dxa"/>
            <w:tcBorders>
              <w:bottom w:val="nil"/>
            </w:tcBorders>
            <w:noWrap/>
            <w:vAlign w:val="center"/>
            <w:hideMark/>
          </w:tcPr>
          <w:p w14:paraId="535BF97B" w14:textId="77777777" w:rsidR="00312042" w:rsidRPr="00CB7E8A" w:rsidRDefault="00312042" w:rsidP="00CB7E8A">
            <w:pPr>
              <w:spacing w:before="40" w:after="40"/>
              <w:jc w:val="right"/>
              <w:rPr>
                <w:sz w:val="18"/>
                <w:szCs w:val="18"/>
              </w:rPr>
            </w:pPr>
            <w:r w:rsidRPr="00CB7E8A">
              <w:rPr>
                <w:sz w:val="18"/>
                <w:szCs w:val="18"/>
              </w:rPr>
              <w:t>26 000</w:t>
            </w:r>
          </w:p>
        </w:tc>
        <w:tc>
          <w:tcPr>
            <w:tcW w:w="1134" w:type="dxa"/>
            <w:tcBorders>
              <w:bottom w:val="nil"/>
            </w:tcBorders>
            <w:noWrap/>
            <w:vAlign w:val="center"/>
            <w:hideMark/>
          </w:tcPr>
          <w:p w14:paraId="0A7ED0A2" w14:textId="77777777" w:rsidR="00312042" w:rsidRPr="00CB7E8A" w:rsidRDefault="00312042" w:rsidP="00CB7E8A">
            <w:pPr>
              <w:spacing w:before="40" w:after="40"/>
              <w:jc w:val="right"/>
              <w:rPr>
                <w:sz w:val="18"/>
                <w:szCs w:val="18"/>
              </w:rPr>
            </w:pPr>
          </w:p>
        </w:tc>
        <w:tc>
          <w:tcPr>
            <w:tcW w:w="1134" w:type="dxa"/>
            <w:tcBorders>
              <w:bottom w:val="nil"/>
            </w:tcBorders>
            <w:noWrap/>
            <w:vAlign w:val="center"/>
            <w:hideMark/>
          </w:tcPr>
          <w:p w14:paraId="3E168E60" w14:textId="77777777" w:rsidR="00312042" w:rsidRPr="00CB7E8A" w:rsidRDefault="00312042" w:rsidP="00CB7E8A">
            <w:pPr>
              <w:spacing w:before="40" w:after="40"/>
              <w:jc w:val="right"/>
              <w:rPr>
                <w:sz w:val="18"/>
                <w:szCs w:val="18"/>
              </w:rPr>
            </w:pPr>
          </w:p>
        </w:tc>
        <w:tc>
          <w:tcPr>
            <w:tcW w:w="1245" w:type="dxa"/>
            <w:tcBorders>
              <w:bottom w:val="nil"/>
            </w:tcBorders>
            <w:noWrap/>
            <w:vAlign w:val="center"/>
            <w:hideMark/>
          </w:tcPr>
          <w:p w14:paraId="0260C335" w14:textId="77777777" w:rsidR="00312042" w:rsidRPr="00CB7E8A" w:rsidRDefault="00312042" w:rsidP="00CB7E8A">
            <w:pPr>
              <w:spacing w:before="40" w:after="40"/>
              <w:jc w:val="right"/>
              <w:rPr>
                <w:sz w:val="18"/>
                <w:szCs w:val="18"/>
              </w:rPr>
            </w:pPr>
          </w:p>
        </w:tc>
      </w:tr>
      <w:tr w:rsidR="00F234CD" w:rsidRPr="00631C1C" w14:paraId="45C6F90A" w14:textId="77777777" w:rsidTr="009A58EE">
        <w:trPr>
          <w:trHeight w:val="315"/>
          <w:jc w:val="right"/>
        </w:trPr>
        <w:tc>
          <w:tcPr>
            <w:tcW w:w="7230" w:type="dxa"/>
            <w:gridSpan w:val="2"/>
            <w:shd w:val="clear" w:color="000000" w:fill="B4C6E7"/>
            <w:noWrap/>
            <w:vAlign w:val="center"/>
            <w:hideMark/>
          </w:tcPr>
          <w:p w14:paraId="4E047A31" w14:textId="77777777" w:rsidR="00312042" w:rsidRPr="00CB7E8A" w:rsidRDefault="00312042" w:rsidP="00CB7E8A">
            <w:pPr>
              <w:spacing w:before="40" w:after="40"/>
              <w:rPr>
                <w:b/>
                <w:bCs/>
                <w:sz w:val="18"/>
                <w:szCs w:val="18"/>
              </w:rPr>
            </w:pPr>
            <w:r w:rsidRPr="00CB7E8A">
              <w:rPr>
                <w:b/>
                <w:bCs/>
                <w:sz w:val="18"/>
                <w:szCs w:val="18"/>
              </w:rPr>
              <w:t>2. Bureau of the Conference of the Parties</w:t>
            </w:r>
          </w:p>
        </w:tc>
        <w:tc>
          <w:tcPr>
            <w:tcW w:w="1275" w:type="dxa"/>
            <w:shd w:val="clear" w:color="000000" w:fill="B4C6E7"/>
            <w:noWrap/>
            <w:vAlign w:val="center"/>
            <w:hideMark/>
          </w:tcPr>
          <w:p w14:paraId="1CD08E35" w14:textId="77777777" w:rsidR="00312042" w:rsidRPr="00CB7E8A" w:rsidRDefault="00312042" w:rsidP="00CB7E8A">
            <w:pPr>
              <w:spacing w:before="40" w:after="40"/>
              <w:jc w:val="right"/>
              <w:rPr>
                <w:b/>
                <w:bCs/>
                <w:sz w:val="18"/>
                <w:szCs w:val="18"/>
              </w:rPr>
            </w:pPr>
            <w:r w:rsidRPr="00CB7E8A">
              <w:rPr>
                <w:b/>
                <w:bCs/>
                <w:sz w:val="18"/>
                <w:szCs w:val="18"/>
              </w:rPr>
              <w:t>26 000</w:t>
            </w:r>
          </w:p>
        </w:tc>
        <w:tc>
          <w:tcPr>
            <w:tcW w:w="1134" w:type="dxa"/>
            <w:shd w:val="clear" w:color="000000" w:fill="B4C6E7"/>
            <w:noWrap/>
            <w:vAlign w:val="center"/>
            <w:hideMark/>
          </w:tcPr>
          <w:p w14:paraId="07EC4A05"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0EE04F3A" w14:textId="77777777" w:rsidR="00312042" w:rsidRPr="00CB7E8A" w:rsidRDefault="00312042" w:rsidP="00CB7E8A">
            <w:pPr>
              <w:spacing w:before="40" w:after="40"/>
              <w:jc w:val="right"/>
              <w:rPr>
                <w:b/>
                <w:bCs/>
                <w:sz w:val="18"/>
                <w:szCs w:val="18"/>
              </w:rPr>
            </w:pPr>
            <w:r w:rsidRPr="00CB7E8A">
              <w:rPr>
                <w:b/>
                <w:bCs/>
                <w:sz w:val="18"/>
                <w:szCs w:val="18"/>
              </w:rPr>
              <w:t>26 000</w:t>
            </w:r>
          </w:p>
        </w:tc>
        <w:tc>
          <w:tcPr>
            <w:tcW w:w="1134" w:type="dxa"/>
            <w:shd w:val="clear" w:color="000000" w:fill="B4C6E7"/>
            <w:noWrap/>
            <w:vAlign w:val="center"/>
            <w:hideMark/>
          </w:tcPr>
          <w:p w14:paraId="4E4C1A65"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589D629E"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28DD1DA5" w14:textId="77777777" w:rsidR="00312042" w:rsidRPr="00CB7E8A" w:rsidRDefault="00312042" w:rsidP="00CB7E8A">
            <w:pPr>
              <w:spacing w:before="40" w:after="40"/>
              <w:jc w:val="right"/>
              <w:rPr>
                <w:b/>
                <w:bCs/>
                <w:sz w:val="18"/>
                <w:szCs w:val="18"/>
              </w:rPr>
            </w:pPr>
          </w:p>
        </w:tc>
      </w:tr>
      <w:tr w:rsidR="00F234CD" w:rsidRPr="00631C1C" w14:paraId="24FC70A5" w14:textId="77777777" w:rsidTr="006C1159">
        <w:trPr>
          <w:trHeight w:val="52"/>
          <w:jc w:val="right"/>
        </w:trPr>
        <w:tc>
          <w:tcPr>
            <w:tcW w:w="7230" w:type="dxa"/>
            <w:gridSpan w:val="2"/>
            <w:noWrap/>
            <w:vAlign w:val="center"/>
            <w:hideMark/>
          </w:tcPr>
          <w:p w14:paraId="7D4CD403" w14:textId="22436D6F" w:rsidR="00312042" w:rsidRPr="00CB7E8A" w:rsidRDefault="00312042" w:rsidP="00CB7E8A">
            <w:pPr>
              <w:spacing w:before="40" w:after="40"/>
              <w:rPr>
                <w:b/>
                <w:bCs/>
                <w:sz w:val="18"/>
                <w:szCs w:val="18"/>
              </w:rPr>
            </w:pPr>
            <w:r w:rsidRPr="00CB7E8A">
              <w:rPr>
                <w:b/>
                <w:bCs/>
                <w:sz w:val="18"/>
                <w:szCs w:val="18"/>
              </w:rPr>
              <w:t xml:space="preserve">3. Implementation and </w:t>
            </w:r>
            <w:r w:rsidR="00D96C37" w:rsidRPr="00CB7E8A">
              <w:rPr>
                <w:b/>
                <w:bCs/>
                <w:sz w:val="18"/>
                <w:szCs w:val="18"/>
              </w:rPr>
              <w:t>C</w:t>
            </w:r>
            <w:r w:rsidRPr="00CB7E8A">
              <w:rPr>
                <w:b/>
                <w:bCs/>
                <w:sz w:val="18"/>
                <w:szCs w:val="18"/>
              </w:rPr>
              <w:t xml:space="preserve">ompliance </w:t>
            </w:r>
            <w:r w:rsidR="00D96C37" w:rsidRPr="00CB7E8A">
              <w:rPr>
                <w:b/>
                <w:bCs/>
                <w:sz w:val="18"/>
                <w:szCs w:val="18"/>
              </w:rPr>
              <w:t>C</w:t>
            </w:r>
            <w:r w:rsidRPr="00CB7E8A">
              <w:rPr>
                <w:b/>
                <w:bCs/>
                <w:sz w:val="18"/>
                <w:szCs w:val="18"/>
              </w:rPr>
              <w:t>ommittee</w:t>
            </w:r>
          </w:p>
        </w:tc>
        <w:tc>
          <w:tcPr>
            <w:tcW w:w="1275" w:type="dxa"/>
            <w:noWrap/>
            <w:vAlign w:val="center"/>
            <w:hideMark/>
          </w:tcPr>
          <w:p w14:paraId="076E8010" w14:textId="77777777" w:rsidR="00312042" w:rsidRPr="00CB7E8A" w:rsidRDefault="00312042" w:rsidP="00CB7E8A">
            <w:pPr>
              <w:spacing w:before="40" w:after="40"/>
              <w:jc w:val="right"/>
              <w:rPr>
                <w:b/>
                <w:bCs/>
                <w:sz w:val="18"/>
                <w:szCs w:val="18"/>
              </w:rPr>
            </w:pPr>
          </w:p>
        </w:tc>
        <w:tc>
          <w:tcPr>
            <w:tcW w:w="1134" w:type="dxa"/>
            <w:noWrap/>
            <w:vAlign w:val="center"/>
            <w:hideMark/>
          </w:tcPr>
          <w:p w14:paraId="35339ACA" w14:textId="77777777" w:rsidR="00312042" w:rsidRPr="00CB7E8A" w:rsidRDefault="00312042" w:rsidP="00CB7E8A">
            <w:pPr>
              <w:spacing w:before="40" w:after="40"/>
              <w:jc w:val="right"/>
              <w:rPr>
                <w:b/>
                <w:bCs/>
                <w:sz w:val="18"/>
                <w:szCs w:val="18"/>
              </w:rPr>
            </w:pPr>
          </w:p>
        </w:tc>
        <w:tc>
          <w:tcPr>
            <w:tcW w:w="1276" w:type="dxa"/>
            <w:noWrap/>
            <w:vAlign w:val="center"/>
            <w:hideMark/>
          </w:tcPr>
          <w:p w14:paraId="17C5FAF9" w14:textId="77777777" w:rsidR="00312042" w:rsidRPr="00CB7E8A" w:rsidRDefault="00312042" w:rsidP="00CB7E8A">
            <w:pPr>
              <w:spacing w:before="40" w:after="40"/>
              <w:jc w:val="right"/>
              <w:rPr>
                <w:b/>
                <w:bCs/>
                <w:sz w:val="18"/>
                <w:szCs w:val="18"/>
              </w:rPr>
            </w:pPr>
          </w:p>
        </w:tc>
        <w:tc>
          <w:tcPr>
            <w:tcW w:w="1134" w:type="dxa"/>
            <w:noWrap/>
            <w:vAlign w:val="center"/>
            <w:hideMark/>
          </w:tcPr>
          <w:p w14:paraId="2139CFCA" w14:textId="77777777" w:rsidR="00312042" w:rsidRPr="00CB7E8A" w:rsidRDefault="00312042" w:rsidP="00CB7E8A">
            <w:pPr>
              <w:spacing w:before="40" w:after="40"/>
              <w:jc w:val="right"/>
              <w:rPr>
                <w:b/>
                <w:bCs/>
                <w:sz w:val="18"/>
                <w:szCs w:val="18"/>
              </w:rPr>
            </w:pPr>
          </w:p>
        </w:tc>
        <w:tc>
          <w:tcPr>
            <w:tcW w:w="1134" w:type="dxa"/>
            <w:noWrap/>
            <w:vAlign w:val="center"/>
            <w:hideMark/>
          </w:tcPr>
          <w:p w14:paraId="41E54E1A" w14:textId="77777777" w:rsidR="00312042" w:rsidRPr="00CB7E8A" w:rsidRDefault="00312042" w:rsidP="00CB7E8A">
            <w:pPr>
              <w:spacing w:before="40" w:after="40"/>
              <w:jc w:val="right"/>
              <w:rPr>
                <w:b/>
                <w:bCs/>
                <w:sz w:val="18"/>
                <w:szCs w:val="18"/>
              </w:rPr>
            </w:pPr>
          </w:p>
        </w:tc>
        <w:tc>
          <w:tcPr>
            <w:tcW w:w="1245" w:type="dxa"/>
            <w:noWrap/>
            <w:vAlign w:val="center"/>
            <w:hideMark/>
          </w:tcPr>
          <w:p w14:paraId="14F20D7F" w14:textId="77777777" w:rsidR="00312042" w:rsidRPr="00CB7E8A" w:rsidRDefault="00312042" w:rsidP="00CB7E8A">
            <w:pPr>
              <w:spacing w:before="40" w:after="40"/>
              <w:jc w:val="right"/>
              <w:rPr>
                <w:b/>
                <w:bCs/>
                <w:sz w:val="18"/>
                <w:szCs w:val="18"/>
              </w:rPr>
            </w:pPr>
          </w:p>
        </w:tc>
      </w:tr>
      <w:tr w:rsidR="00F234CD" w:rsidRPr="00631C1C" w14:paraId="6C046B0B" w14:textId="77777777" w:rsidTr="006C1159">
        <w:trPr>
          <w:trHeight w:val="52"/>
          <w:jc w:val="right"/>
        </w:trPr>
        <w:tc>
          <w:tcPr>
            <w:tcW w:w="284" w:type="dxa"/>
            <w:tcBorders>
              <w:top w:val="nil"/>
            </w:tcBorders>
            <w:noWrap/>
            <w:hideMark/>
          </w:tcPr>
          <w:p w14:paraId="037A2391"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7FB318EF" w14:textId="0FC9FDB7" w:rsidR="00312042" w:rsidRPr="00CB7E8A" w:rsidRDefault="00312042" w:rsidP="00CB7E8A">
            <w:pPr>
              <w:spacing w:before="40" w:after="40"/>
              <w:rPr>
                <w:sz w:val="18"/>
                <w:szCs w:val="18"/>
              </w:rPr>
            </w:pPr>
            <w:r w:rsidRPr="00CB7E8A">
              <w:rPr>
                <w:sz w:val="18"/>
                <w:szCs w:val="18"/>
              </w:rPr>
              <w:t xml:space="preserve">3.1. Meeting of the </w:t>
            </w:r>
            <w:r w:rsidR="00D96C37" w:rsidRPr="00CB7E8A">
              <w:rPr>
                <w:sz w:val="18"/>
                <w:szCs w:val="18"/>
              </w:rPr>
              <w:t>C</w:t>
            </w:r>
            <w:r w:rsidRPr="00CB7E8A">
              <w:rPr>
                <w:sz w:val="18"/>
                <w:szCs w:val="18"/>
              </w:rPr>
              <w:t>ommittee</w:t>
            </w:r>
          </w:p>
        </w:tc>
        <w:tc>
          <w:tcPr>
            <w:tcW w:w="1275" w:type="dxa"/>
            <w:tcBorders>
              <w:top w:val="nil"/>
            </w:tcBorders>
            <w:noWrap/>
            <w:vAlign w:val="center"/>
            <w:hideMark/>
          </w:tcPr>
          <w:p w14:paraId="14D08FEC" w14:textId="77777777" w:rsidR="00312042" w:rsidRPr="00CB7E8A" w:rsidRDefault="00312042" w:rsidP="00CB7E8A">
            <w:pPr>
              <w:spacing w:before="40" w:after="40"/>
              <w:jc w:val="right"/>
              <w:rPr>
                <w:sz w:val="18"/>
                <w:szCs w:val="18"/>
              </w:rPr>
            </w:pPr>
            <w:r w:rsidRPr="00CB7E8A">
              <w:rPr>
                <w:sz w:val="18"/>
                <w:szCs w:val="18"/>
              </w:rPr>
              <w:t>33 000</w:t>
            </w:r>
          </w:p>
        </w:tc>
        <w:tc>
          <w:tcPr>
            <w:tcW w:w="1134" w:type="dxa"/>
            <w:tcBorders>
              <w:top w:val="nil"/>
            </w:tcBorders>
            <w:noWrap/>
            <w:vAlign w:val="center"/>
            <w:hideMark/>
          </w:tcPr>
          <w:p w14:paraId="202E176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3443C2F" w14:textId="77777777" w:rsidR="00312042" w:rsidRPr="00CB7E8A" w:rsidRDefault="00312042" w:rsidP="00CB7E8A">
            <w:pPr>
              <w:spacing w:before="40" w:after="40"/>
              <w:jc w:val="right"/>
              <w:rPr>
                <w:sz w:val="18"/>
                <w:szCs w:val="18"/>
              </w:rPr>
            </w:pPr>
            <w:r w:rsidRPr="00CB7E8A">
              <w:rPr>
                <w:sz w:val="18"/>
                <w:szCs w:val="18"/>
              </w:rPr>
              <w:t>33 000</w:t>
            </w:r>
          </w:p>
        </w:tc>
        <w:tc>
          <w:tcPr>
            <w:tcW w:w="1134" w:type="dxa"/>
            <w:tcBorders>
              <w:top w:val="nil"/>
            </w:tcBorders>
            <w:noWrap/>
            <w:vAlign w:val="center"/>
            <w:hideMark/>
          </w:tcPr>
          <w:p w14:paraId="0BC59D49" w14:textId="77777777" w:rsidR="00312042" w:rsidRPr="00CB7E8A" w:rsidRDefault="00312042" w:rsidP="00CB7E8A">
            <w:pPr>
              <w:spacing w:before="40" w:after="40"/>
              <w:jc w:val="right"/>
              <w:rPr>
                <w:sz w:val="18"/>
                <w:szCs w:val="18"/>
              </w:rPr>
            </w:pPr>
            <w:r w:rsidRPr="00CB7E8A">
              <w:rPr>
                <w:sz w:val="18"/>
                <w:szCs w:val="18"/>
              </w:rPr>
              <w:t>12 000</w:t>
            </w:r>
          </w:p>
        </w:tc>
        <w:tc>
          <w:tcPr>
            <w:tcW w:w="1134" w:type="dxa"/>
            <w:tcBorders>
              <w:top w:val="nil"/>
            </w:tcBorders>
            <w:noWrap/>
            <w:vAlign w:val="center"/>
            <w:hideMark/>
          </w:tcPr>
          <w:p w14:paraId="372FB49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3C2ED73F" w14:textId="77777777" w:rsidR="00312042" w:rsidRPr="00CB7E8A" w:rsidRDefault="00312042" w:rsidP="00CB7E8A">
            <w:pPr>
              <w:spacing w:before="40" w:after="40"/>
              <w:jc w:val="right"/>
              <w:rPr>
                <w:sz w:val="18"/>
                <w:szCs w:val="18"/>
              </w:rPr>
            </w:pPr>
            <w:r w:rsidRPr="00CB7E8A">
              <w:rPr>
                <w:sz w:val="18"/>
                <w:szCs w:val="18"/>
              </w:rPr>
              <w:t>12 000</w:t>
            </w:r>
          </w:p>
        </w:tc>
      </w:tr>
      <w:tr w:rsidR="00F234CD" w:rsidRPr="00631C1C"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CB7E8A" w:rsidRDefault="00312042" w:rsidP="00CB7E8A">
            <w:pPr>
              <w:spacing w:before="40" w:after="40"/>
              <w:rPr>
                <w:b/>
                <w:bCs/>
                <w:sz w:val="18"/>
                <w:szCs w:val="18"/>
              </w:rPr>
            </w:pPr>
            <w:r w:rsidRPr="00CB7E8A">
              <w:rPr>
                <w:b/>
                <w:bCs/>
                <w:sz w:val="18"/>
                <w:szCs w:val="18"/>
              </w:rPr>
              <w:t xml:space="preserve">3. Implementation and </w:t>
            </w:r>
            <w:r w:rsidR="00D96C37" w:rsidRPr="00CB7E8A">
              <w:rPr>
                <w:b/>
                <w:bCs/>
                <w:sz w:val="18"/>
                <w:szCs w:val="18"/>
              </w:rPr>
              <w:t>C</w:t>
            </w:r>
            <w:r w:rsidRPr="00CB7E8A">
              <w:rPr>
                <w:b/>
                <w:bCs/>
                <w:sz w:val="18"/>
                <w:szCs w:val="18"/>
              </w:rPr>
              <w:t xml:space="preserve">ompliance </w:t>
            </w:r>
            <w:r w:rsidR="00D96C37" w:rsidRPr="00CB7E8A">
              <w:rPr>
                <w:b/>
                <w:bCs/>
                <w:sz w:val="18"/>
                <w:szCs w:val="18"/>
              </w:rPr>
              <w:t>C</w:t>
            </w:r>
            <w:r w:rsidRPr="00CB7E8A">
              <w:rPr>
                <w:b/>
                <w:bCs/>
                <w:sz w:val="18"/>
                <w:szCs w:val="18"/>
              </w:rPr>
              <w:t>ommittee</w:t>
            </w:r>
          </w:p>
        </w:tc>
        <w:tc>
          <w:tcPr>
            <w:tcW w:w="1275" w:type="dxa"/>
            <w:tcBorders>
              <w:bottom w:val="single" w:sz="4" w:space="0" w:color="auto"/>
            </w:tcBorders>
            <w:shd w:val="clear" w:color="000000" w:fill="B4C6E7"/>
            <w:noWrap/>
            <w:vAlign w:val="center"/>
            <w:hideMark/>
          </w:tcPr>
          <w:p w14:paraId="01B01C3B" w14:textId="77777777" w:rsidR="00312042" w:rsidRPr="00CB7E8A" w:rsidRDefault="00312042" w:rsidP="00CB7E8A">
            <w:pPr>
              <w:spacing w:before="40" w:after="40"/>
              <w:jc w:val="right"/>
              <w:rPr>
                <w:b/>
                <w:bCs/>
                <w:sz w:val="18"/>
                <w:szCs w:val="18"/>
              </w:rPr>
            </w:pPr>
            <w:r w:rsidRPr="00CB7E8A">
              <w:rPr>
                <w:b/>
                <w:bCs/>
                <w:sz w:val="18"/>
                <w:szCs w:val="18"/>
              </w:rPr>
              <w:t>33 000</w:t>
            </w:r>
          </w:p>
        </w:tc>
        <w:tc>
          <w:tcPr>
            <w:tcW w:w="1134" w:type="dxa"/>
            <w:tcBorders>
              <w:bottom w:val="single" w:sz="4" w:space="0" w:color="auto"/>
            </w:tcBorders>
            <w:shd w:val="clear" w:color="000000" w:fill="B4C6E7"/>
            <w:noWrap/>
            <w:vAlign w:val="center"/>
            <w:hideMark/>
          </w:tcPr>
          <w:p w14:paraId="5C37A680"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5DFB6223" w14:textId="77777777" w:rsidR="00312042" w:rsidRPr="00CB7E8A" w:rsidRDefault="00312042" w:rsidP="00CB7E8A">
            <w:pPr>
              <w:spacing w:before="40" w:after="40"/>
              <w:jc w:val="right"/>
              <w:rPr>
                <w:b/>
                <w:bCs/>
                <w:sz w:val="18"/>
                <w:szCs w:val="18"/>
              </w:rPr>
            </w:pPr>
            <w:r w:rsidRPr="00CB7E8A">
              <w:rPr>
                <w:b/>
                <w:bCs/>
                <w:sz w:val="18"/>
                <w:szCs w:val="18"/>
              </w:rPr>
              <w:t>33 000</w:t>
            </w:r>
          </w:p>
        </w:tc>
        <w:tc>
          <w:tcPr>
            <w:tcW w:w="1134" w:type="dxa"/>
            <w:tcBorders>
              <w:bottom w:val="single" w:sz="4" w:space="0" w:color="auto"/>
            </w:tcBorders>
            <w:shd w:val="clear" w:color="000000" w:fill="B4C6E7"/>
            <w:noWrap/>
            <w:vAlign w:val="center"/>
            <w:hideMark/>
          </w:tcPr>
          <w:p w14:paraId="0FF0BDF2"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134" w:type="dxa"/>
            <w:tcBorders>
              <w:bottom w:val="single" w:sz="4" w:space="0" w:color="auto"/>
            </w:tcBorders>
            <w:shd w:val="clear" w:color="000000" w:fill="B4C6E7"/>
            <w:noWrap/>
            <w:vAlign w:val="center"/>
            <w:hideMark/>
          </w:tcPr>
          <w:p w14:paraId="21B3AF9A" w14:textId="77777777" w:rsidR="00312042" w:rsidRPr="00CB7E8A" w:rsidRDefault="00312042" w:rsidP="00CB7E8A">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056473C0" w14:textId="77777777" w:rsidR="00312042" w:rsidRPr="00CB7E8A" w:rsidRDefault="00312042" w:rsidP="00CB7E8A">
            <w:pPr>
              <w:spacing w:before="40" w:after="40"/>
              <w:jc w:val="right"/>
              <w:rPr>
                <w:b/>
                <w:bCs/>
                <w:sz w:val="18"/>
                <w:szCs w:val="18"/>
              </w:rPr>
            </w:pPr>
            <w:r w:rsidRPr="00CB7E8A">
              <w:rPr>
                <w:b/>
                <w:bCs/>
                <w:sz w:val="18"/>
                <w:szCs w:val="18"/>
              </w:rPr>
              <w:t>12 000</w:t>
            </w:r>
          </w:p>
        </w:tc>
      </w:tr>
      <w:tr w:rsidR="00F234CD" w:rsidRPr="00631C1C"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CB7E8A" w:rsidRDefault="00312042" w:rsidP="00CB7E8A">
            <w:pPr>
              <w:spacing w:before="40" w:after="40"/>
              <w:ind w:firstLineChars="100" w:firstLine="181"/>
              <w:rPr>
                <w:b/>
                <w:bCs/>
                <w:sz w:val="18"/>
                <w:szCs w:val="18"/>
              </w:rPr>
            </w:pPr>
            <w:r w:rsidRPr="00CB7E8A">
              <w:rPr>
                <w:b/>
                <w:bCs/>
                <w:sz w:val="18"/>
                <w:szCs w:val="18"/>
              </w:rPr>
              <w:t>Total (A)</w:t>
            </w:r>
          </w:p>
        </w:tc>
        <w:tc>
          <w:tcPr>
            <w:tcW w:w="1275" w:type="dxa"/>
            <w:tcBorders>
              <w:top w:val="single" w:sz="4" w:space="0" w:color="auto"/>
              <w:bottom w:val="single" w:sz="4" w:space="0" w:color="auto"/>
            </w:tcBorders>
            <w:shd w:val="clear" w:color="000000" w:fill="DBB731"/>
            <w:noWrap/>
            <w:vAlign w:val="center"/>
            <w:hideMark/>
          </w:tcPr>
          <w:p w14:paraId="498D4452" w14:textId="77777777" w:rsidR="00312042" w:rsidRPr="00CB7E8A" w:rsidRDefault="00312042" w:rsidP="00CB7E8A">
            <w:pPr>
              <w:spacing w:before="40" w:after="40"/>
              <w:jc w:val="right"/>
              <w:rPr>
                <w:b/>
                <w:bCs/>
                <w:sz w:val="18"/>
                <w:szCs w:val="18"/>
              </w:rPr>
            </w:pPr>
            <w:r w:rsidRPr="00CB7E8A">
              <w:rPr>
                <w:b/>
                <w:bCs/>
                <w:sz w:val="18"/>
                <w:szCs w:val="18"/>
              </w:rPr>
              <w:t>59 000</w:t>
            </w:r>
          </w:p>
        </w:tc>
        <w:tc>
          <w:tcPr>
            <w:tcW w:w="1134" w:type="dxa"/>
            <w:tcBorders>
              <w:top w:val="single" w:sz="4" w:space="0" w:color="auto"/>
              <w:bottom w:val="single" w:sz="4" w:space="0" w:color="auto"/>
            </w:tcBorders>
            <w:shd w:val="clear" w:color="000000" w:fill="DBB731"/>
            <w:noWrap/>
            <w:vAlign w:val="center"/>
            <w:hideMark/>
          </w:tcPr>
          <w:p w14:paraId="4B82CF76"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276" w:type="dxa"/>
            <w:tcBorders>
              <w:top w:val="single" w:sz="4" w:space="0" w:color="auto"/>
              <w:bottom w:val="single" w:sz="4" w:space="0" w:color="auto"/>
            </w:tcBorders>
            <w:shd w:val="clear" w:color="000000" w:fill="DBB731"/>
            <w:noWrap/>
            <w:vAlign w:val="center"/>
            <w:hideMark/>
          </w:tcPr>
          <w:p w14:paraId="745DBB41" w14:textId="77777777" w:rsidR="00312042" w:rsidRPr="00CB7E8A" w:rsidRDefault="00312042" w:rsidP="00CB7E8A">
            <w:pPr>
              <w:spacing w:before="40" w:after="40"/>
              <w:jc w:val="right"/>
              <w:rPr>
                <w:b/>
                <w:bCs/>
                <w:sz w:val="18"/>
                <w:szCs w:val="18"/>
              </w:rPr>
            </w:pPr>
            <w:r w:rsidRPr="00CB7E8A">
              <w:rPr>
                <w:b/>
                <w:bCs/>
                <w:sz w:val="18"/>
                <w:szCs w:val="18"/>
              </w:rPr>
              <w:t>1 104 000</w:t>
            </w:r>
          </w:p>
        </w:tc>
        <w:tc>
          <w:tcPr>
            <w:tcW w:w="1134" w:type="dxa"/>
            <w:tcBorders>
              <w:top w:val="single" w:sz="4" w:space="0" w:color="auto"/>
              <w:bottom w:val="single" w:sz="4" w:space="0" w:color="auto"/>
            </w:tcBorders>
            <w:shd w:val="clear" w:color="000000" w:fill="DBB731"/>
            <w:noWrap/>
            <w:vAlign w:val="center"/>
            <w:hideMark/>
          </w:tcPr>
          <w:p w14:paraId="4AE5A134"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134" w:type="dxa"/>
            <w:tcBorders>
              <w:top w:val="single" w:sz="4" w:space="0" w:color="auto"/>
              <w:bottom w:val="single" w:sz="4" w:space="0" w:color="auto"/>
            </w:tcBorders>
            <w:shd w:val="clear" w:color="000000" w:fill="DBB731"/>
            <w:noWrap/>
            <w:vAlign w:val="center"/>
            <w:hideMark/>
          </w:tcPr>
          <w:p w14:paraId="666613A4" w14:textId="77777777" w:rsidR="00312042" w:rsidRPr="00CB7E8A" w:rsidRDefault="00312042" w:rsidP="00CB7E8A">
            <w:pPr>
              <w:spacing w:before="40" w:after="40"/>
              <w:jc w:val="right"/>
              <w:rPr>
                <w:b/>
                <w:bCs/>
                <w:sz w:val="18"/>
                <w:szCs w:val="18"/>
              </w:rPr>
            </w:pPr>
            <w:r w:rsidRPr="00CB7E8A">
              <w:rPr>
                <w:b/>
                <w:bCs/>
                <w:sz w:val="18"/>
                <w:szCs w:val="18"/>
              </w:rPr>
              <w:t>895 000</w:t>
            </w:r>
          </w:p>
        </w:tc>
        <w:tc>
          <w:tcPr>
            <w:tcW w:w="1245" w:type="dxa"/>
            <w:tcBorders>
              <w:top w:val="single" w:sz="4" w:space="0" w:color="auto"/>
              <w:bottom w:val="single" w:sz="4" w:space="0" w:color="auto"/>
            </w:tcBorders>
            <w:shd w:val="clear" w:color="000000" w:fill="DBB731"/>
            <w:noWrap/>
            <w:vAlign w:val="center"/>
            <w:hideMark/>
          </w:tcPr>
          <w:p w14:paraId="750C6CEA" w14:textId="77777777" w:rsidR="00312042" w:rsidRPr="00CB7E8A" w:rsidRDefault="00312042" w:rsidP="00CB7E8A">
            <w:pPr>
              <w:spacing w:before="40" w:after="40"/>
              <w:jc w:val="right"/>
              <w:rPr>
                <w:b/>
                <w:bCs/>
                <w:sz w:val="18"/>
                <w:szCs w:val="18"/>
              </w:rPr>
            </w:pPr>
            <w:r w:rsidRPr="00CB7E8A">
              <w:rPr>
                <w:b/>
                <w:bCs/>
                <w:sz w:val="18"/>
                <w:szCs w:val="18"/>
              </w:rPr>
              <w:t>907 000</w:t>
            </w:r>
          </w:p>
        </w:tc>
      </w:tr>
      <w:tr w:rsidR="00F234CD" w:rsidRPr="00631C1C"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CB7E8A" w:rsidRDefault="00312042" w:rsidP="00CB7E8A">
            <w:pPr>
              <w:spacing w:before="40" w:after="40"/>
              <w:rPr>
                <w:b/>
                <w:bCs/>
                <w:sz w:val="18"/>
                <w:szCs w:val="18"/>
              </w:rPr>
            </w:pPr>
            <w:r w:rsidRPr="00CB7E8A">
              <w:rPr>
                <w:b/>
                <w:bCs/>
                <w:sz w:val="18"/>
                <w:szCs w:val="18"/>
              </w:rPr>
              <w:t>B. Capacity-building and technical assistance</w:t>
            </w:r>
          </w:p>
        </w:tc>
        <w:tc>
          <w:tcPr>
            <w:tcW w:w="1275" w:type="dxa"/>
            <w:tcBorders>
              <w:top w:val="single" w:sz="4" w:space="0" w:color="auto"/>
            </w:tcBorders>
            <w:noWrap/>
            <w:vAlign w:val="center"/>
            <w:hideMark/>
          </w:tcPr>
          <w:p w14:paraId="100CCBF2"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5F8AA7A"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3FB0E090"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FA3D0C5"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A8D1B50"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225DAEBF" w14:textId="77777777" w:rsidR="00312042" w:rsidRPr="00CB7E8A" w:rsidRDefault="00312042" w:rsidP="00CB7E8A">
            <w:pPr>
              <w:spacing w:before="40" w:after="40"/>
              <w:jc w:val="right"/>
              <w:rPr>
                <w:b/>
                <w:bCs/>
                <w:sz w:val="18"/>
                <w:szCs w:val="18"/>
              </w:rPr>
            </w:pPr>
          </w:p>
        </w:tc>
      </w:tr>
      <w:tr w:rsidR="00F234CD" w:rsidRPr="00631C1C" w14:paraId="0FEB7EBA" w14:textId="77777777" w:rsidTr="006C1159">
        <w:trPr>
          <w:trHeight w:val="52"/>
          <w:jc w:val="right"/>
        </w:trPr>
        <w:tc>
          <w:tcPr>
            <w:tcW w:w="7230" w:type="dxa"/>
            <w:gridSpan w:val="2"/>
            <w:vAlign w:val="center"/>
            <w:hideMark/>
          </w:tcPr>
          <w:p w14:paraId="13A52959" w14:textId="77777777" w:rsidR="00312042" w:rsidRPr="00CB7E8A" w:rsidRDefault="00312042" w:rsidP="00CB7E8A">
            <w:pPr>
              <w:spacing w:before="40" w:after="40"/>
              <w:rPr>
                <w:b/>
                <w:bCs/>
                <w:sz w:val="18"/>
                <w:szCs w:val="18"/>
              </w:rPr>
            </w:pPr>
            <w:r w:rsidRPr="00CB7E8A">
              <w:rPr>
                <w:b/>
                <w:bCs/>
                <w:sz w:val="18"/>
                <w:szCs w:val="18"/>
              </w:rPr>
              <w:t>4. Capacity-building and technical assistance programme of the Minamata Convention</w:t>
            </w:r>
          </w:p>
        </w:tc>
        <w:tc>
          <w:tcPr>
            <w:tcW w:w="1275" w:type="dxa"/>
            <w:noWrap/>
            <w:vAlign w:val="center"/>
            <w:hideMark/>
          </w:tcPr>
          <w:p w14:paraId="422FE91D" w14:textId="77777777" w:rsidR="00312042" w:rsidRPr="00CB7E8A" w:rsidRDefault="00312042" w:rsidP="00CB7E8A">
            <w:pPr>
              <w:spacing w:before="40" w:after="40"/>
              <w:jc w:val="right"/>
              <w:rPr>
                <w:b/>
                <w:bCs/>
                <w:sz w:val="18"/>
                <w:szCs w:val="18"/>
              </w:rPr>
            </w:pPr>
          </w:p>
        </w:tc>
        <w:tc>
          <w:tcPr>
            <w:tcW w:w="1134" w:type="dxa"/>
            <w:noWrap/>
            <w:vAlign w:val="center"/>
            <w:hideMark/>
          </w:tcPr>
          <w:p w14:paraId="430ED6B3" w14:textId="77777777" w:rsidR="00312042" w:rsidRPr="00CB7E8A" w:rsidRDefault="00312042" w:rsidP="00CB7E8A">
            <w:pPr>
              <w:spacing w:before="40" w:after="40"/>
              <w:jc w:val="right"/>
              <w:rPr>
                <w:b/>
                <w:bCs/>
                <w:sz w:val="18"/>
                <w:szCs w:val="18"/>
              </w:rPr>
            </w:pPr>
          </w:p>
        </w:tc>
        <w:tc>
          <w:tcPr>
            <w:tcW w:w="1276" w:type="dxa"/>
            <w:noWrap/>
            <w:vAlign w:val="center"/>
            <w:hideMark/>
          </w:tcPr>
          <w:p w14:paraId="2B4F70B6" w14:textId="77777777" w:rsidR="00312042" w:rsidRPr="00CB7E8A" w:rsidRDefault="00312042" w:rsidP="00CB7E8A">
            <w:pPr>
              <w:spacing w:before="40" w:after="40"/>
              <w:jc w:val="right"/>
              <w:rPr>
                <w:b/>
                <w:bCs/>
                <w:sz w:val="18"/>
                <w:szCs w:val="18"/>
              </w:rPr>
            </w:pPr>
          </w:p>
        </w:tc>
        <w:tc>
          <w:tcPr>
            <w:tcW w:w="1134" w:type="dxa"/>
            <w:noWrap/>
            <w:vAlign w:val="center"/>
            <w:hideMark/>
          </w:tcPr>
          <w:p w14:paraId="21A3CE3C" w14:textId="77777777" w:rsidR="00312042" w:rsidRPr="00CB7E8A" w:rsidRDefault="00312042" w:rsidP="00CB7E8A">
            <w:pPr>
              <w:spacing w:before="40" w:after="40"/>
              <w:jc w:val="right"/>
              <w:rPr>
                <w:b/>
                <w:bCs/>
                <w:sz w:val="18"/>
                <w:szCs w:val="18"/>
              </w:rPr>
            </w:pPr>
          </w:p>
        </w:tc>
        <w:tc>
          <w:tcPr>
            <w:tcW w:w="1134" w:type="dxa"/>
            <w:noWrap/>
            <w:vAlign w:val="center"/>
            <w:hideMark/>
          </w:tcPr>
          <w:p w14:paraId="242B9EA7" w14:textId="77777777" w:rsidR="00312042" w:rsidRPr="00CB7E8A" w:rsidRDefault="00312042" w:rsidP="00CB7E8A">
            <w:pPr>
              <w:spacing w:before="40" w:after="40"/>
              <w:jc w:val="right"/>
              <w:rPr>
                <w:b/>
                <w:bCs/>
                <w:sz w:val="18"/>
                <w:szCs w:val="18"/>
              </w:rPr>
            </w:pPr>
          </w:p>
        </w:tc>
        <w:tc>
          <w:tcPr>
            <w:tcW w:w="1245" w:type="dxa"/>
            <w:noWrap/>
            <w:vAlign w:val="center"/>
            <w:hideMark/>
          </w:tcPr>
          <w:p w14:paraId="387231C1" w14:textId="77777777" w:rsidR="00312042" w:rsidRPr="00CB7E8A" w:rsidRDefault="00312042" w:rsidP="00CB7E8A">
            <w:pPr>
              <w:spacing w:before="40" w:after="40"/>
              <w:jc w:val="right"/>
              <w:rPr>
                <w:b/>
                <w:bCs/>
                <w:sz w:val="18"/>
                <w:szCs w:val="18"/>
              </w:rPr>
            </w:pPr>
          </w:p>
        </w:tc>
      </w:tr>
      <w:tr w:rsidR="00F234CD" w:rsidRPr="00631C1C" w14:paraId="5D104D74" w14:textId="77777777" w:rsidTr="009A58EE">
        <w:trPr>
          <w:trHeight w:val="300"/>
          <w:jc w:val="right"/>
        </w:trPr>
        <w:tc>
          <w:tcPr>
            <w:tcW w:w="284" w:type="dxa"/>
            <w:noWrap/>
            <w:hideMark/>
          </w:tcPr>
          <w:p w14:paraId="58694F3B"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5B1163F9" w14:textId="66F865F4" w:rsidR="00312042" w:rsidRPr="00CB7E8A" w:rsidRDefault="00312042" w:rsidP="00CB7E8A">
            <w:pPr>
              <w:spacing w:before="40" w:after="40"/>
              <w:rPr>
                <w:sz w:val="18"/>
                <w:szCs w:val="18"/>
              </w:rPr>
            </w:pPr>
            <w:r w:rsidRPr="00CB7E8A">
              <w:rPr>
                <w:sz w:val="18"/>
                <w:szCs w:val="18"/>
              </w:rPr>
              <w:t>4.1. Tools, methodologies and delivery modalities </w:t>
            </w:r>
          </w:p>
        </w:tc>
        <w:tc>
          <w:tcPr>
            <w:tcW w:w="1275" w:type="dxa"/>
            <w:noWrap/>
            <w:vAlign w:val="center"/>
            <w:hideMark/>
          </w:tcPr>
          <w:p w14:paraId="4535239E" w14:textId="77777777" w:rsidR="00312042" w:rsidRPr="00CB7E8A" w:rsidRDefault="00312042" w:rsidP="00CB7E8A">
            <w:pPr>
              <w:spacing w:before="40" w:after="40"/>
              <w:jc w:val="right"/>
              <w:rPr>
                <w:sz w:val="18"/>
                <w:szCs w:val="18"/>
              </w:rPr>
            </w:pPr>
          </w:p>
        </w:tc>
        <w:tc>
          <w:tcPr>
            <w:tcW w:w="1134" w:type="dxa"/>
            <w:noWrap/>
            <w:vAlign w:val="center"/>
            <w:hideMark/>
          </w:tcPr>
          <w:p w14:paraId="22A44E46" w14:textId="77777777" w:rsidR="00312042" w:rsidRPr="00CB7E8A" w:rsidRDefault="00312042" w:rsidP="00CB7E8A">
            <w:pPr>
              <w:spacing w:before="40" w:after="40"/>
              <w:jc w:val="right"/>
              <w:rPr>
                <w:sz w:val="18"/>
                <w:szCs w:val="18"/>
              </w:rPr>
            </w:pPr>
          </w:p>
        </w:tc>
        <w:tc>
          <w:tcPr>
            <w:tcW w:w="1276" w:type="dxa"/>
            <w:noWrap/>
            <w:vAlign w:val="center"/>
            <w:hideMark/>
          </w:tcPr>
          <w:p w14:paraId="145BA029" w14:textId="77777777" w:rsidR="00312042" w:rsidRPr="00CB7E8A" w:rsidRDefault="00312042" w:rsidP="00CB7E8A">
            <w:pPr>
              <w:spacing w:before="40" w:after="40"/>
              <w:jc w:val="right"/>
              <w:rPr>
                <w:sz w:val="18"/>
                <w:szCs w:val="18"/>
              </w:rPr>
            </w:pPr>
          </w:p>
        </w:tc>
        <w:tc>
          <w:tcPr>
            <w:tcW w:w="1134" w:type="dxa"/>
            <w:noWrap/>
            <w:vAlign w:val="center"/>
            <w:hideMark/>
          </w:tcPr>
          <w:p w14:paraId="1A1BF85F" w14:textId="77777777" w:rsidR="00312042" w:rsidRPr="00CB7E8A" w:rsidRDefault="00312042" w:rsidP="00CB7E8A">
            <w:pPr>
              <w:spacing w:before="40" w:after="40"/>
              <w:jc w:val="right"/>
              <w:rPr>
                <w:sz w:val="18"/>
                <w:szCs w:val="18"/>
              </w:rPr>
            </w:pPr>
            <w:r w:rsidRPr="00CB7E8A">
              <w:rPr>
                <w:sz w:val="18"/>
                <w:szCs w:val="18"/>
              </w:rPr>
              <w:t>160 000</w:t>
            </w:r>
          </w:p>
        </w:tc>
        <w:tc>
          <w:tcPr>
            <w:tcW w:w="1134" w:type="dxa"/>
            <w:noWrap/>
            <w:vAlign w:val="center"/>
            <w:hideMark/>
          </w:tcPr>
          <w:p w14:paraId="3E14262F" w14:textId="77777777" w:rsidR="00312042" w:rsidRPr="00CB7E8A" w:rsidRDefault="00312042" w:rsidP="00CB7E8A">
            <w:pPr>
              <w:spacing w:before="40" w:after="40"/>
              <w:jc w:val="right"/>
              <w:rPr>
                <w:sz w:val="18"/>
                <w:szCs w:val="18"/>
              </w:rPr>
            </w:pPr>
            <w:r w:rsidRPr="00CB7E8A">
              <w:rPr>
                <w:sz w:val="18"/>
                <w:szCs w:val="18"/>
              </w:rPr>
              <w:t>160 000</w:t>
            </w:r>
          </w:p>
        </w:tc>
        <w:tc>
          <w:tcPr>
            <w:tcW w:w="1245" w:type="dxa"/>
            <w:noWrap/>
            <w:vAlign w:val="center"/>
            <w:hideMark/>
          </w:tcPr>
          <w:p w14:paraId="2609B277" w14:textId="77777777" w:rsidR="00312042" w:rsidRPr="00CB7E8A" w:rsidRDefault="00312042" w:rsidP="00CB7E8A">
            <w:pPr>
              <w:spacing w:before="40" w:after="40"/>
              <w:jc w:val="right"/>
              <w:rPr>
                <w:sz w:val="18"/>
                <w:szCs w:val="18"/>
              </w:rPr>
            </w:pPr>
            <w:r w:rsidRPr="00CB7E8A">
              <w:rPr>
                <w:sz w:val="18"/>
                <w:szCs w:val="18"/>
              </w:rPr>
              <w:t>320 000</w:t>
            </w:r>
          </w:p>
        </w:tc>
      </w:tr>
      <w:tr w:rsidR="00F234CD" w:rsidRPr="00631C1C" w14:paraId="340FFB0F" w14:textId="77777777" w:rsidTr="009A58EE">
        <w:trPr>
          <w:trHeight w:val="300"/>
          <w:jc w:val="right"/>
        </w:trPr>
        <w:tc>
          <w:tcPr>
            <w:tcW w:w="284" w:type="dxa"/>
            <w:noWrap/>
            <w:hideMark/>
          </w:tcPr>
          <w:p w14:paraId="55784D41"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0338A8F5" w14:textId="77777777" w:rsidR="00312042" w:rsidRPr="00CB7E8A" w:rsidRDefault="00312042" w:rsidP="00CB7E8A">
            <w:pPr>
              <w:spacing w:before="40" w:after="40"/>
              <w:rPr>
                <w:sz w:val="18"/>
                <w:szCs w:val="18"/>
              </w:rPr>
            </w:pPr>
            <w:r w:rsidRPr="00CB7E8A">
              <w:rPr>
                <w:sz w:val="18"/>
                <w:szCs w:val="18"/>
              </w:rPr>
              <w:t>4.2. Specific capacity development activities   </w:t>
            </w:r>
          </w:p>
        </w:tc>
        <w:tc>
          <w:tcPr>
            <w:tcW w:w="1275" w:type="dxa"/>
            <w:noWrap/>
            <w:vAlign w:val="center"/>
            <w:hideMark/>
          </w:tcPr>
          <w:p w14:paraId="2FB67986" w14:textId="77777777" w:rsidR="00312042" w:rsidRPr="00CB7E8A" w:rsidRDefault="00312042" w:rsidP="00CB7E8A">
            <w:pPr>
              <w:spacing w:before="40" w:after="40"/>
              <w:jc w:val="right"/>
              <w:rPr>
                <w:sz w:val="18"/>
                <w:szCs w:val="18"/>
              </w:rPr>
            </w:pPr>
          </w:p>
        </w:tc>
        <w:tc>
          <w:tcPr>
            <w:tcW w:w="1134" w:type="dxa"/>
            <w:noWrap/>
            <w:vAlign w:val="center"/>
            <w:hideMark/>
          </w:tcPr>
          <w:p w14:paraId="0660DE34" w14:textId="77777777" w:rsidR="00312042" w:rsidRPr="00CB7E8A" w:rsidRDefault="00312042" w:rsidP="00CB7E8A">
            <w:pPr>
              <w:spacing w:before="40" w:after="40"/>
              <w:jc w:val="right"/>
              <w:rPr>
                <w:sz w:val="18"/>
                <w:szCs w:val="18"/>
              </w:rPr>
            </w:pPr>
          </w:p>
        </w:tc>
        <w:tc>
          <w:tcPr>
            <w:tcW w:w="1276" w:type="dxa"/>
            <w:noWrap/>
            <w:vAlign w:val="center"/>
            <w:hideMark/>
          </w:tcPr>
          <w:p w14:paraId="4D39372C" w14:textId="77777777" w:rsidR="00312042" w:rsidRPr="00CB7E8A" w:rsidRDefault="00312042" w:rsidP="00CB7E8A">
            <w:pPr>
              <w:spacing w:before="40" w:after="40"/>
              <w:jc w:val="right"/>
              <w:rPr>
                <w:sz w:val="18"/>
                <w:szCs w:val="18"/>
              </w:rPr>
            </w:pPr>
          </w:p>
        </w:tc>
        <w:tc>
          <w:tcPr>
            <w:tcW w:w="1134" w:type="dxa"/>
            <w:noWrap/>
            <w:vAlign w:val="center"/>
            <w:hideMark/>
          </w:tcPr>
          <w:p w14:paraId="27067B5D" w14:textId="77777777" w:rsidR="00312042" w:rsidRPr="00CB7E8A" w:rsidRDefault="00312042" w:rsidP="00CB7E8A">
            <w:pPr>
              <w:spacing w:before="40" w:after="40"/>
              <w:jc w:val="right"/>
              <w:rPr>
                <w:sz w:val="18"/>
                <w:szCs w:val="18"/>
              </w:rPr>
            </w:pPr>
            <w:r w:rsidRPr="00CB7E8A">
              <w:rPr>
                <w:sz w:val="18"/>
                <w:szCs w:val="18"/>
              </w:rPr>
              <w:t>270 000</w:t>
            </w:r>
          </w:p>
        </w:tc>
        <w:tc>
          <w:tcPr>
            <w:tcW w:w="1134" w:type="dxa"/>
            <w:noWrap/>
            <w:vAlign w:val="center"/>
            <w:hideMark/>
          </w:tcPr>
          <w:p w14:paraId="3EB7533C" w14:textId="77777777" w:rsidR="00312042" w:rsidRPr="00CB7E8A" w:rsidRDefault="00312042" w:rsidP="00CB7E8A">
            <w:pPr>
              <w:spacing w:before="40" w:after="40"/>
              <w:jc w:val="right"/>
              <w:rPr>
                <w:sz w:val="18"/>
                <w:szCs w:val="18"/>
              </w:rPr>
            </w:pPr>
            <w:r w:rsidRPr="00CB7E8A">
              <w:rPr>
                <w:sz w:val="18"/>
                <w:szCs w:val="18"/>
              </w:rPr>
              <w:t>260 000</w:t>
            </w:r>
          </w:p>
        </w:tc>
        <w:tc>
          <w:tcPr>
            <w:tcW w:w="1245" w:type="dxa"/>
            <w:noWrap/>
            <w:vAlign w:val="center"/>
            <w:hideMark/>
          </w:tcPr>
          <w:p w14:paraId="1A010455" w14:textId="77777777" w:rsidR="00312042" w:rsidRPr="00CB7E8A" w:rsidRDefault="00312042" w:rsidP="00CB7E8A">
            <w:pPr>
              <w:spacing w:before="40" w:after="40"/>
              <w:jc w:val="right"/>
              <w:rPr>
                <w:sz w:val="18"/>
                <w:szCs w:val="18"/>
              </w:rPr>
            </w:pPr>
            <w:r w:rsidRPr="00CB7E8A">
              <w:rPr>
                <w:sz w:val="18"/>
                <w:szCs w:val="18"/>
              </w:rPr>
              <w:t>530 000</w:t>
            </w:r>
          </w:p>
        </w:tc>
      </w:tr>
      <w:tr w:rsidR="00F234CD" w:rsidRPr="00631C1C" w14:paraId="51C9C107" w14:textId="77777777" w:rsidTr="009A58EE">
        <w:trPr>
          <w:trHeight w:val="300"/>
          <w:jc w:val="right"/>
        </w:trPr>
        <w:tc>
          <w:tcPr>
            <w:tcW w:w="284" w:type="dxa"/>
            <w:noWrap/>
            <w:hideMark/>
          </w:tcPr>
          <w:p w14:paraId="641F418B"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1E225C32" w14:textId="77777777" w:rsidR="00312042" w:rsidRPr="00CB7E8A" w:rsidRDefault="00312042" w:rsidP="00CB7E8A">
            <w:pPr>
              <w:spacing w:before="40" w:after="40"/>
              <w:rPr>
                <w:sz w:val="18"/>
                <w:szCs w:val="18"/>
              </w:rPr>
            </w:pPr>
            <w:r w:rsidRPr="00CB7E8A">
              <w:rPr>
                <w:sz w:val="18"/>
                <w:szCs w:val="18"/>
              </w:rPr>
              <w:t>4.3. Capacity-building activities on request  </w:t>
            </w:r>
          </w:p>
        </w:tc>
        <w:tc>
          <w:tcPr>
            <w:tcW w:w="1275" w:type="dxa"/>
            <w:noWrap/>
            <w:vAlign w:val="center"/>
            <w:hideMark/>
          </w:tcPr>
          <w:p w14:paraId="2737B6D1" w14:textId="77777777" w:rsidR="00312042" w:rsidRPr="00CB7E8A" w:rsidRDefault="00312042" w:rsidP="00CB7E8A">
            <w:pPr>
              <w:spacing w:before="40" w:after="40"/>
              <w:jc w:val="right"/>
              <w:rPr>
                <w:sz w:val="18"/>
                <w:szCs w:val="18"/>
              </w:rPr>
            </w:pPr>
          </w:p>
        </w:tc>
        <w:tc>
          <w:tcPr>
            <w:tcW w:w="1134" w:type="dxa"/>
            <w:noWrap/>
            <w:vAlign w:val="center"/>
            <w:hideMark/>
          </w:tcPr>
          <w:p w14:paraId="1F6D42CC" w14:textId="77777777" w:rsidR="00312042" w:rsidRPr="00CB7E8A" w:rsidRDefault="00312042" w:rsidP="00CB7E8A">
            <w:pPr>
              <w:spacing w:before="40" w:after="40"/>
              <w:jc w:val="right"/>
              <w:rPr>
                <w:sz w:val="18"/>
                <w:szCs w:val="18"/>
              </w:rPr>
            </w:pPr>
          </w:p>
        </w:tc>
        <w:tc>
          <w:tcPr>
            <w:tcW w:w="1276" w:type="dxa"/>
            <w:noWrap/>
            <w:vAlign w:val="center"/>
            <w:hideMark/>
          </w:tcPr>
          <w:p w14:paraId="3DA861E7" w14:textId="77777777" w:rsidR="00312042" w:rsidRPr="00CB7E8A" w:rsidRDefault="00312042" w:rsidP="00CB7E8A">
            <w:pPr>
              <w:spacing w:before="40" w:after="40"/>
              <w:jc w:val="right"/>
              <w:rPr>
                <w:sz w:val="18"/>
                <w:szCs w:val="18"/>
              </w:rPr>
            </w:pPr>
          </w:p>
        </w:tc>
        <w:tc>
          <w:tcPr>
            <w:tcW w:w="1134" w:type="dxa"/>
            <w:noWrap/>
            <w:vAlign w:val="center"/>
            <w:hideMark/>
          </w:tcPr>
          <w:p w14:paraId="7FC0B3EE" w14:textId="77777777" w:rsidR="00312042" w:rsidRPr="00CB7E8A" w:rsidRDefault="00312042" w:rsidP="00CB7E8A">
            <w:pPr>
              <w:spacing w:before="40" w:after="40"/>
              <w:jc w:val="right"/>
              <w:rPr>
                <w:sz w:val="18"/>
                <w:szCs w:val="18"/>
              </w:rPr>
            </w:pPr>
            <w:r w:rsidRPr="00CB7E8A">
              <w:rPr>
                <w:sz w:val="18"/>
                <w:szCs w:val="18"/>
              </w:rPr>
              <w:t>160 000</w:t>
            </w:r>
          </w:p>
        </w:tc>
        <w:tc>
          <w:tcPr>
            <w:tcW w:w="1134" w:type="dxa"/>
            <w:noWrap/>
            <w:vAlign w:val="center"/>
            <w:hideMark/>
          </w:tcPr>
          <w:p w14:paraId="1EC3A993" w14:textId="77777777" w:rsidR="00312042" w:rsidRPr="00CB7E8A" w:rsidRDefault="00312042" w:rsidP="00CB7E8A">
            <w:pPr>
              <w:spacing w:before="40" w:after="40"/>
              <w:jc w:val="right"/>
              <w:rPr>
                <w:sz w:val="18"/>
                <w:szCs w:val="18"/>
              </w:rPr>
            </w:pPr>
            <w:r w:rsidRPr="00CB7E8A">
              <w:rPr>
                <w:sz w:val="18"/>
                <w:szCs w:val="18"/>
              </w:rPr>
              <w:t>130 000</w:t>
            </w:r>
          </w:p>
        </w:tc>
        <w:tc>
          <w:tcPr>
            <w:tcW w:w="1245" w:type="dxa"/>
            <w:noWrap/>
            <w:vAlign w:val="center"/>
            <w:hideMark/>
          </w:tcPr>
          <w:p w14:paraId="534D2679" w14:textId="77777777" w:rsidR="00312042" w:rsidRPr="00CB7E8A" w:rsidRDefault="00312042" w:rsidP="00CB7E8A">
            <w:pPr>
              <w:spacing w:before="40" w:after="40"/>
              <w:jc w:val="right"/>
              <w:rPr>
                <w:sz w:val="18"/>
                <w:szCs w:val="18"/>
              </w:rPr>
            </w:pPr>
            <w:r w:rsidRPr="00CB7E8A">
              <w:rPr>
                <w:sz w:val="18"/>
                <w:szCs w:val="18"/>
              </w:rPr>
              <w:t>290 000</w:t>
            </w:r>
          </w:p>
        </w:tc>
      </w:tr>
      <w:tr w:rsidR="00F234CD" w:rsidRPr="00631C1C" w14:paraId="08083867" w14:textId="77777777" w:rsidTr="006C1159">
        <w:trPr>
          <w:trHeight w:val="52"/>
          <w:jc w:val="right"/>
        </w:trPr>
        <w:tc>
          <w:tcPr>
            <w:tcW w:w="284" w:type="dxa"/>
            <w:noWrap/>
            <w:hideMark/>
          </w:tcPr>
          <w:p w14:paraId="43FF17EA"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2C4534D7" w14:textId="4AAD3CF1" w:rsidR="00312042" w:rsidRPr="00CB7E8A" w:rsidRDefault="00312042" w:rsidP="00CB7E8A">
            <w:pPr>
              <w:spacing w:before="40" w:after="40"/>
              <w:rPr>
                <w:sz w:val="18"/>
                <w:szCs w:val="18"/>
              </w:rPr>
            </w:pPr>
            <w:r w:rsidRPr="00CB7E8A">
              <w:rPr>
                <w:sz w:val="18"/>
                <w:szCs w:val="18"/>
              </w:rPr>
              <w:t>4.4</w:t>
            </w:r>
            <w:r w:rsidR="006512CC" w:rsidRPr="00CB7E8A">
              <w:rPr>
                <w:sz w:val="18"/>
                <w:szCs w:val="18"/>
              </w:rPr>
              <w:t>.</w:t>
            </w:r>
            <w:r w:rsidRPr="00CB7E8A">
              <w:rPr>
                <w:sz w:val="18"/>
                <w:szCs w:val="18"/>
              </w:rPr>
              <w:t xml:space="preserve"> Cross-cutting activities </w:t>
            </w:r>
          </w:p>
        </w:tc>
        <w:tc>
          <w:tcPr>
            <w:tcW w:w="1275" w:type="dxa"/>
            <w:noWrap/>
            <w:vAlign w:val="center"/>
            <w:hideMark/>
          </w:tcPr>
          <w:p w14:paraId="7608E4DC" w14:textId="77777777" w:rsidR="00312042" w:rsidRPr="00CB7E8A" w:rsidRDefault="00312042" w:rsidP="00CB7E8A">
            <w:pPr>
              <w:spacing w:before="40" w:after="40"/>
              <w:jc w:val="right"/>
              <w:rPr>
                <w:sz w:val="18"/>
                <w:szCs w:val="18"/>
              </w:rPr>
            </w:pPr>
          </w:p>
        </w:tc>
        <w:tc>
          <w:tcPr>
            <w:tcW w:w="1134" w:type="dxa"/>
            <w:noWrap/>
            <w:vAlign w:val="center"/>
            <w:hideMark/>
          </w:tcPr>
          <w:p w14:paraId="4E40B412" w14:textId="77777777" w:rsidR="00312042" w:rsidRPr="00CB7E8A" w:rsidRDefault="00312042" w:rsidP="00CB7E8A">
            <w:pPr>
              <w:spacing w:before="40" w:after="40"/>
              <w:jc w:val="right"/>
              <w:rPr>
                <w:sz w:val="18"/>
                <w:szCs w:val="18"/>
              </w:rPr>
            </w:pPr>
          </w:p>
        </w:tc>
        <w:tc>
          <w:tcPr>
            <w:tcW w:w="1276" w:type="dxa"/>
            <w:noWrap/>
            <w:vAlign w:val="center"/>
            <w:hideMark/>
          </w:tcPr>
          <w:p w14:paraId="234902F6" w14:textId="77777777" w:rsidR="00312042" w:rsidRPr="00CB7E8A" w:rsidRDefault="00312042" w:rsidP="00CB7E8A">
            <w:pPr>
              <w:spacing w:before="40" w:after="40"/>
              <w:jc w:val="right"/>
              <w:rPr>
                <w:sz w:val="18"/>
                <w:szCs w:val="18"/>
              </w:rPr>
            </w:pPr>
          </w:p>
        </w:tc>
        <w:tc>
          <w:tcPr>
            <w:tcW w:w="1134" w:type="dxa"/>
            <w:noWrap/>
            <w:vAlign w:val="center"/>
            <w:hideMark/>
          </w:tcPr>
          <w:p w14:paraId="43036AD6" w14:textId="77777777" w:rsidR="00312042" w:rsidRPr="00CB7E8A" w:rsidRDefault="00312042" w:rsidP="00CB7E8A">
            <w:pPr>
              <w:spacing w:before="40" w:after="40"/>
              <w:jc w:val="right"/>
              <w:rPr>
                <w:sz w:val="18"/>
                <w:szCs w:val="18"/>
              </w:rPr>
            </w:pPr>
            <w:r w:rsidRPr="00CB7E8A">
              <w:rPr>
                <w:sz w:val="18"/>
                <w:szCs w:val="18"/>
              </w:rPr>
              <w:t>180 000</w:t>
            </w:r>
          </w:p>
        </w:tc>
        <w:tc>
          <w:tcPr>
            <w:tcW w:w="1134" w:type="dxa"/>
            <w:noWrap/>
            <w:vAlign w:val="center"/>
            <w:hideMark/>
          </w:tcPr>
          <w:p w14:paraId="75267AEA" w14:textId="77777777" w:rsidR="00312042" w:rsidRPr="00CB7E8A" w:rsidRDefault="00312042" w:rsidP="00CB7E8A">
            <w:pPr>
              <w:spacing w:before="40" w:after="40"/>
              <w:jc w:val="right"/>
              <w:rPr>
                <w:sz w:val="18"/>
                <w:szCs w:val="18"/>
              </w:rPr>
            </w:pPr>
            <w:r w:rsidRPr="00CB7E8A">
              <w:rPr>
                <w:sz w:val="18"/>
                <w:szCs w:val="18"/>
              </w:rPr>
              <w:t>200 000</w:t>
            </w:r>
          </w:p>
        </w:tc>
        <w:tc>
          <w:tcPr>
            <w:tcW w:w="1245" w:type="dxa"/>
            <w:noWrap/>
            <w:vAlign w:val="center"/>
            <w:hideMark/>
          </w:tcPr>
          <w:p w14:paraId="604667C7" w14:textId="77777777" w:rsidR="00312042" w:rsidRPr="00CB7E8A" w:rsidRDefault="00312042" w:rsidP="00CB7E8A">
            <w:pPr>
              <w:spacing w:before="40" w:after="40"/>
              <w:jc w:val="right"/>
              <w:rPr>
                <w:sz w:val="18"/>
                <w:szCs w:val="18"/>
              </w:rPr>
            </w:pPr>
            <w:r w:rsidRPr="00CB7E8A">
              <w:rPr>
                <w:sz w:val="18"/>
                <w:szCs w:val="18"/>
              </w:rPr>
              <w:t>380 000</w:t>
            </w:r>
          </w:p>
        </w:tc>
      </w:tr>
      <w:tr w:rsidR="00F234CD" w:rsidRPr="00631C1C"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CB7E8A" w:rsidRDefault="00312042" w:rsidP="00CB7E8A">
            <w:pPr>
              <w:spacing w:before="40" w:after="40"/>
              <w:rPr>
                <w:b/>
                <w:bCs/>
                <w:sz w:val="18"/>
                <w:szCs w:val="18"/>
              </w:rPr>
            </w:pPr>
            <w:r w:rsidRPr="00CB7E8A">
              <w:rPr>
                <w:b/>
                <w:bCs/>
                <w:sz w:val="18"/>
                <w:szCs w:val="18"/>
              </w:rPr>
              <w:t>4. Capacity-building and technical assistance programme of the Minamata Convention</w:t>
            </w:r>
          </w:p>
        </w:tc>
        <w:tc>
          <w:tcPr>
            <w:tcW w:w="1275" w:type="dxa"/>
            <w:tcBorders>
              <w:bottom w:val="single" w:sz="4" w:space="0" w:color="auto"/>
            </w:tcBorders>
            <w:shd w:val="clear" w:color="000000" w:fill="B4C6E7"/>
            <w:noWrap/>
            <w:vAlign w:val="center"/>
            <w:hideMark/>
          </w:tcPr>
          <w:p w14:paraId="4BC07806"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1C9594B"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1473674B"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2A4E61F1" w14:textId="77777777" w:rsidR="00312042" w:rsidRPr="00CB7E8A" w:rsidRDefault="00312042" w:rsidP="00CB7E8A">
            <w:pPr>
              <w:spacing w:before="40" w:after="40"/>
              <w:jc w:val="right"/>
              <w:rPr>
                <w:b/>
                <w:bCs/>
                <w:sz w:val="18"/>
                <w:szCs w:val="18"/>
              </w:rPr>
            </w:pPr>
            <w:r w:rsidRPr="00CB7E8A">
              <w:rPr>
                <w:b/>
                <w:bCs/>
                <w:sz w:val="18"/>
                <w:szCs w:val="18"/>
              </w:rPr>
              <w:t>770 000</w:t>
            </w:r>
          </w:p>
        </w:tc>
        <w:tc>
          <w:tcPr>
            <w:tcW w:w="1134" w:type="dxa"/>
            <w:tcBorders>
              <w:bottom w:val="single" w:sz="4" w:space="0" w:color="auto"/>
            </w:tcBorders>
            <w:shd w:val="clear" w:color="000000" w:fill="B4C6E7"/>
            <w:noWrap/>
            <w:vAlign w:val="center"/>
            <w:hideMark/>
          </w:tcPr>
          <w:p w14:paraId="1C102F26" w14:textId="77777777" w:rsidR="00312042" w:rsidRPr="00CB7E8A" w:rsidRDefault="00312042" w:rsidP="00CB7E8A">
            <w:pPr>
              <w:spacing w:before="40" w:after="40"/>
              <w:jc w:val="right"/>
              <w:rPr>
                <w:b/>
                <w:bCs/>
                <w:sz w:val="18"/>
                <w:szCs w:val="18"/>
              </w:rPr>
            </w:pPr>
            <w:r w:rsidRPr="00CB7E8A">
              <w:rPr>
                <w:b/>
                <w:bCs/>
                <w:sz w:val="18"/>
                <w:szCs w:val="18"/>
              </w:rPr>
              <w:t>750 000</w:t>
            </w:r>
          </w:p>
        </w:tc>
        <w:tc>
          <w:tcPr>
            <w:tcW w:w="1245" w:type="dxa"/>
            <w:tcBorders>
              <w:bottom w:val="single" w:sz="4" w:space="0" w:color="auto"/>
            </w:tcBorders>
            <w:shd w:val="clear" w:color="000000" w:fill="B4C6E7"/>
            <w:noWrap/>
            <w:vAlign w:val="center"/>
            <w:hideMark/>
          </w:tcPr>
          <w:p w14:paraId="33ED7B0E" w14:textId="77777777" w:rsidR="00312042" w:rsidRPr="00CB7E8A" w:rsidRDefault="00312042" w:rsidP="00CB7E8A">
            <w:pPr>
              <w:spacing w:before="40" w:after="40"/>
              <w:jc w:val="right"/>
              <w:rPr>
                <w:b/>
                <w:bCs/>
                <w:sz w:val="18"/>
                <w:szCs w:val="18"/>
              </w:rPr>
            </w:pPr>
            <w:r w:rsidRPr="00CB7E8A">
              <w:rPr>
                <w:b/>
                <w:bCs/>
                <w:sz w:val="18"/>
                <w:szCs w:val="18"/>
              </w:rPr>
              <w:t>1 520 000</w:t>
            </w:r>
          </w:p>
        </w:tc>
      </w:tr>
      <w:tr w:rsidR="00F234CD" w:rsidRPr="00631C1C"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CB7E8A" w:rsidRDefault="00312042" w:rsidP="00CB7E8A">
            <w:pPr>
              <w:spacing w:before="40" w:after="40"/>
              <w:ind w:firstLineChars="100" w:firstLine="181"/>
              <w:rPr>
                <w:b/>
                <w:bCs/>
                <w:sz w:val="18"/>
                <w:szCs w:val="18"/>
              </w:rPr>
            </w:pPr>
            <w:r w:rsidRPr="00CB7E8A">
              <w:rPr>
                <w:b/>
                <w:bCs/>
                <w:sz w:val="18"/>
                <w:szCs w:val="18"/>
              </w:rPr>
              <w:t xml:space="preserve">Total (B) </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5A988570" w14:textId="77777777" w:rsidR="00312042" w:rsidRPr="00CB7E8A" w:rsidRDefault="00312042" w:rsidP="00CB7E8A">
            <w:pPr>
              <w:spacing w:before="40" w:after="40"/>
              <w:jc w:val="right"/>
              <w:rPr>
                <w:b/>
                <w:bCs/>
                <w:sz w:val="18"/>
                <w:szCs w:val="18"/>
              </w:rPr>
            </w:pPr>
            <w:r w:rsidRPr="00CB7E8A">
              <w:rPr>
                <w:b/>
                <w:bCs/>
                <w:sz w:val="18"/>
                <w:szCs w:val="18"/>
              </w:rPr>
              <w:t>770 000</w:t>
            </w:r>
          </w:p>
        </w:tc>
        <w:tc>
          <w:tcPr>
            <w:tcW w:w="1134" w:type="dxa"/>
            <w:tcBorders>
              <w:top w:val="single" w:sz="4" w:space="0" w:color="auto"/>
              <w:bottom w:val="single" w:sz="4" w:space="0" w:color="auto"/>
            </w:tcBorders>
            <w:shd w:val="clear" w:color="000000" w:fill="DBB731"/>
            <w:noWrap/>
            <w:vAlign w:val="center"/>
            <w:hideMark/>
          </w:tcPr>
          <w:p w14:paraId="2843FDA5" w14:textId="77777777" w:rsidR="00312042" w:rsidRPr="00CB7E8A" w:rsidRDefault="00312042" w:rsidP="00CB7E8A">
            <w:pPr>
              <w:spacing w:before="40" w:after="40"/>
              <w:jc w:val="right"/>
              <w:rPr>
                <w:b/>
                <w:bCs/>
                <w:sz w:val="18"/>
                <w:szCs w:val="18"/>
              </w:rPr>
            </w:pPr>
            <w:r w:rsidRPr="00CB7E8A">
              <w:rPr>
                <w:b/>
                <w:bCs/>
                <w:sz w:val="18"/>
                <w:szCs w:val="18"/>
              </w:rPr>
              <w:t>750 000</w:t>
            </w:r>
          </w:p>
        </w:tc>
        <w:tc>
          <w:tcPr>
            <w:tcW w:w="1245" w:type="dxa"/>
            <w:tcBorders>
              <w:top w:val="single" w:sz="4" w:space="0" w:color="auto"/>
              <w:bottom w:val="single" w:sz="4" w:space="0" w:color="auto"/>
            </w:tcBorders>
            <w:shd w:val="clear" w:color="000000" w:fill="DBB731"/>
            <w:noWrap/>
            <w:vAlign w:val="center"/>
            <w:hideMark/>
          </w:tcPr>
          <w:p w14:paraId="53666241" w14:textId="77777777" w:rsidR="00312042" w:rsidRPr="00CB7E8A" w:rsidRDefault="00312042" w:rsidP="00CB7E8A">
            <w:pPr>
              <w:spacing w:before="40" w:after="40"/>
              <w:jc w:val="right"/>
              <w:rPr>
                <w:b/>
                <w:bCs/>
                <w:sz w:val="18"/>
                <w:szCs w:val="18"/>
              </w:rPr>
            </w:pPr>
            <w:r w:rsidRPr="00CB7E8A">
              <w:rPr>
                <w:b/>
                <w:bCs/>
                <w:sz w:val="18"/>
                <w:szCs w:val="18"/>
              </w:rPr>
              <w:t>1 520 000</w:t>
            </w:r>
          </w:p>
        </w:tc>
      </w:tr>
      <w:tr w:rsidR="00F234CD" w:rsidRPr="00631C1C"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CB7E8A" w:rsidRDefault="00312042" w:rsidP="00CB7E8A">
            <w:pPr>
              <w:keepNext/>
              <w:keepLines/>
              <w:spacing w:before="40" w:after="40"/>
              <w:rPr>
                <w:b/>
                <w:bCs/>
                <w:sz w:val="18"/>
                <w:szCs w:val="18"/>
              </w:rPr>
            </w:pPr>
            <w:r w:rsidRPr="00CB7E8A">
              <w:rPr>
                <w:b/>
                <w:bCs/>
                <w:sz w:val="18"/>
                <w:szCs w:val="18"/>
              </w:rPr>
              <w:t>C. Scientific and technical activities</w:t>
            </w:r>
          </w:p>
        </w:tc>
        <w:tc>
          <w:tcPr>
            <w:tcW w:w="1275" w:type="dxa"/>
            <w:tcBorders>
              <w:top w:val="single" w:sz="4" w:space="0" w:color="auto"/>
            </w:tcBorders>
            <w:noWrap/>
            <w:vAlign w:val="center"/>
            <w:hideMark/>
          </w:tcPr>
          <w:p w14:paraId="31FB03BA"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05CAD582" w14:textId="77777777" w:rsidR="00312042" w:rsidRPr="00CB7E8A" w:rsidRDefault="00312042" w:rsidP="00CB7E8A">
            <w:pPr>
              <w:keepNext/>
              <w:keepLines/>
              <w:spacing w:before="40" w:after="40"/>
              <w:jc w:val="right"/>
              <w:rPr>
                <w:b/>
                <w:bCs/>
                <w:sz w:val="18"/>
                <w:szCs w:val="18"/>
              </w:rPr>
            </w:pPr>
          </w:p>
        </w:tc>
        <w:tc>
          <w:tcPr>
            <w:tcW w:w="1276" w:type="dxa"/>
            <w:tcBorders>
              <w:top w:val="single" w:sz="4" w:space="0" w:color="auto"/>
            </w:tcBorders>
            <w:noWrap/>
            <w:vAlign w:val="center"/>
            <w:hideMark/>
          </w:tcPr>
          <w:p w14:paraId="516D9505"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73FAD4E1"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78C5A370" w14:textId="77777777" w:rsidR="00312042" w:rsidRPr="00CB7E8A" w:rsidRDefault="00312042" w:rsidP="00CB7E8A">
            <w:pPr>
              <w:keepNext/>
              <w:keepLines/>
              <w:spacing w:before="40" w:after="40"/>
              <w:jc w:val="right"/>
              <w:rPr>
                <w:b/>
                <w:bCs/>
                <w:sz w:val="18"/>
                <w:szCs w:val="18"/>
              </w:rPr>
            </w:pPr>
          </w:p>
        </w:tc>
        <w:tc>
          <w:tcPr>
            <w:tcW w:w="1245" w:type="dxa"/>
            <w:tcBorders>
              <w:top w:val="single" w:sz="4" w:space="0" w:color="auto"/>
            </w:tcBorders>
            <w:noWrap/>
            <w:vAlign w:val="center"/>
            <w:hideMark/>
          </w:tcPr>
          <w:p w14:paraId="511BE883" w14:textId="77777777" w:rsidR="00312042" w:rsidRPr="00CB7E8A" w:rsidRDefault="00312042" w:rsidP="00CB7E8A">
            <w:pPr>
              <w:keepNext/>
              <w:keepLines/>
              <w:spacing w:before="40" w:after="40"/>
              <w:jc w:val="right"/>
              <w:rPr>
                <w:b/>
                <w:bCs/>
                <w:sz w:val="18"/>
                <w:szCs w:val="18"/>
              </w:rPr>
            </w:pPr>
          </w:p>
        </w:tc>
      </w:tr>
      <w:tr w:rsidR="00F234CD" w:rsidRPr="00631C1C"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CB7E8A" w:rsidRDefault="00312042" w:rsidP="00CB7E8A">
            <w:pPr>
              <w:keepNext/>
              <w:keepLines/>
              <w:spacing w:before="40" w:after="40"/>
              <w:rPr>
                <w:b/>
                <w:bCs/>
                <w:sz w:val="18"/>
                <w:szCs w:val="18"/>
              </w:rPr>
            </w:pPr>
            <w:r w:rsidRPr="00CB7E8A">
              <w:rPr>
                <w:b/>
                <w:bCs/>
                <w:sz w:val="18"/>
                <w:szCs w:val="18"/>
              </w:rPr>
              <w:t>5. Scientific support to the parties to the Minamata Convention</w:t>
            </w:r>
          </w:p>
        </w:tc>
        <w:tc>
          <w:tcPr>
            <w:tcW w:w="1275" w:type="dxa"/>
            <w:tcBorders>
              <w:top w:val="nil"/>
            </w:tcBorders>
            <w:noWrap/>
            <w:vAlign w:val="center"/>
            <w:hideMark/>
          </w:tcPr>
          <w:p w14:paraId="4DD405AE" w14:textId="77777777" w:rsidR="00312042" w:rsidRPr="00CB7E8A" w:rsidRDefault="00312042" w:rsidP="00CB7E8A">
            <w:pPr>
              <w:keepNext/>
              <w:keepLines/>
              <w:spacing w:before="40" w:after="40"/>
              <w:jc w:val="right"/>
              <w:rPr>
                <w:b/>
                <w:bCs/>
                <w:sz w:val="18"/>
                <w:szCs w:val="18"/>
              </w:rPr>
            </w:pPr>
          </w:p>
        </w:tc>
        <w:tc>
          <w:tcPr>
            <w:tcW w:w="1134" w:type="dxa"/>
            <w:tcBorders>
              <w:top w:val="nil"/>
            </w:tcBorders>
            <w:noWrap/>
            <w:vAlign w:val="center"/>
            <w:hideMark/>
          </w:tcPr>
          <w:p w14:paraId="59EAC8EA" w14:textId="77777777" w:rsidR="00312042" w:rsidRPr="00CB7E8A" w:rsidRDefault="00312042" w:rsidP="00CB7E8A">
            <w:pPr>
              <w:keepNext/>
              <w:keepLines/>
              <w:spacing w:before="40" w:after="40"/>
              <w:jc w:val="right"/>
              <w:rPr>
                <w:b/>
                <w:bCs/>
                <w:sz w:val="18"/>
                <w:szCs w:val="18"/>
              </w:rPr>
            </w:pPr>
          </w:p>
        </w:tc>
        <w:tc>
          <w:tcPr>
            <w:tcW w:w="1276" w:type="dxa"/>
            <w:tcBorders>
              <w:top w:val="nil"/>
            </w:tcBorders>
            <w:noWrap/>
            <w:vAlign w:val="center"/>
            <w:hideMark/>
          </w:tcPr>
          <w:p w14:paraId="1F2A97A5" w14:textId="77777777" w:rsidR="00312042" w:rsidRPr="00CB7E8A" w:rsidRDefault="00312042" w:rsidP="00CB7E8A">
            <w:pPr>
              <w:keepNext/>
              <w:keepLines/>
              <w:spacing w:before="40" w:after="40"/>
              <w:jc w:val="right"/>
              <w:rPr>
                <w:sz w:val="18"/>
                <w:szCs w:val="18"/>
              </w:rPr>
            </w:pPr>
          </w:p>
        </w:tc>
        <w:tc>
          <w:tcPr>
            <w:tcW w:w="1134" w:type="dxa"/>
            <w:tcBorders>
              <w:top w:val="nil"/>
            </w:tcBorders>
            <w:noWrap/>
            <w:vAlign w:val="center"/>
            <w:hideMark/>
          </w:tcPr>
          <w:p w14:paraId="4008583A" w14:textId="77777777" w:rsidR="00312042" w:rsidRPr="00CB7E8A" w:rsidRDefault="00312042" w:rsidP="00CB7E8A">
            <w:pPr>
              <w:keepNext/>
              <w:keepLines/>
              <w:spacing w:before="40" w:after="40"/>
              <w:jc w:val="right"/>
              <w:rPr>
                <w:b/>
                <w:bCs/>
                <w:sz w:val="18"/>
                <w:szCs w:val="18"/>
              </w:rPr>
            </w:pPr>
          </w:p>
        </w:tc>
        <w:tc>
          <w:tcPr>
            <w:tcW w:w="1134" w:type="dxa"/>
            <w:tcBorders>
              <w:top w:val="nil"/>
            </w:tcBorders>
            <w:noWrap/>
            <w:vAlign w:val="center"/>
            <w:hideMark/>
          </w:tcPr>
          <w:p w14:paraId="1B2D8742" w14:textId="77777777" w:rsidR="00312042" w:rsidRPr="00CB7E8A" w:rsidRDefault="00312042" w:rsidP="00CB7E8A">
            <w:pPr>
              <w:keepNext/>
              <w:keepLines/>
              <w:spacing w:before="40" w:after="40"/>
              <w:jc w:val="right"/>
              <w:rPr>
                <w:b/>
                <w:bCs/>
                <w:sz w:val="18"/>
                <w:szCs w:val="18"/>
              </w:rPr>
            </w:pPr>
          </w:p>
        </w:tc>
        <w:tc>
          <w:tcPr>
            <w:tcW w:w="1245" w:type="dxa"/>
            <w:tcBorders>
              <w:top w:val="nil"/>
            </w:tcBorders>
            <w:noWrap/>
            <w:vAlign w:val="center"/>
            <w:hideMark/>
          </w:tcPr>
          <w:p w14:paraId="3CAAAED1" w14:textId="77777777" w:rsidR="00312042" w:rsidRPr="00CB7E8A" w:rsidRDefault="00312042" w:rsidP="00CB7E8A">
            <w:pPr>
              <w:keepNext/>
              <w:keepLines/>
              <w:spacing w:before="40" w:after="40"/>
              <w:jc w:val="right"/>
              <w:rPr>
                <w:sz w:val="18"/>
                <w:szCs w:val="18"/>
              </w:rPr>
            </w:pPr>
          </w:p>
        </w:tc>
      </w:tr>
      <w:tr w:rsidR="00F234CD" w:rsidRPr="00631C1C" w14:paraId="7A422F2A" w14:textId="77777777" w:rsidTr="009A58EE">
        <w:trPr>
          <w:trHeight w:val="300"/>
          <w:jc w:val="right"/>
        </w:trPr>
        <w:tc>
          <w:tcPr>
            <w:tcW w:w="284" w:type="dxa"/>
            <w:noWrap/>
            <w:vAlign w:val="center"/>
            <w:hideMark/>
          </w:tcPr>
          <w:p w14:paraId="7DABFDE8"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4A38B979" w14:textId="277FC442" w:rsidR="00312042" w:rsidRPr="00CB7E8A" w:rsidRDefault="00312042" w:rsidP="00CB7E8A">
            <w:pPr>
              <w:spacing w:before="40" w:after="40"/>
              <w:rPr>
                <w:sz w:val="18"/>
                <w:szCs w:val="18"/>
              </w:rPr>
            </w:pPr>
            <w:r w:rsidRPr="00CB7E8A">
              <w:rPr>
                <w:sz w:val="18"/>
                <w:szCs w:val="18"/>
              </w:rPr>
              <w:t>5.1</w:t>
            </w:r>
            <w:r w:rsidR="006512CC" w:rsidRPr="00CB7E8A">
              <w:rPr>
                <w:sz w:val="18"/>
                <w:szCs w:val="18"/>
              </w:rPr>
              <w:t>.</w:t>
            </w:r>
            <w:r w:rsidRPr="00CB7E8A">
              <w:rPr>
                <w:sz w:val="18"/>
                <w:szCs w:val="18"/>
              </w:rPr>
              <w:t xml:space="preserve"> Improvement in methods for mercury inventories</w:t>
            </w:r>
          </w:p>
        </w:tc>
        <w:tc>
          <w:tcPr>
            <w:tcW w:w="1275" w:type="dxa"/>
            <w:noWrap/>
            <w:vAlign w:val="center"/>
            <w:hideMark/>
          </w:tcPr>
          <w:p w14:paraId="7D302B19" w14:textId="77777777" w:rsidR="00312042" w:rsidRPr="00CB7E8A" w:rsidRDefault="00312042" w:rsidP="00CB7E8A">
            <w:pPr>
              <w:spacing w:before="40" w:after="40"/>
              <w:jc w:val="right"/>
              <w:rPr>
                <w:sz w:val="18"/>
                <w:szCs w:val="18"/>
              </w:rPr>
            </w:pPr>
          </w:p>
        </w:tc>
        <w:tc>
          <w:tcPr>
            <w:tcW w:w="1134" w:type="dxa"/>
            <w:noWrap/>
            <w:vAlign w:val="center"/>
            <w:hideMark/>
          </w:tcPr>
          <w:p w14:paraId="3BF25D9C" w14:textId="77777777" w:rsidR="00312042" w:rsidRPr="00CB7E8A" w:rsidRDefault="00312042" w:rsidP="00CB7E8A">
            <w:pPr>
              <w:spacing w:before="40" w:after="40"/>
              <w:jc w:val="right"/>
              <w:rPr>
                <w:sz w:val="18"/>
                <w:szCs w:val="18"/>
              </w:rPr>
            </w:pPr>
          </w:p>
        </w:tc>
        <w:tc>
          <w:tcPr>
            <w:tcW w:w="1276" w:type="dxa"/>
            <w:noWrap/>
            <w:vAlign w:val="center"/>
            <w:hideMark/>
          </w:tcPr>
          <w:p w14:paraId="5BFE0981" w14:textId="77777777" w:rsidR="00312042" w:rsidRPr="00CB7E8A" w:rsidRDefault="00312042" w:rsidP="00CB7E8A">
            <w:pPr>
              <w:spacing w:before="40" w:after="40"/>
              <w:jc w:val="right"/>
              <w:rPr>
                <w:sz w:val="18"/>
                <w:szCs w:val="18"/>
              </w:rPr>
            </w:pPr>
          </w:p>
        </w:tc>
        <w:tc>
          <w:tcPr>
            <w:tcW w:w="1134" w:type="dxa"/>
            <w:noWrap/>
            <w:vAlign w:val="center"/>
            <w:hideMark/>
          </w:tcPr>
          <w:p w14:paraId="3BBF7FEB"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3C9B1CFC"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25B3B562"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0D843A2C" w14:textId="77777777" w:rsidTr="009A58EE">
        <w:trPr>
          <w:trHeight w:val="300"/>
          <w:jc w:val="right"/>
        </w:trPr>
        <w:tc>
          <w:tcPr>
            <w:tcW w:w="284" w:type="dxa"/>
            <w:noWrap/>
            <w:vAlign w:val="center"/>
            <w:hideMark/>
          </w:tcPr>
          <w:p w14:paraId="581851CC"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3806DC8C" w14:textId="36B7C019" w:rsidR="00312042" w:rsidRPr="00CB7E8A" w:rsidRDefault="00312042" w:rsidP="00CB7E8A">
            <w:pPr>
              <w:spacing w:before="40" w:after="40"/>
              <w:rPr>
                <w:sz w:val="18"/>
                <w:szCs w:val="18"/>
              </w:rPr>
            </w:pPr>
            <w:r w:rsidRPr="00CB7E8A">
              <w:rPr>
                <w:sz w:val="18"/>
                <w:szCs w:val="18"/>
              </w:rPr>
              <w:t>5.2</w:t>
            </w:r>
            <w:r w:rsidR="006512CC" w:rsidRPr="00CB7E8A">
              <w:rPr>
                <w:sz w:val="18"/>
                <w:szCs w:val="18"/>
              </w:rPr>
              <w:t>.</w:t>
            </w:r>
            <w:r w:rsidRPr="00CB7E8A">
              <w:rPr>
                <w:sz w:val="18"/>
                <w:szCs w:val="18"/>
              </w:rPr>
              <w:t xml:space="preserve"> Information exchange on modelling and monitoring</w:t>
            </w:r>
          </w:p>
        </w:tc>
        <w:tc>
          <w:tcPr>
            <w:tcW w:w="1275" w:type="dxa"/>
            <w:noWrap/>
            <w:vAlign w:val="center"/>
            <w:hideMark/>
          </w:tcPr>
          <w:p w14:paraId="7A47ADBD" w14:textId="77777777" w:rsidR="00312042" w:rsidRPr="00CB7E8A" w:rsidRDefault="00312042" w:rsidP="00CB7E8A">
            <w:pPr>
              <w:spacing w:before="40" w:after="40"/>
              <w:jc w:val="right"/>
              <w:rPr>
                <w:sz w:val="18"/>
                <w:szCs w:val="18"/>
              </w:rPr>
            </w:pPr>
          </w:p>
        </w:tc>
        <w:tc>
          <w:tcPr>
            <w:tcW w:w="1134" w:type="dxa"/>
            <w:noWrap/>
            <w:vAlign w:val="center"/>
            <w:hideMark/>
          </w:tcPr>
          <w:p w14:paraId="2AE1256C" w14:textId="77777777" w:rsidR="00312042" w:rsidRPr="00CB7E8A" w:rsidRDefault="00312042" w:rsidP="00CB7E8A">
            <w:pPr>
              <w:spacing w:before="40" w:after="40"/>
              <w:jc w:val="right"/>
              <w:rPr>
                <w:sz w:val="18"/>
                <w:szCs w:val="18"/>
              </w:rPr>
            </w:pPr>
          </w:p>
        </w:tc>
        <w:tc>
          <w:tcPr>
            <w:tcW w:w="1276" w:type="dxa"/>
            <w:noWrap/>
            <w:vAlign w:val="center"/>
            <w:hideMark/>
          </w:tcPr>
          <w:p w14:paraId="1A655A28" w14:textId="77777777" w:rsidR="00312042" w:rsidRPr="00CB7E8A" w:rsidRDefault="00312042" w:rsidP="00CB7E8A">
            <w:pPr>
              <w:spacing w:before="40" w:after="40"/>
              <w:jc w:val="right"/>
              <w:rPr>
                <w:sz w:val="18"/>
                <w:szCs w:val="18"/>
              </w:rPr>
            </w:pPr>
          </w:p>
        </w:tc>
        <w:tc>
          <w:tcPr>
            <w:tcW w:w="1134" w:type="dxa"/>
            <w:noWrap/>
            <w:vAlign w:val="center"/>
            <w:hideMark/>
          </w:tcPr>
          <w:p w14:paraId="3D4073AB"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6CA2375E"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2632FF98"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21AC0940" w14:textId="77777777" w:rsidTr="009A58EE">
        <w:trPr>
          <w:trHeight w:val="300"/>
          <w:jc w:val="right"/>
        </w:trPr>
        <w:tc>
          <w:tcPr>
            <w:tcW w:w="284" w:type="dxa"/>
            <w:noWrap/>
            <w:vAlign w:val="center"/>
            <w:hideMark/>
          </w:tcPr>
          <w:p w14:paraId="24B85632"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4ECF7615" w14:textId="626C297D" w:rsidR="00312042" w:rsidRPr="00CB7E8A" w:rsidRDefault="00312042" w:rsidP="00CB7E8A">
            <w:pPr>
              <w:spacing w:before="40" w:after="40"/>
              <w:rPr>
                <w:sz w:val="18"/>
                <w:szCs w:val="18"/>
              </w:rPr>
            </w:pPr>
            <w:r w:rsidRPr="00CB7E8A">
              <w:rPr>
                <w:sz w:val="18"/>
                <w:szCs w:val="18"/>
              </w:rPr>
              <w:t>5.3</w:t>
            </w:r>
            <w:r w:rsidR="006512CC" w:rsidRPr="00CB7E8A">
              <w:rPr>
                <w:sz w:val="18"/>
                <w:szCs w:val="18"/>
              </w:rPr>
              <w:t>.</w:t>
            </w:r>
            <w:r w:rsidRPr="00CB7E8A">
              <w:rPr>
                <w:sz w:val="18"/>
                <w:szCs w:val="18"/>
              </w:rPr>
              <w:t xml:space="preserve"> Assessment of </w:t>
            </w:r>
            <w:r w:rsidR="006512CC" w:rsidRPr="00CB7E8A">
              <w:rPr>
                <w:sz w:val="18"/>
                <w:szCs w:val="18"/>
              </w:rPr>
              <w:t xml:space="preserve">the </w:t>
            </w:r>
            <w:r w:rsidRPr="00CB7E8A">
              <w:rPr>
                <w:sz w:val="18"/>
                <w:szCs w:val="18"/>
              </w:rPr>
              <w:t>health, environmental and socioeconomic impact of mercury</w:t>
            </w:r>
          </w:p>
        </w:tc>
        <w:tc>
          <w:tcPr>
            <w:tcW w:w="1275" w:type="dxa"/>
            <w:noWrap/>
            <w:vAlign w:val="center"/>
            <w:hideMark/>
          </w:tcPr>
          <w:p w14:paraId="07F1ED22" w14:textId="77777777" w:rsidR="00312042" w:rsidRPr="00CB7E8A" w:rsidRDefault="00312042" w:rsidP="00CB7E8A">
            <w:pPr>
              <w:spacing w:before="40" w:after="40"/>
              <w:jc w:val="right"/>
              <w:rPr>
                <w:sz w:val="18"/>
                <w:szCs w:val="18"/>
              </w:rPr>
            </w:pPr>
          </w:p>
        </w:tc>
        <w:tc>
          <w:tcPr>
            <w:tcW w:w="1134" w:type="dxa"/>
            <w:noWrap/>
            <w:vAlign w:val="center"/>
            <w:hideMark/>
          </w:tcPr>
          <w:p w14:paraId="6722DB3C" w14:textId="77777777" w:rsidR="00312042" w:rsidRPr="00CB7E8A" w:rsidRDefault="00312042" w:rsidP="00CB7E8A">
            <w:pPr>
              <w:spacing w:before="40" w:after="40"/>
              <w:jc w:val="right"/>
              <w:rPr>
                <w:sz w:val="18"/>
                <w:szCs w:val="18"/>
              </w:rPr>
            </w:pPr>
          </w:p>
        </w:tc>
        <w:tc>
          <w:tcPr>
            <w:tcW w:w="1276" w:type="dxa"/>
            <w:noWrap/>
            <w:vAlign w:val="center"/>
            <w:hideMark/>
          </w:tcPr>
          <w:p w14:paraId="3F417B3E" w14:textId="77777777" w:rsidR="00312042" w:rsidRPr="00CB7E8A" w:rsidRDefault="00312042" w:rsidP="00CB7E8A">
            <w:pPr>
              <w:spacing w:before="40" w:after="40"/>
              <w:jc w:val="right"/>
              <w:rPr>
                <w:sz w:val="18"/>
                <w:szCs w:val="18"/>
              </w:rPr>
            </w:pPr>
          </w:p>
        </w:tc>
        <w:tc>
          <w:tcPr>
            <w:tcW w:w="1134" w:type="dxa"/>
            <w:noWrap/>
            <w:vAlign w:val="center"/>
            <w:hideMark/>
          </w:tcPr>
          <w:p w14:paraId="4E21C952" w14:textId="77777777" w:rsidR="00312042" w:rsidRPr="00CB7E8A" w:rsidRDefault="00312042" w:rsidP="00CB7E8A">
            <w:pPr>
              <w:spacing w:before="40" w:after="40"/>
              <w:jc w:val="right"/>
              <w:rPr>
                <w:sz w:val="18"/>
                <w:szCs w:val="18"/>
              </w:rPr>
            </w:pPr>
            <w:r w:rsidRPr="00CB7E8A">
              <w:rPr>
                <w:sz w:val="18"/>
                <w:szCs w:val="18"/>
              </w:rPr>
              <w:t>75 000</w:t>
            </w:r>
          </w:p>
        </w:tc>
        <w:tc>
          <w:tcPr>
            <w:tcW w:w="1134" w:type="dxa"/>
            <w:noWrap/>
            <w:vAlign w:val="center"/>
            <w:hideMark/>
          </w:tcPr>
          <w:p w14:paraId="013539CA" w14:textId="77777777" w:rsidR="00312042" w:rsidRPr="00CB7E8A" w:rsidRDefault="00312042" w:rsidP="00CB7E8A">
            <w:pPr>
              <w:spacing w:before="40" w:after="40"/>
              <w:jc w:val="right"/>
              <w:rPr>
                <w:sz w:val="18"/>
                <w:szCs w:val="18"/>
              </w:rPr>
            </w:pPr>
            <w:r w:rsidRPr="00CB7E8A">
              <w:rPr>
                <w:sz w:val="18"/>
                <w:szCs w:val="18"/>
              </w:rPr>
              <w:t>75 000</w:t>
            </w:r>
          </w:p>
        </w:tc>
        <w:tc>
          <w:tcPr>
            <w:tcW w:w="1245" w:type="dxa"/>
            <w:noWrap/>
            <w:vAlign w:val="center"/>
            <w:hideMark/>
          </w:tcPr>
          <w:p w14:paraId="71F6BC8B" w14:textId="77777777" w:rsidR="00312042" w:rsidRPr="00CB7E8A" w:rsidRDefault="00312042" w:rsidP="00CB7E8A">
            <w:pPr>
              <w:spacing w:before="40" w:after="40"/>
              <w:jc w:val="right"/>
              <w:rPr>
                <w:sz w:val="18"/>
                <w:szCs w:val="18"/>
              </w:rPr>
            </w:pPr>
            <w:r w:rsidRPr="00CB7E8A">
              <w:rPr>
                <w:sz w:val="18"/>
                <w:szCs w:val="18"/>
              </w:rPr>
              <w:t>150 000</w:t>
            </w:r>
          </w:p>
        </w:tc>
      </w:tr>
      <w:tr w:rsidR="00F234CD" w:rsidRPr="00631C1C" w14:paraId="3416D2CA" w14:textId="77777777" w:rsidTr="009A58EE">
        <w:trPr>
          <w:trHeight w:val="300"/>
          <w:jc w:val="right"/>
        </w:trPr>
        <w:tc>
          <w:tcPr>
            <w:tcW w:w="284" w:type="dxa"/>
            <w:noWrap/>
            <w:vAlign w:val="center"/>
            <w:hideMark/>
          </w:tcPr>
          <w:p w14:paraId="5FEB98B7"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6C4E94B8" w14:textId="64442E49" w:rsidR="00312042" w:rsidRPr="00CB7E8A" w:rsidRDefault="00312042" w:rsidP="00CB7E8A">
            <w:pPr>
              <w:spacing w:before="40" w:after="40"/>
              <w:rPr>
                <w:sz w:val="18"/>
                <w:szCs w:val="18"/>
              </w:rPr>
            </w:pPr>
            <w:r w:rsidRPr="00CB7E8A">
              <w:rPr>
                <w:sz w:val="18"/>
                <w:szCs w:val="18"/>
              </w:rPr>
              <w:t>5.4</w:t>
            </w:r>
            <w:r w:rsidR="006512CC" w:rsidRPr="00CB7E8A">
              <w:rPr>
                <w:sz w:val="18"/>
                <w:szCs w:val="18"/>
              </w:rPr>
              <w:t>.</w:t>
            </w:r>
            <w:r w:rsidRPr="00CB7E8A">
              <w:rPr>
                <w:sz w:val="18"/>
                <w:szCs w:val="18"/>
              </w:rPr>
              <w:t xml:space="preserve"> Information exchange in mercury reduction technologies</w:t>
            </w:r>
          </w:p>
        </w:tc>
        <w:tc>
          <w:tcPr>
            <w:tcW w:w="1275" w:type="dxa"/>
            <w:noWrap/>
            <w:vAlign w:val="center"/>
            <w:hideMark/>
          </w:tcPr>
          <w:p w14:paraId="1DAC5ACB" w14:textId="77777777" w:rsidR="00312042" w:rsidRPr="00CB7E8A" w:rsidRDefault="00312042" w:rsidP="00CB7E8A">
            <w:pPr>
              <w:spacing w:before="40" w:after="40"/>
              <w:jc w:val="right"/>
              <w:rPr>
                <w:sz w:val="18"/>
                <w:szCs w:val="18"/>
              </w:rPr>
            </w:pPr>
          </w:p>
        </w:tc>
        <w:tc>
          <w:tcPr>
            <w:tcW w:w="1134" w:type="dxa"/>
            <w:noWrap/>
            <w:vAlign w:val="center"/>
            <w:hideMark/>
          </w:tcPr>
          <w:p w14:paraId="7823F2A3" w14:textId="77777777" w:rsidR="00312042" w:rsidRPr="00CB7E8A" w:rsidRDefault="00312042" w:rsidP="00CB7E8A">
            <w:pPr>
              <w:spacing w:before="40" w:after="40"/>
              <w:jc w:val="right"/>
              <w:rPr>
                <w:sz w:val="18"/>
                <w:szCs w:val="18"/>
              </w:rPr>
            </w:pPr>
          </w:p>
        </w:tc>
        <w:tc>
          <w:tcPr>
            <w:tcW w:w="1276" w:type="dxa"/>
            <w:noWrap/>
            <w:vAlign w:val="center"/>
            <w:hideMark/>
          </w:tcPr>
          <w:p w14:paraId="16204FB4" w14:textId="77777777" w:rsidR="00312042" w:rsidRPr="00CB7E8A" w:rsidRDefault="00312042" w:rsidP="00CB7E8A">
            <w:pPr>
              <w:spacing w:before="40" w:after="40"/>
              <w:jc w:val="right"/>
              <w:rPr>
                <w:sz w:val="18"/>
                <w:szCs w:val="18"/>
              </w:rPr>
            </w:pPr>
          </w:p>
        </w:tc>
        <w:tc>
          <w:tcPr>
            <w:tcW w:w="1134" w:type="dxa"/>
            <w:noWrap/>
            <w:vAlign w:val="center"/>
            <w:hideMark/>
          </w:tcPr>
          <w:p w14:paraId="709E62DC"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07439427"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469743F4"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4AFA578E" w14:textId="77777777" w:rsidTr="00917804">
        <w:trPr>
          <w:trHeight w:val="86"/>
          <w:jc w:val="right"/>
        </w:trPr>
        <w:tc>
          <w:tcPr>
            <w:tcW w:w="284" w:type="dxa"/>
            <w:noWrap/>
            <w:vAlign w:val="center"/>
            <w:hideMark/>
          </w:tcPr>
          <w:p w14:paraId="6AA15F7B" w14:textId="77777777" w:rsidR="00312042" w:rsidRPr="00CB7E8A" w:rsidRDefault="00312042" w:rsidP="00CB7E8A">
            <w:pPr>
              <w:spacing w:before="40" w:after="40"/>
              <w:rPr>
                <w:b/>
                <w:bCs/>
                <w:sz w:val="18"/>
                <w:szCs w:val="18"/>
              </w:rPr>
            </w:pPr>
            <w:r w:rsidRPr="00CB7E8A">
              <w:rPr>
                <w:b/>
                <w:bCs/>
                <w:sz w:val="18"/>
                <w:szCs w:val="18"/>
              </w:rPr>
              <w:lastRenderedPageBreak/>
              <w:t> </w:t>
            </w:r>
          </w:p>
        </w:tc>
        <w:tc>
          <w:tcPr>
            <w:tcW w:w="6946" w:type="dxa"/>
            <w:noWrap/>
            <w:vAlign w:val="center"/>
            <w:hideMark/>
          </w:tcPr>
          <w:p w14:paraId="4BD8D231" w14:textId="4C63F83C" w:rsidR="00312042" w:rsidRPr="00CB7E8A" w:rsidRDefault="00312042" w:rsidP="00CB7E8A">
            <w:pPr>
              <w:spacing w:before="40" w:after="40"/>
              <w:rPr>
                <w:sz w:val="18"/>
                <w:szCs w:val="18"/>
              </w:rPr>
            </w:pPr>
            <w:r w:rsidRPr="00CB7E8A">
              <w:rPr>
                <w:sz w:val="18"/>
                <w:szCs w:val="18"/>
              </w:rPr>
              <w:t>5.5</w:t>
            </w:r>
            <w:r w:rsidR="006512CC" w:rsidRPr="00CB7E8A">
              <w:rPr>
                <w:sz w:val="18"/>
                <w:szCs w:val="18"/>
              </w:rPr>
              <w:t>.</w:t>
            </w:r>
            <w:r w:rsidRPr="00CB7E8A">
              <w:rPr>
                <w:sz w:val="18"/>
                <w:szCs w:val="18"/>
              </w:rPr>
              <w:t xml:space="preserve"> Cross-cutting scientific and technical activities</w:t>
            </w:r>
          </w:p>
        </w:tc>
        <w:tc>
          <w:tcPr>
            <w:tcW w:w="1275" w:type="dxa"/>
            <w:noWrap/>
            <w:vAlign w:val="center"/>
            <w:hideMark/>
          </w:tcPr>
          <w:p w14:paraId="580479D7" w14:textId="77777777" w:rsidR="00312042" w:rsidRPr="00CB7E8A" w:rsidRDefault="00312042" w:rsidP="00CB7E8A">
            <w:pPr>
              <w:spacing w:before="40" w:after="40"/>
              <w:jc w:val="right"/>
              <w:rPr>
                <w:sz w:val="18"/>
                <w:szCs w:val="18"/>
              </w:rPr>
            </w:pPr>
          </w:p>
        </w:tc>
        <w:tc>
          <w:tcPr>
            <w:tcW w:w="1134" w:type="dxa"/>
            <w:noWrap/>
            <w:vAlign w:val="center"/>
            <w:hideMark/>
          </w:tcPr>
          <w:p w14:paraId="3EC3175B" w14:textId="77777777" w:rsidR="00312042" w:rsidRPr="00CB7E8A" w:rsidRDefault="00312042" w:rsidP="00CB7E8A">
            <w:pPr>
              <w:spacing w:before="40" w:after="40"/>
              <w:jc w:val="right"/>
              <w:rPr>
                <w:sz w:val="18"/>
                <w:szCs w:val="18"/>
              </w:rPr>
            </w:pPr>
          </w:p>
        </w:tc>
        <w:tc>
          <w:tcPr>
            <w:tcW w:w="1276" w:type="dxa"/>
            <w:noWrap/>
            <w:vAlign w:val="center"/>
            <w:hideMark/>
          </w:tcPr>
          <w:p w14:paraId="5D63C743" w14:textId="77777777" w:rsidR="00312042" w:rsidRPr="00CB7E8A" w:rsidRDefault="00312042" w:rsidP="00CB7E8A">
            <w:pPr>
              <w:spacing w:before="40" w:after="40"/>
              <w:jc w:val="right"/>
              <w:rPr>
                <w:sz w:val="18"/>
                <w:szCs w:val="18"/>
              </w:rPr>
            </w:pPr>
          </w:p>
        </w:tc>
        <w:tc>
          <w:tcPr>
            <w:tcW w:w="1134" w:type="dxa"/>
            <w:noWrap/>
            <w:vAlign w:val="center"/>
            <w:hideMark/>
          </w:tcPr>
          <w:p w14:paraId="57E040F0" w14:textId="77777777" w:rsidR="00312042" w:rsidRPr="00CB7E8A" w:rsidRDefault="00312042" w:rsidP="00CB7E8A">
            <w:pPr>
              <w:spacing w:before="40" w:after="40"/>
              <w:jc w:val="right"/>
              <w:rPr>
                <w:sz w:val="18"/>
                <w:szCs w:val="18"/>
              </w:rPr>
            </w:pPr>
            <w:r w:rsidRPr="00CB7E8A">
              <w:rPr>
                <w:sz w:val="18"/>
                <w:szCs w:val="18"/>
              </w:rPr>
              <w:t>570 000</w:t>
            </w:r>
          </w:p>
        </w:tc>
        <w:tc>
          <w:tcPr>
            <w:tcW w:w="1134" w:type="dxa"/>
            <w:noWrap/>
            <w:vAlign w:val="center"/>
            <w:hideMark/>
          </w:tcPr>
          <w:p w14:paraId="51280ABB" w14:textId="77777777" w:rsidR="00312042" w:rsidRPr="00CB7E8A" w:rsidRDefault="00312042" w:rsidP="00CB7E8A">
            <w:pPr>
              <w:spacing w:before="40" w:after="40"/>
              <w:jc w:val="right"/>
              <w:rPr>
                <w:sz w:val="18"/>
                <w:szCs w:val="18"/>
              </w:rPr>
            </w:pPr>
            <w:r w:rsidRPr="00CB7E8A">
              <w:rPr>
                <w:sz w:val="18"/>
                <w:szCs w:val="18"/>
              </w:rPr>
              <w:t>400 000</w:t>
            </w:r>
          </w:p>
        </w:tc>
        <w:tc>
          <w:tcPr>
            <w:tcW w:w="1245" w:type="dxa"/>
            <w:noWrap/>
            <w:vAlign w:val="center"/>
            <w:hideMark/>
          </w:tcPr>
          <w:p w14:paraId="08309615" w14:textId="77777777" w:rsidR="00312042" w:rsidRPr="00CB7E8A" w:rsidRDefault="00312042" w:rsidP="00CB7E8A">
            <w:pPr>
              <w:spacing w:before="40" w:after="40"/>
              <w:jc w:val="right"/>
              <w:rPr>
                <w:sz w:val="18"/>
                <w:szCs w:val="18"/>
              </w:rPr>
            </w:pPr>
            <w:r w:rsidRPr="00CB7E8A">
              <w:rPr>
                <w:sz w:val="18"/>
                <w:szCs w:val="18"/>
              </w:rPr>
              <w:t>970 000</w:t>
            </w:r>
          </w:p>
        </w:tc>
      </w:tr>
      <w:tr w:rsidR="00F234CD" w:rsidRPr="00631C1C"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CB7E8A" w:rsidRDefault="00312042" w:rsidP="00CB7E8A">
            <w:pPr>
              <w:spacing w:before="40" w:after="40"/>
              <w:rPr>
                <w:b/>
                <w:bCs/>
                <w:sz w:val="18"/>
                <w:szCs w:val="18"/>
              </w:rPr>
            </w:pPr>
            <w:r w:rsidRPr="00CB7E8A">
              <w:rPr>
                <w:b/>
                <w:bCs/>
                <w:sz w:val="18"/>
                <w:szCs w:val="18"/>
              </w:rPr>
              <w:t>5. Scientific support to the parties to the Minamata Convention</w:t>
            </w:r>
          </w:p>
        </w:tc>
        <w:tc>
          <w:tcPr>
            <w:tcW w:w="1275" w:type="dxa"/>
            <w:shd w:val="clear" w:color="000000" w:fill="B4C6E7"/>
            <w:noWrap/>
            <w:vAlign w:val="center"/>
            <w:hideMark/>
          </w:tcPr>
          <w:p w14:paraId="207D5B6B"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0428E859"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30666075"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628F3A96" w14:textId="77777777" w:rsidR="00312042" w:rsidRPr="00CB7E8A" w:rsidRDefault="00312042" w:rsidP="00CB7E8A">
            <w:pPr>
              <w:spacing w:before="40" w:after="40"/>
              <w:jc w:val="right"/>
              <w:rPr>
                <w:b/>
                <w:bCs/>
                <w:sz w:val="18"/>
                <w:szCs w:val="18"/>
              </w:rPr>
            </w:pPr>
            <w:r w:rsidRPr="00CB7E8A">
              <w:rPr>
                <w:b/>
                <w:bCs/>
                <w:sz w:val="18"/>
                <w:szCs w:val="18"/>
              </w:rPr>
              <w:t>795 000</w:t>
            </w:r>
          </w:p>
        </w:tc>
        <w:tc>
          <w:tcPr>
            <w:tcW w:w="1134" w:type="dxa"/>
            <w:shd w:val="clear" w:color="000000" w:fill="B4C6E7"/>
            <w:noWrap/>
            <w:vAlign w:val="center"/>
            <w:hideMark/>
          </w:tcPr>
          <w:p w14:paraId="2BC77907" w14:textId="77777777" w:rsidR="00312042" w:rsidRPr="00CB7E8A" w:rsidRDefault="00312042" w:rsidP="00CB7E8A">
            <w:pPr>
              <w:spacing w:before="40" w:after="40"/>
              <w:jc w:val="right"/>
              <w:rPr>
                <w:b/>
                <w:bCs/>
                <w:sz w:val="18"/>
                <w:szCs w:val="18"/>
              </w:rPr>
            </w:pPr>
            <w:r w:rsidRPr="00CB7E8A">
              <w:rPr>
                <w:b/>
                <w:bCs/>
                <w:sz w:val="18"/>
                <w:szCs w:val="18"/>
              </w:rPr>
              <w:t>625 000</w:t>
            </w:r>
          </w:p>
        </w:tc>
        <w:tc>
          <w:tcPr>
            <w:tcW w:w="1245" w:type="dxa"/>
            <w:shd w:val="clear" w:color="000000" w:fill="B4C6E7"/>
            <w:noWrap/>
            <w:vAlign w:val="center"/>
            <w:hideMark/>
          </w:tcPr>
          <w:p w14:paraId="1E7ACC53" w14:textId="77777777" w:rsidR="00312042" w:rsidRPr="00CB7E8A" w:rsidRDefault="00312042" w:rsidP="00CB7E8A">
            <w:pPr>
              <w:spacing w:before="40" w:after="40"/>
              <w:jc w:val="right"/>
              <w:rPr>
                <w:b/>
                <w:bCs/>
                <w:sz w:val="18"/>
                <w:szCs w:val="18"/>
              </w:rPr>
            </w:pPr>
            <w:r w:rsidRPr="00CB7E8A">
              <w:rPr>
                <w:b/>
                <w:bCs/>
                <w:sz w:val="18"/>
                <w:szCs w:val="18"/>
              </w:rPr>
              <w:t>1 420 000</w:t>
            </w:r>
          </w:p>
        </w:tc>
      </w:tr>
      <w:tr w:rsidR="00F234CD" w:rsidRPr="00631C1C" w14:paraId="5A2CC4C4" w14:textId="77777777" w:rsidTr="005E40EA">
        <w:trPr>
          <w:trHeight w:val="103"/>
          <w:jc w:val="right"/>
        </w:trPr>
        <w:tc>
          <w:tcPr>
            <w:tcW w:w="7230" w:type="dxa"/>
            <w:gridSpan w:val="2"/>
            <w:noWrap/>
            <w:vAlign w:val="center"/>
            <w:hideMark/>
          </w:tcPr>
          <w:p w14:paraId="7B1702CB" w14:textId="77777777" w:rsidR="00312042" w:rsidRPr="00CB7E8A" w:rsidRDefault="00312042" w:rsidP="00CB7E8A">
            <w:pPr>
              <w:spacing w:before="40" w:after="40"/>
              <w:rPr>
                <w:b/>
                <w:bCs/>
                <w:sz w:val="18"/>
                <w:szCs w:val="18"/>
              </w:rPr>
            </w:pPr>
            <w:r w:rsidRPr="00CB7E8A">
              <w:rPr>
                <w:b/>
                <w:bCs/>
                <w:sz w:val="18"/>
                <w:szCs w:val="18"/>
              </w:rPr>
              <w:t xml:space="preserve">6. Effectiveness evaluation </w:t>
            </w:r>
          </w:p>
        </w:tc>
        <w:tc>
          <w:tcPr>
            <w:tcW w:w="1275" w:type="dxa"/>
            <w:noWrap/>
            <w:vAlign w:val="center"/>
            <w:hideMark/>
          </w:tcPr>
          <w:p w14:paraId="3CD31BC2" w14:textId="77777777" w:rsidR="00312042" w:rsidRPr="00CB7E8A" w:rsidRDefault="00312042" w:rsidP="00CB7E8A">
            <w:pPr>
              <w:spacing w:before="40" w:after="40"/>
              <w:jc w:val="right"/>
              <w:rPr>
                <w:b/>
                <w:bCs/>
                <w:sz w:val="18"/>
                <w:szCs w:val="18"/>
              </w:rPr>
            </w:pPr>
          </w:p>
        </w:tc>
        <w:tc>
          <w:tcPr>
            <w:tcW w:w="1134" w:type="dxa"/>
            <w:noWrap/>
            <w:vAlign w:val="center"/>
            <w:hideMark/>
          </w:tcPr>
          <w:p w14:paraId="09DCBE9E" w14:textId="77777777" w:rsidR="00312042" w:rsidRPr="00CB7E8A" w:rsidRDefault="00312042" w:rsidP="00CB7E8A">
            <w:pPr>
              <w:spacing w:before="40" w:after="40"/>
              <w:jc w:val="right"/>
              <w:rPr>
                <w:b/>
                <w:bCs/>
                <w:sz w:val="18"/>
                <w:szCs w:val="18"/>
              </w:rPr>
            </w:pPr>
          </w:p>
        </w:tc>
        <w:tc>
          <w:tcPr>
            <w:tcW w:w="1276" w:type="dxa"/>
            <w:noWrap/>
            <w:vAlign w:val="center"/>
            <w:hideMark/>
          </w:tcPr>
          <w:p w14:paraId="74895E68" w14:textId="77777777" w:rsidR="00312042" w:rsidRPr="00CB7E8A" w:rsidRDefault="00312042" w:rsidP="00CB7E8A">
            <w:pPr>
              <w:spacing w:before="40" w:after="40"/>
              <w:jc w:val="right"/>
              <w:rPr>
                <w:b/>
                <w:bCs/>
                <w:sz w:val="18"/>
                <w:szCs w:val="18"/>
              </w:rPr>
            </w:pPr>
          </w:p>
        </w:tc>
        <w:tc>
          <w:tcPr>
            <w:tcW w:w="1134" w:type="dxa"/>
            <w:noWrap/>
            <w:vAlign w:val="center"/>
            <w:hideMark/>
          </w:tcPr>
          <w:p w14:paraId="54F79FA9" w14:textId="77777777" w:rsidR="00312042" w:rsidRPr="00CB7E8A" w:rsidRDefault="00312042" w:rsidP="00CB7E8A">
            <w:pPr>
              <w:spacing w:before="40" w:after="40"/>
              <w:jc w:val="right"/>
              <w:rPr>
                <w:b/>
                <w:bCs/>
                <w:sz w:val="18"/>
                <w:szCs w:val="18"/>
              </w:rPr>
            </w:pPr>
          </w:p>
        </w:tc>
        <w:tc>
          <w:tcPr>
            <w:tcW w:w="1134" w:type="dxa"/>
            <w:noWrap/>
            <w:vAlign w:val="center"/>
            <w:hideMark/>
          </w:tcPr>
          <w:p w14:paraId="3AB4F52E" w14:textId="77777777" w:rsidR="00312042" w:rsidRPr="00CB7E8A" w:rsidRDefault="00312042" w:rsidP="00CB7E8A">
            <w:pPr>
              <w:spacing w:before="40" w:after="40"/>
              <w:jc w:val="right"/>
              <w:rPr>
                <w:b/>
                <w:bCs/>
                <w:sz w:val="18"/>
                <w:szCs w:val="18"/>
              </w:rPr>
            </w:pPr>
          </w:p>
        </w:tc>
        <w:tc>
          <w:tcPr>
            <w:tcW w:w="1245" w:type="dxa"/>
            <w:noWrap/>
            <w:vAlign w:val="center"/>
            <w:hideMark/>
          </w:tcPr>
          <w:p w14:paraId="4B2EB6EF" w14:textId="77777777" w:rsidR="00312042" w:rsidRPr="00CB7E8A" w:rsidRDefault="00312042" w:rsidP="00CB7E8A">
            <w:pPr>
              <w:spacing w:before="40" w:after="40"/>
              <w:jc w:val="right"/>
              <w:rPr>
                <w:b/>
                <w:bCs/>
                <w:sz w:val="18"/>
                <w:szCs w:val="18"/>
              </w:rPr>
            </w:pPr>
          </w:p>
        </w:tc>
      </w:tr>
      <w:tr w:rsidR="00F234CD" w:rsidRPr="00631C1C" w14:paraId="4FEBF33D" w14:textId="77777777" w:rsidTr="005E40EA">
        <w:trPr>
          <w:trHeight w:val="52"/>
          <w:jc w:val="right"/>
        </w:trPr>
        <w:tc>
          <w:tcPr>
            <w:tcW w:w="284" w:type="dxa"/>
            <w:noWrap/>
            <w:vAlign w:val="center"/>
            <w:hideMark/>
          </w:tcPr>
          <w:p w14:paraId="02857A29" w14:textId="77777777" w:rsidR="00312042" w:rsidRPr="00CB7E8A" w:rsidRDefault="00312042" w:rsidP="00CB7E8A">
            <w:pPr>
              <w:spacing w:before="40" w:after="40"/>
              <w:jc w:val="right"/>
              <w:rPr>
                <w:sz w:val="18"/>
                <w:szCs w:val="18"/>
              </w:rPr>
            </w:pPr>
            <w:r w:rsidRPr="00CB7E8A">
              <w:rPr>
                <w:sz w:val="18"/>
                <w:szCs w:val="18"/>
              </w:rPr>
              <w:t> </w:t>
            </w:r>
          </w:p>
        </w:tc>
        <w:tc>
          <w:tcPr>
            <w:tcW w:w="6946" w:type="dxa"/>
            <w:noWrap/>
            <w:vAlign w:val="center"/>
            <w:hideMark/>
          </w:tcPr>
          <w:p w14:paraId="55AC1A09" w14:textId="62344900" w:rsidR="00312042" w:rsidRPr="00CB7E8A" w:rsidRDefault="00312042" w:rsidP="00CB7E8A">
            <w:pPr>
              <w:spacing w:before="40" w:after="40"/>
              <w:rPr>
                <w:sz w:val="18"/>
                <w:szCs w:val="18"/>
              </w:rPr>
            </w:pPr>
            <w:r w:rsidRPr="00CB7E8A">
              <w:rPr>
                <w:sz w:val="18"/>
                <w:szCs w:val="18"/>
              </w:rPr>
              <w:t xml:space="preserve">6.1. Effectiveness </w:t>
            </w:r>
            <w:r w:rsidR="00842A88" w:rsidRPr="00CB7E8A">
              <w:rPr>
                <w:sz w:val="18"/>
                <w:szCs w:val="18"/>
              </w:rPr>
              <w:t>E</w:t>
            </w:r>
            <w:r w:rsidRPr="00CB7E8A">
              <w:rPr>
                <w:sz w:val="18"/>
                <w:szCs w:val="18"/>
              </w:rPr>
              <w:t xml:space="preserve">valuation </w:t>
            </w:r>
            <w:r w:rsidR="00842A88" w:rsidRPr="00CB7E8A">
              <w:rPr>
                <w:sz w:val="18"/>
                <w:szCs w:val="18"/>
              </w:rPr>
              <w:t>G</w:t>
            </w:r>
            <w:r w:rsidRPr="00CB7E8A">
              <w:rPr>
                <w:sz w:val="18"/>
                <w:szCs w:val="18"/>
              </w:rPr>
              <w:t>roup</w:t>
            </w:r>
          </w:p>
        </w:tc>
        <w:tc>
          <w:tcPr>
            <w:tcW w:w="1275" w:type="dxa"/>
            <w:noWrap/>
            <w:vAlign w:val="center"/>
            <w:hideMark/>
          </w:tcPr>
          <w:p w14:paraId="466FAC61" w14:textId="77777777" w:rsidR="00312042" w:rsidRPr="00CB7E8A" w:rsidRDefault="00312042" w:rsidP="00CB7E8A">
            <w:pPr>
              <w:spacing w:before="40" w:after="40"/>
              <w:jc w:val="right"/>
              <w:rPr>
                <w:sz w:val="18"/>
                <w:szCs w:val="18"/>
              </w:rPr>
            </w:pPr>
            <w:r w:rsidRPr="00CB7E8A">
              <w:rPr>
                <w:sz w:val="18"/>
                <w:szCs w:val="18"/>
              </w:rPr>
              <w:t>110 000</w:t>
            </w:r>
          </w:p>
        </w:tc>
        <w:tc>
          <w:tcPr>
            <w:tcW w:w="1134" w:type="dxa"/>
            <w:noWrap/>
            <w:vAlign w:val="center"/>
            <w:hideMark/>
          </w:tcPr>
          <w:p w14:paraId="4534DF4D" w14:textId="77777777" w:rsidR="00312042" w:rsidRPr="00CB7E8A" w:rsidRDefault="00312042" w:rsidP="00CB7E8A">
            <w:pPr>
              <w:spacing w:before="40" w:after="40"/>
              <w:jc w:val="right"/>
              <w:rPr>
                <w:sz w:val="18"/>
                <w:szCs w:val="18"/>
              </w:rPr>
            </w:pPr>
          </w:p>
        </w:tc>
        <w:tc>
          <w:tcPr>
            <w:tcW w:w="1276" w:type="dxa"/>
            <w:noWrap/>
            <w:vAlign w:val="center"/>
            <w:hideMark/>
          </w:tcPr>
          <w:p w14:paraId="1867738D" w14:textId="77777777" w:rsidR="00312042" w:rsidRPr="00CB7E8A" w:rsidRDefault="00312042" w:rsidP="00CB7E8A">
            <w:pPr>
              <w:spacing w:before="40" w:after="40"/>
              <w:jc w:val="right"/>
              <w:rPr>
                <w:sz w:val="18"/>
                <w:szCs w:val="18"/>
              </w:rPr>
            </w:pPr>
            <w:r w:rsidRPr="00CB7E8A">
              <w:rPr>
                <w:sz w:val="18"/>
                <w:szCs w:val="18"/>
              </w:rPr>
              <w:t>110 000</w:t>
            </w:r>
          </w:p>
        </w:tc>
        <w:tc>
          <w:tcPr>
            <w:tcW w:w="1134" w:type="dxa"/>
            <w:noWrap/>
            <w:vAlign w:val="center"/>
            <w:hideMark/>
          </w:tcPr>
          <w:p w14:paraId="53C8B540" w14:textId="77777777" w:rsidR="00312042" w:rsidRPr="00CB7E8A" w:rsidRDefault="00312042" w:rsidP="00CB7E8A">
            <w:pPr>
              <w:spacing w:before="40" w:after="40"/>
              <w:jc w:val="right"/>
              <w:rPr>
                <w:sz w:val="18"/>
                <w:szCs w:val="18"/>
              </w:rPr>
            </w:pPr>
          </w:p>
        </w:tc>
        <w:tc>
          <w:tcPr>
            <w:tcW w:w="1134" w:type="dxa"/>
            <w:noWrap/>
            <w:vAlign w:val="center"/>
            <w:hideMark/>
          </w:tcPr>
          <w:p w14:paraId="55DE2799" w14:textId="77777777" w:rsidR="00312042" w:rsidRPr="00CB7E8A" w:rsidRDefault="00312042" w:rsidP="00CB7E8A">
            <w:pPr>
              <w:spacing w:before="40" w:after="40"/>
              <w:jc w:val="right"/>
              <w:rPr>
                <w:sz w:val="18"/>
                <w:szCs w:val="18"/>
              </w:rPr>
            </w:pPr>
          </w:p>
        </w:tc>
        <w:tc>
          <w:tcPr>
            <w:tcW w:w="1245" w:type="dxa"/>
            <w:noWrap/>
            <w:vAlign w:val="center"/>
            <w:hideMark/>
          </w:tcPr>
          <w:p w14:paraId="46A20022" w14:textId="77777777" w:rsidR="00312042" w:rsidRPr="00CB7E8A" w:rsidRDefault="00312042" w:rsidP="00CB7E8A">
            <w:pPr>
              <w:spacing w:before="40" w:after="40"/>
              <w:jc w:val="right"/>
              <w:rPr>
                <w:sz w:val="18"/>
                <w:szCs w:val="18"/>
              </w:rPr>
            </w:pPr>
          </w:p>
        </w:tc>
      </w:tr>
      <w:tr w:rsidR="00F234CD" w:rsidRPr="00631C1C" w14:paraId="48CD6312" w14:textId="77777777" w:rsidTr="009A58EE">
        <w:trPr>
          <w:trHeight w:val="315"/>
          <w:jc w:val="right"/>
        </w:trPr>
        <w:tc>
          <w:tcPr>
            <w:tcW w:w="284" w:type="dxa"/>
            <w:tcBorders>
              <w:top w:val="nil"/>
            </w:tcBorders>
            <w:noWrap/>
            <w:vAlign w:val="center"/>
            <w:hideMark/>
          </w:tcPr>
          <w:p w14:paraId="29DF51AA" w14:textId="77777777" w:rsidR="00312042" w:rsidRPr="00CB7E8A" w:rsidRDefault="00312042" w:rsidP="00CB7E8A">
            <w:pPr>
              <w:spacing w:before="40" w:after="40"/>
              <w:jc w:val="right"/>
              <w:rPr>
                <w:sz w:val="18"/>
                <w:szCs w:val="18"/>
              </w:rPr>
            </w:pPr>
            <w:r w:rsidRPr="00CB7E8A">
              <w:rPr>
                <w:sz w:val="18"/>
                <w:szCs w:val="18"/>
              </w:rPr>
              <w:t> </w:t>
            </w:r>
          </w:p>
        </w:tc>
        <w:tc>
          <w:tcPr>
            <w:tcW w:w="6946" w:type="dxa"/>
            <w:tcBorders>
              <w:top w:val="nil"/>
            </w:tcBorders>
            <w:noWrap/>
            <w:vAlign w:val="center"/>
            <w:hideMark/>
          </w:tcPr>
          <w:p w14:paraId="774CACD0" w14:textId="5BFC33B7" w:rsidR="00312042" w:rsidRPr="00CB7E8A" w:rsidRDefault="00312042" w:rsidP="00CB7E8A">
            <w:pPr>
              <w:spacing w:before="40" w:after="40"/>
              <w:rPr>
                <w:sz w:val="18"/>
                <w:szCs w:val="18"/>
              </w:rPr>
            </w:pPr>
            <w:r w:rsidRPr="00CB7E8A">
              <w:rPr>
                <w:sz w:val="18"/>
                <w:szCs w:val="18"/>
              </w:rPr>
              <w:t>6.2</w:t>
            </w:r>
            <w:r w:rsidR="006512CC" w:rsidRPr="00CB7E8A">
              <w:rPr>
                <w:sz w:val="18"/>
                <w:szCs w:val="18"/>
              </w:rPr>
              <w:t>.</w:t>
            </w:r>
            <w:r w:rsidRPr="00CB7E8A">
              <w:rPr>
                <w:sz w:val="18"/>
                <w:szCs w:val="18"/>
              </w:rPr>
              <w:t xml:space="preserve"> Other preparatory work and reports to support the effectiveness evaluation</w:t>
            </w:r>
          </w:p>
        </w:tc>
        <w:tc>
          <w:tcPr>
            <w:tcW w:w="1275" w:type="dxa"/>
            <w:tcBorders>
              <w:top w:val="nil"/>
            </w:tcBorders>
            <w:noWrap/>
            <w:vAlign w:val="center"/>
            <w:hideMark/>
          </w:tcPr>
          <w:p w14:paraId="538EA16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1D2870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49290CD"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5C9D4FA"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AFC3FC1"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A26AD26" w14:textId="77777777" w:rsidR="00312042" w:rsidRPr="00CB7E8A" w:rsidRDefault="00312042" w:rsidP="00CB7E8A">
            <w:pPr>
              <w:spacing w:before="40" w:after="40"/>
              <w:jc w:val="right"/>
              <w:rPr>
                <w:sz w:val="18"/>
                <w:szCs w:val="18"/>
              </w:rPr>
            </w:pPr>
          </w:p>
        </w:tc>
      </w:tr>
      <w:tr w:rsidR="00F234CD" w:rsidRPr="00631C1C"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CB7E8A" w:rsidRDefault="00312042" w:rsidP="00CB7E8A">
            <w:pPr>
              <w:spacing w:before="40" w:after="40"/>
              <w:rPr>
                <w:b/>
                <w:bCs/>
                <w:sz w:val="18"/>
                <w:szCs w:val="18"/>
              </w:rPr>
            </w:pPr>
            <w:r w:rsidRPr="00CB7E8A">
              <w:rPr>
                <w:b/>
                <w:bCs/>
                <w:sz w:val="18"/>
                <w:szCs w:val="18"/>
              </w:rPr>
              <w:t>6. Effectiveness evaluation</w:t>
            </w:r>
          </w:p>
        </w:tc>
        <w:tc>
          <w:tcPr>
            <w:tcW w:w="1275" w:type="dxa"/>
            <w:shd w:val="clear" w:color="000000" w:fill="B4C6E7"/>
            <w:noWrap/>
            <w:vAlign w:val="center"/>
            <w:hideMark/>
          </w:tcPr>
          <w:p w14:paraId="66BAB3B8" w14:textId="77777777" w:rsidR="00312042" w:rsidRPr="00CB7E8A" w:rsidRDefault="00312042" w:rsidP="00CB7E8A">
            <w:pPr>
              <w:spacing w:before="40" w:after="40"/>
              <w:jc w:val="right"/>
              <w:rPr>
                <w:b/>
                <w:bCs/>
                <w:sz w:val="18"/>
                <w:szCs w:val="18"/>
              </w:rPr>
            </w:pPr>
            <w:r w:rsidRPr="00CB7E8A">
              <w:rPr>
                <w:b/>
                <w:bCs/>
                <w:sz w:val="18"/>
                <w:szCs w:val="18"/>
              </w:rPr>
              <w:t>110 000</w:t>
            </w:r>
          </w:p>
        </w:tc>
        <w:tc>
          <w:tcPr>
            <w:tcW w:w="1134" w:type="dxa"/>
            <w:shd w:val="clear" w:color="000000" w:fill="B4C6E7"/>
            <w:noWrap/>
            <w:vAlign w:val="center"/>
            <w:hideMark/>
          </w:tcPr>
          <w:p w14:paraId="238D8691"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077031A9" w14:textId="77777777" w:rsidR="00312042" w:rsidRPr="00CB7E8A" w:rsidRDefault="00312042" w:rsidP="00CB7E8A">
            <w:pPr>
              <w:spacing w:before="40" w:after="40"/>
              <w:jc w:val="right"/>
              <w:rPr>
                <w:b/>
                <w:bCs/>
                <w:sz w:val="18"/>
                <w:szCs w:val="18"/>
              </w:rPr>
            </w:pPr>
            <w:r w:rsidRPr="00CB7E8A">
              <w:rPr>
                <w:b/>
                <w:bCs/>
                <w:sz w:val="18"/>
                <w:szCs w:val="18"/>
              </w:rPr>
              <w:t>110 000</w:t>
            </w:r>
          </w:p>
        </w:tc>
        <w:tc>
          <w:tcPr>
            <w:tcW w:w="1134" w:type="dxa"/>
            <w:shd w:val="clear" w:color="000000" w:fill="B4C6E7"/>
            <w:noWrap/>
            <w:vAlign w:val="center"/>
            <w:hideMark/>
          </w:tcPr>
          <w:p w14:paraId="762DD0B8"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56AD291D"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4C0F2A8E" w14:textId="77777777" w:rsidR="00312042" w:rsidRPr="00CB7E8A" w:rsidRDefault="00312042" w:rsidP="00CB7E8A">
            <w:pPr>
              <w:spacing w:before="40" w:after="40"/>
              <w:jc w:val="right"/>
              <w:rPr>
                <w:b/>
                <w:bCs/>
                <w:sz w:val="18"/>
                <w:szCs w:val="18"/>
              </w:rPr>
            </w:pPr>
          </w:p>
        </w:tc>
      </w:tr>
      <w:tr w:rsidR="00F234CD" w:rsidRPr="00631C1C" w14:paraId="63EBCC31" w14:textId="77777777" w:rsidTr="005E40EA">
        <w:trPr>
          <w:trHeight w:val="52"/>
          <w:jc w:val="right"/>
        </w:trPr>
        <w:tc>
          <w:tcPr>
            <w:tcW w:w="7230" w:type="dxa"/>
            <w:gridSpan w:val="2"/>
            <w:noWrap/>
            <w:vAlign w:val="center"/>
            <w:hideMark/>
          </w:tcPr>
          <w:p w14:paraId="48F9AB42" w14:textId="77777777" w:rsidR="00312042" w:rsidRPr="00CB7E8A" w:rsidRDefault="00312042" w:rsidP="00CB7E8A">
            <w:pPr>
              <w:spacing w:before="40" w:after="40"/>
              <w:rPr>
                <w:b/>
                <w:bCs/>
                <w:sz w:val="18"/>
                <w:szCs w:val="18"/>
              </w:rPr>
            </w:pPr>
            <w:r w:rsidRPr="00CB7E8A">
              <w:rPr>
                <w:b/>
                <w:bCs/>
                <w:sz w:val="18"/>
                <w:szCs w:val="18"/>
              </w:rPr>
              <w:t>7. National reporting under the Minamata Convention</w:t>
            </w:r>
          </w:p>
        </w:tc>
        <w:tc>
          <w:tcPr>
            <w:tcW w:w="1275" w:type="dxa"/>
            <w:noWrap/>
            <w:vAlign w:val="center"/>
            <w:hideMark/>
          </w:tcPr>
          <w:p w14:paraId="2D2BE476" w14:textId="77777777" w:rsidR="00312042" w:rsidRPr="00CB7E8A" w:rsidRDefault="00312042" w:rsidP="00CB7E8A">
            <w:pPr>
              <w:spacing w:before="40" w:after="40"/>
              <w:jc w:val="right"/>
              <w:rPr>
                <w:b/>
                <w:bCs/>
                <w:sz w:val="18"/>
                <w:szCs w:val="18"/>
              </w:rPr>
            </w:pPr>
          </w:p>
        </w:tc>
        <w:tc>
          <w:tcPr>
            <w:tcW w:w="1134" w:type="dxa"/>
            <w:noWrap/>
            <w:vAlign w:val="center"/>
            <w:hideMark/>
          </w:tcPr>
          <w:p w14:paraId="07E84269" w14:textId="77777777" w:rsidR="00312042" w:rsidRPr="00CB7E8A" w:rsidRDefault="00312042" w:rsidP="00CB7E8A">
            <w:pPr>
              <w:spacing w:before="40" w:after="40"/>
              <w:jc w:val="right"/>
              <w:rPr>
                <w:b/>
                <w:bCs/>
                <w:sz w:val="18"/>
                <w:szCs w:val="18"/>
              </w:rPr>
            </w:pPr>
          </w:p>
        </w:tc>
        <w:tc>
          <w:tcPr>
            <w:tcW w:w="1276" w:type="dxa"/>
            <w:noWrap/>
            <w:vAlign w:val="center"/>
            <w:hideMark/>
          </w:tcPr>
          <w:p w14:paraId="74486AD1" w14:textId="77777777" w:rsidR="00312042" w:rsidRPr="00CB7E8A" w:rsidRDefault="00312042" w:rsidP="00CB7E8A">
            <w:pPr>
              <w:spacing w:before="40" w:after="40"/>
              <w:jc w:val="right"/>
              <w:rPr>
                <w:b/>
                <w:bCs/>
                <w:sz w:val="18"/>
                <w:szCs w:val="18"/>
              </w:rPr>
            </w:pPr>
          </w:p>
        </w:tc>
        <w:tc>
          <w:tcPr>
            <w:tcW w:w="1134" w:type="dxa"/>
            <w:noWrap/>
            <w:vAlign w:val="center"/>
            <w:hideMark/>
          </w:tcPr>
          <w:p w14:paraId="1936C85E" w14:textId="77777777" w:rsidR="00312042" w:rsidRPr="00CB7E8A" w:rsidRDefault="00312042" w:rsidP="00CB7E8A">
            <w:pPr>
              <w:spacing w:before="40" w:after="40"/>
              <w:jc w:val="right"/>
              <w:rPr>
                <w:b/>
                <w:bCs/>
                <w:sz w:val="18"/>
                <w:szCs w:val="18"/>
              </w:rPr>
            </w:pPr>
          </w:p>
        </w:tc>
        <w:tc>
          <w:tcPr>
            <w:tcW w:w="1134" w:type="dxa"/>
            <w:noWrap/>
            <w:vAlign w:val="center"/>
            <w:hideMark/>
          </w:tcPr>
          <w:p w14:paraId="65B17C1D" w14:textId="77777777" w:rsidR="00312042" w:rsidRPr="00CB7E8A" w:rsidRDefault="00312042" w:rsidP="00CB7E8A">
            <w:pPr>
              <w:spacing w:before="40" w:after="40"/>
              <w:jc w:val="right"/>
              <w:rPr>
                <w:b/>
                <w:bCs/>
                <w:sz w:val="18"/>
                <w:szCs w:val="18"/>
              </w:rPr>
            </w:pPr>
          </w:p>
        </w:tc>
        <w:tc>
          <w:tcPr>
            <w:tcW w:w="1245" w:type="dxa"/>
            <w:noWrap/>
            <w:vAlign w:val="center"/>
            <w:hideMark/>
          </w:tcPr>
          <w:p w14:paraId="64F346B0" w14:textId="77777777" w:rsidR="00312042" w:rsidRPr="00CB7E8A" w:rsidRDefault="00312042" w:rsidP="00CB7E8A">
            <w:pPr>
              <w:spacing w:before="40" w:after="40"/>
              <w:jc w:val="right"/>
              <w:rPr>
                <w:b/>
                <w:bCs/>
                <w:sz w:val="18"/>
                <w:szCs w:val="18"/>
              </w:rPr>
            </w:pPr>
          </w:p>
        </w:tc>
      </w:tr>
      <w:tr w:rsidR="00F234CD" w:rsidRPr="00631C1C" w14:paraId="3F2701C9" w14:textId="77777777" w:rsidTr="009A58EE">
        <w:trPr>
          <w:trHeight w:val="300"/>
          <w:jc w:val="right"/>
        </w:trPr>
        <w:tc>
          <w:tcPr>
            <w:tcW w:w="284" w:type="dxa"/>
            <w:tcBorders>
              <w:top w:val="nil"/>
            </w:tcBorders>
            <w:noWrap/>
            <w:vAlign w:val="center"/>
            <w:hideMark/>
          </w:tcPr>
          <w:p w14:paraId="6805501C"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2EDF39FC" w14:textId="77777777" w:rsidR="00312042" w:rsidRPr="00CB7E8A" w:rsidRDefault="00312042" w:rsidP="00CB7E8A">
            <w:pPr>
              <w:spacing w:before="40" w:after="40"/>
              <w:rPr>
                <w:sz w:val="18"/>
                <w:szCs w:val="18"/>
              </w:rPr>
            </w:pPr>
            <w:r w:rsidRPr="00CB7E8A">
              <w:rPr>
                <w:sz w:val="18"/>
                <w:szCs w:val="18"/>
              </w:rPr>
              <w:t xml:space="preserve">7.1. Process and analyse national reports </w:t>
            </w:r>
          </w:p>
        </w:tc>
        <w:tc>
          <w:tcPr>
            <w:tcW w:w="1275" w:type="dxa"/>
            <w:tcBorders>
              <w:top w:val="nil"/>
            </w:tcBorders>
            <w:noWrap/>
            <w:vAlign w:val="center"/>
            <w:hideMark/>
          </w:tcPr>
          <w:p w14:paraId="44C03D08"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tcBorders>
              <w:top w:val="nil"/>
            </w:tcBorders>
            <w:noWrap/>
            <w:vAlign w:val="center"/>
            <w:hideMark/>
          </w:tcPr>
          <w:p w14:paraId="1DF2367F"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702170C3"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tcBorders>
              <w:top w:val="nil"/>
            </w:tcBorders>
            <w:noWrap/>
            <w:vAlign w:val="center"/>
            <w:hideMark/>
          </w:tcPr>
          <w:p w14:paraId="4DEFE5BF"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74DA27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85D5231" w14:textId="77777777" w:rsidR="00312042" w:rsidRPr="00CB7E8A" w:rsidRDefault="00312042" w:rsidP="00CB7E8A">
            <w:pPr>
              <w:spacing w:before="40" w:after="40"/>
              <w:jc w:val="right"/>
              <w:rPr>
                <w:sz w:val="18"/>
                <w:szCs w:val="18"/>
              </w:rPr>
            </w:pPr>
          </w:p>
        </w:tc>
      </w:tr>
      <w:tr w:rsidR="00F234CD" w:rsidRPr="00631C1C" w14:paraId="45D0988D" w14:textId="77777777" w:rsidTr="009A58EE">
        <w:trPr>
          <w:trHeight w:val="300"/>
          <w:jc w:val="right"/>
        </w:trPr>
        <w:tc>
          <w:tcPr>
            <w:tcW w:w="284" w:type="dxa"/>
            <w:tcBorders>
              <w:top w:val="nil"/>
            </w:tcBorders>
            <w:noWrap/>
            <w:vAlign w:val="center"/>
            <w:hideMark/>
          </w:tcPr>
          <w:p w14:paraId="567C49A5"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79221FAC" w14:textId="77777777" w:rsidR="00312042" w:rsidRPr="00CB7E8A" w:rsidRDefault="00312042" w:rsidP="00CB7E8A">
            <w:pPr>
              <w:spacing w:before="40" w:after="40"/>
              <w:rPr>
                <w:sz w:val="18"/>
                <w:szCs w:val="18"/>
              </w:rPr>
            </w:pPr>
            <w:r w:rsidRPr="00CB7E8A">
              <w:rPr>
                <w:sz w:val="18"/>
                <w:szCs w:val="18"/>
              </w:rPr>
              <w:t>7.2. Ongoing management of information contained in national reports </w:t>
            </w:r>
          </w:p>
        </w:tc>
        <w:tc>
          <w:tcPr>
            <w:tcW w:w="1275" w:type="dxa"/>
            <w:tcBorders>
              <w:top w:val="nil"/>
            </w:tcBorders>
            <w:noWrap/>
            <w:vAlign w:val="center"/>
            <w:hideMark/>
          </w:tcPr>
          <w:p w14:paraId="2D25F66E"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tcBorders>
              <w:top w:val="nil"/>
            </w:tcBorders>
            <w:noWrap/>
            <w:vAlign w:val="center"/>
            <w:hideMark/>
          </w:tcPr>
          <w:p w14:paraId="246BB7FF"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537E89E7"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tcBorders>
              <w:top w:val="nil"/>
            </w:tcBorders>
            <w:noWrap/>
            <w:vAlign w:val="center"/>
            <w:hideMark/>
          </w:tcPr>
          <w:p w14:paraId="387D3BB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76871F6"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3CE8B0BA" w14:textId="77777777" w:rsidR="00312042" w:rsidRPr="00CB7E8A" w:rsidRDefault="00312042" w:rsidP="00CB7E8A">
            <w:pPr>
              <w:spacing w:before="40" w:after="40"/>
              <w:jc w:val="right"/>
              <w:rPr>
                <w:sz w:val="18"/>
                <w:szCs w:val="18"/>
              </w:rPr>
            </w:pPr>
          </w:p>
        </w:tc>
      </w:tr>
      <w:tr w:rsidR="00F234CD" w:rsidRPr="00631C1C" w14:paraId="5FF7FE2E" w14:textId="77777777" w:rsidTr="009A58EE">
        <w:trPr>
          <w:trHeight w:val="315"/>
          <w:jc w:val="right"/>
        </w:trPr>
        <w:tc>
          <w:tcPr>
            <w:tcW w:w="284" w:type="dxa"/>
            <w:tcBorders>
              <w:top w:val="nil"/>
            </w:tcBorders>
            <w:noWrap/>
            <w:vAlign w:val="center"/>
            <w:hideMark/>
          </w:tcPr>
          <w:p w14:paraId="6E792FEA"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3A3003EB" w14:textId="06028D1F" w:rsidR="00312042" w:rsidRPr="00CB7E8A" w:rsidRDefault="00312042" w:rsidP="00CB7E8A">
            <w:pPr>
              <w:spacing w:before="40" w:after="40"/>
              <w:rPr>
                <w:sz w:val="18"/>
                <w:szCs w:val="18"/>
              </w:rPr>
            </w:pPr>
            <w:r w:rsidRPr="00CB7E8A">
              <w:rPr>
                <w:sz w:val="18"/>
                <w:szCs w:val="18"/>
              </w:rPr>
              <w:t xml:space="preserve">7.3. Enhance </w:t>
            </w:r>
            <w:r w:rsidR="00842A88" w:rsidRPr="00CB7E8A">
              <w:rPr>
                <w:sz w:val="18"/>
                <w:szCs w:val="18"/>
              </w:rPr>
              <w:t>p</w:t>
            </w:r>
            <w:r w:rsidRPr="00CB7E8A">
              <w:rPr>
                <w:sz w:val="18"/>
                <w:szCs w:val="18"/>
              </w:rPr>
              <w:t xml:space="preserve">arties’ capacity </w:t>
            </w:r>
            <w:r w:rsidR="00757429" w:rsidRPr="00CB7E8A">
              <w:rPr>
                <w:sz w:val="18"/>
                <w:szCs w:val="18"/>
              </w:rPr>
              <w:t>f</w:t>
            </w:r>
            <w:r w:rsidR="0080296E" w:rsidRPr="00CB7E8A">
              <w:rPr>
                <w:sz w:val="18"/>
                <w:szCs w:val="18"/>
              </w:rPr>
              <w:t>or</w:t>
            </w:r>
            <w:r w:rsidR="00757429" w:rsidRPr="00CB7E8A">
              <w:rPr>
                <w:sz w:val="18"/>
                <w:szCs w:val="18"/>
              </w:rPr>
              <w:t xml:space="preserve"> </w:t>
            </w:r>
            <w:r w:rsidRPr="00CB7E8A">
              <w:rPr>
                <w:sz w:val="18"/>
                <w:szCs w:val="18"/>
              </w:rPr>
              <w:t>national reporting</w:t>
            </w:r>
          </w:p>
        </w:tc>
        <w:tc>
          <w:tcPr>
            <w:tcW w:w="1275" w:type="dxa"/>
            <w:tcBorders>
              <w:top w:val="nil"/>
            </w:tcBorders>
            <w:noWrap/>
            <w:vAlign w:val="center"/>
            <w:hideMark/>
          </w:tcPr>
          <w:p w14:paraId="5F131507" w14:textId="77777777" w:rsidR="00312042" w:rsidRPr="00CB7E8A" w:rsidRDefault="00312042" w:rsidP="00CB7E8A">
            <w:pPr>
              <w:spacing w:before="40" w:after="40"/>
              <w:jc w:val="right"/>
              <w:rPr>
                <w:sz w:val="18"/>
                <w:szCs w:val="18"/>
              </w:rPr>
            </w:pPr>
            <w:r w:rsidRPr="00CB7E8A">
              <w:rPr>
                <w:sz w:val="18"/>
                <w:szCs w:val="18"/>
              </w:rPr>
              <w:t>16 000</w:t>
            </w:r>
          </w:p>
        </w:tc>
        <w:tc>
          <w:tcPr>
            <w:tcW w:w="1134" w:type="dxa"/>
            <w:tcBorders>
              <w:top w:val="nil"/>
            </w:tcBorders>
            <w:noWrap/>
            <w:vAlign w:val="center"/>
            <w:hideMark/>
          </w:tcPr>
          <w:p w14:paraId="7A1A926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686F1943" w14:textId="77777777" w:rsidR="00312042" w:rsidRPr="00CB7E8A" w:rsidRDefault="00312042" w:rsidP="00CB7E8A">
            <w:pPr>
              <w:spacing w:before="40" w:after="40"/>
              <w:jc w:val="right"/>
              <w:rPr>
                <w:sz w:val="18"/>
                <w:szCs w:val="18"/>
              </w:rPr>
            </w:pPr>
            <w:r w:rsidRPr="00CB7E8A">
              <w:rPr>
                <w:sz w:val="18"/>
                <w:szCs w:val="18"/>
              </w:rPr>
              <w:t>16 000</w:t>
            </w:r>
          </w:p>
        </w:tc>
        <w:tc>
          <w:tcPr>
            <w:tcW w:w="1134" w:type="dxa"/>
            <w:tcBorders>
              <w:top w:val="nil"/>
            </w:tcBorders>
            <w:noWrap/>
            <w:vAlign w:val="center"/>
            <w:hideMark/>
          </w:tcPr>
          <w:p w14:paraId="092900D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5115E32" w14:textId="77777777" w:rsidR="00312042" w:rsidRPr="00CB7E8A" w:rsidRDefault="00312042" w:rsidP="00CB7E8A">
            <w:pPr>
              <w:spacing w:before="40" w:after="40"/>
              <w:jc w:val="right"/>
              <w:rPr>
                <w:sz w:val="18"/>
                <w:szCs w:val="18"/>
              </w:rPr>
            </w:pPr>
            <w:r w:rsidRPr="00CB7E8A">
              <w:rPr>
                <w:sz w:val="18"/>
                <w:szCs w:val="18"/>
              </w:rPr>
              <w:t>12 000</w:t>
            </w:r>
          </w:p>
        </w:tc>
        <w:tc>
          <w:tcPr>
            <w:tcW w:w="1245" w:type="dxa"/>
            <w:tcBorders>
              <w:top w:val="nil"/>
            </w:tcBorders>
            <w:noWrap/>
            <w:vAlign w:val="center"/>
            <w:hideMark/>
          </w:tcPr>
          <w:p w14:paraId="065758D8" w14:textId="77777777" w:rsidR="00312042" w:rsidRPr="00CB7E8A" w:rsidRDefault="00312042" w:rsidP="00CB7E8A">
            <w:pPr>
              <w:spacing w:before="40" w:after="40"/>
              <w:jc w:val="right"/>
              <w:rPr>
                <w:sz w:val="18"/>
                <w:szCs w:val="18"/>
              </w:rPr>
            </w:pPr>
            <w:r w:rsidRPr="00CB7E8A">
              <w:rPr>
                <w:sz w:val="18"/>
                <w:szCs w:val="18"/>
              </w:rPr>
              <w:t>12 000</w:t>
            </w:r>
          </w:p>
        </w:tc>
      </w:tr>
      <w:tr w:rsidR="00F234CD" w:rsidRPr="00631C1C"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CB7E8A" w:rsidRDefault="00312042" w:rsidP="00CB7E8A">
            <w:pPr>
              <w:spacing w:before="40" w:after="40"/>
              <w:rPr>
                <w:b/>
                <w:bCs/>
                <w:sz w:val="18"/>
                <w:szCs w:val="18"/>
              </w:rPr>
            </w:pPr>
            <w:r w:rsidRPr="00CB7E8A">
              <w:rPr>
                <w:b/>
                <w:bCs/>
                <w:sz w:val="18"/>
                <w:szCs w:val="18"/>
              </w:rPr>
              <w:t>7. National reporting under the Minamata Convention</w:t>
            </w:r>
          </w:p>
        </w:tc>
        <w:tc>
          <w:tcPr>
            <w:tcW w:w="1275" w:type="dxa"/>
            <w:tcBorders>
              <w:bottom w:val="single" w:sz="4" w:space="0" w:color="auto"/>
            </w:tcBorders>
            <w:shd w:val="clear" w:color="000000" w:fill="B4C6E7"/>
            <w:noWrap/>
            <w:vAlign w:val="center"/>
            <w:hideMark/>
          </w:tcPr>
          <w:p w14:paraId="534B150C" w14:textId="77777777" w:rsidR="00312042" w:rsidRPr="00CB7E8A" w:rsidRDefault="00312042" w:rsidP="00CB7E8A">
            <w:pPr>
              <w:spacing w:before="40" w:after="40"/>
              <w:jc w:val="right"/>
              <w:rPr>
                <w:b/>
                <w:bCs/>
                <w:sz w:val="18"/>
                <w:szCs w:val="18"/>
              </w:rPr>
            </w:pPr>
            <w:r w:rsidRPr="00CB7E8A">
              <w:rPr>
                <w:b/>
                <w:bCs/>
                <w:sz w:val="18"/>
                <w:szCs w:val="18"/>
              </w:rPr>
              <w:t>71 000</w:t>
            </w:r>
          </w:p>
        </w:tc>
        <w:tc>
          <w:tcPr>
            <w:tcW w:w="1134" w:type="dxa"/>
            <w:tcBorders>
              <w:bottom w:val="single" w:sz="4" w:space="0" w:color="auto"/>
            </w:tcBorders>
            <w:shd w:val="clear" w:color="000000" w:fill="B4C6E7"/>
            <w:noWrap/>
            <w:vAlign w:val="center"/>
            <w:hideMark/>
          </w:tcPr>
          <w:p w14:paraId="02734D7F"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1C70B657" w14:textId="77777777" w:rsidR="00312042" w:rsidRPr="00CB7E8A" w:rsidRDefault="00312042" w:rsidP="00CB7E8A">
            <w:pPr>
              <w:spacing w:before="40" w:after="40"/>
              <w:jc w:val="right"/>
              <w:rPr>
                <w:b/>
                <w:bCs/>
                <w:sz w:val="18"/>
                <w:szCs w:val="18"/>
              </w:rPr>
            </w:pPr>
            <w:r w:rsidRPr="00CB7E8A">
              <w:rPr>
                <w:b/>
                <w:bCs/>
                <w:sz w:val="18"/>
                <w:szCs w:val="18"/>
              </w:rPr>
              <w:t>71 000</w:t>
            </w:r>
          </w:p>
        </w:tc>
        <w:tc>
          <w:tcPr>
            <w:tcW w:w="1134" w:type="dxa"/>
            <w:tcBorders>
              <w:bottom w:val="single" w:sz="4" w:space="0" w:color="auto"/>
            </w:tcBorders>
            <w:shd w:val="clear" w:color="000000" w:fill="B4C6E7"/>
            <w:noWrap/>
            <w:vAlign w:val="center"/>
            <w:hideMark/>
          </w:tcPr>
          <w:p w14:paraId="2B0FD9BD"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1A20DFA2"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245" w:type="dxa"/>
            <w:tcBorders>
              <w:bottom w:val="single" w:sz="4" w:space="0" w:color="auto"/>
            </w:tcBorders>
            <w:shd w:val="clear" w:color="000000" w:fill="B4C6E7"/>
            <w:noWrap/>
            <w:vAlign w:val="center"/>
            <w:hideMark/>
          </w:tcPr>
          <w:p w14:paraId="7A3017A0" w14:textId="77777777" w:rsidR="00312042" w:rsidRPr="00CB7E8A" w:rsidRDefault="00312042" w:rsidP="00CB7E8A">
            <w:pPr>
              <w:spacing w:before="40" w:after="40"/>
              <w:jc w:val="right"/>
              <w:rPr>
                <w:b/>
                <w:bCs/>
                <w:sz w:val="18"/>
                <w:szCs w:val="18"/>
              </w:rPr>
            </w:pPr>
            <w:r w:rsidRPr="00CB7E8A">
              <w:rPr>
                <w:b/>
                <w:bCs/>
                <w:sz w:val="18"/>
                <w:szCs w:val="18"/>
              </w:rPr>
              <w:t>12 000</w:t>
            </w:r>
          </w:p>
        </w:tc>
      </w:tr>
      <w:tr w:rsidR="00F234CD" w:rsidRPr="00631C1C"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CB7E8A" w:rsidRDefault="00312042" w:rsidP="00CB7E8A">
            <w:pPr>
              <w:spacing w:before="40" w:after="40"/>
              <w:ind w:firstLineChars="100" w:firstLine="181"/>
              <w:rPr>
                <w:b/>
                <w:bCs/>
                <w:sz w:val="18"/>
                <w:szCs w:val="18"/>
              </w:rPr>
            </w:pPr>
            <w:r w:rsidRPr="00CB7E8A">
              <w:rPr>
                <w:b/>
                <w:bCs/>
                <w:sz w:val="18"/>
                <w:szCs w:val="18"/>
              </w:rPr>
              <w:t>Total (C)</w:t>
            </w:r>
          </w:p>
        </w:tc>
        <w:tc>
          <w:tcPr>
            <w:tcW w:w="1275" w:type="dxa"/>
            <w:tcBorders>
              <w:top w:val="single" w:sz="4" w:space="0" w:color="auto"/>
              <w:bottom w:val="single" w:sz="4" w:space="0" w:color="auto"/>
            </w:tcBorders>
            <w:shd w:val="clear" w:color="000000" w:fill="DBB731"/>
            <w:noWrap/>
            <w:vAlign w:val="center"/>
            <w:hideMark/>
          </w:tcPr>
          <w:p w14:paraId="78E7A548" w14:textId="77777777" w:rsidR="00312042" w:rsidRPr="00CB7E8A" w:rsidRDefault="00312042" w:rsidP="00CB7E8A">
            <w:pPr>
              <w:spacing w:before="40" w:after="40"/>
              <w:jc w:val="right"/>
              <w:rPr>
                <w:b/>
                <w:bCs/>
                <w:sz w:val="18"/>
                <w:szCs w:val="18"/>
              </w:rPr>
            </w:pPr>
            <w:r w:rsidRPr="00CB7E8A">
              <w:rPr>
                <w:b/>
                <w:bCs/>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046D3836" w14:textId="77777777" w:rsidR="00312042" w:rsidRPr="00CB7E8A" w:rsidRDefault="00312042" w:rsidP="00CB7E8A">
            <w:pPr>
              <w:spacing w:before="40" w:after="40"/>
              <w:jc w:val="right"/>
              <w:rPr>
                <w:b/>
                <w:bCs/>
                <w:sz w:val="18"/>
                <w:szCs w:val="18"/>
              </w:rPr>
            </w:pPr>
            <w:r w:rsidRPr="00CB7E8A">
              <w:rPr>
                <w:b/>
                <w:bCs/>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6D1232E6" w14:textId="77777777" w:rsidR="00312042" w:rsidRPr="00CB7E8A" w:rsidRDefault="00312042" w:rsidP="00CB7E8A">
            <w:pPr>
              <w:spacing w:before="40" w:after="40"/>
              <w:jc w:val="right"/>
              <w:rPr>
                <w:b/>
                <w:bCs/>
                <w:sz w:val="18"/>
                <w:szCs w:val="18"/>
              </w:rPr>
            </w:pPr>
            <w:r w:rsidRPr="00CB7E8A">
              <w:rPr>
                <w:b/>
                <w:bCs/>
                <w:sz w:val="18"/>
                <w:szCs w:val="18"/>
              </w:rPr>
              <w:t>795 000</w:t>
            </w:r>
          </w:p>
        </w:tc>
        <w:tc>
          <w:tcPr>
            <w:tcW w:w="1134" w:type="dxa"/>
            <w:tcBorders>
              <w:top w:val="single" w:sz="4" w:space="0" w:color="auto"/>
              <w:bottom w:val="single" w:sz="4" w:space="0" w:color="auto"/>
            </w:tcBorders>
            <w:shd w:val="clear" w:color="000000" w:fill="DBB731"/>
            <w:noWrap/>
            <w:vAlign w:val="center"/>
            <w:hideMark/>
          </w:tcPr>
          <w:p w14:paraId="6E37A61A" w14:textId="77777777" w:rsidR="00312042" w:rsidRPr="00CB7E8A" w:rsidRDefault="00312042" w:rsidP="00CB7E8A">
            <w:pPr>
              <w:spacing w:before="40" w:after="40"/>
              <w:jc w:val="right"/>
              <w:rPr>
                <w:b/>
                <w:bCs/>
                <w:sz w:val="18"/>
                <w:szCs w:val="18"/>
              </w:rPr>
            </w:pPr>
            <w:r w:rsidRPr="00CB7E8A">
              <w:rPr>
                <w:b/>
                <w:bCs/>
                <w:sz w:val="18"/>
                <w:szCs w:val="18"/>
              </w:rPr>
              <w:t>637 000</w:t>
            </w:r>
          </w:p>
        </w:tc>
        <w:tc>
          <w:tcPr>
            <w:tcW w:w="1245" w:type="dxa"/>
            <w:tcBorders>
              <w:top w:val="single" w:sz="4" w:space="0" w:color="auto"/>
              <w:bottom w:val="single" w:sz="4" w:space="0" w:color="auto"/>
            </w:tcBorders>
            <w:shd w:val="clear" w:color="000000" w:fill="DBB731"/>
            <w:noWrap/>
            <w:vAlign w:val="center"/>
            <w:hideMark/>
          </w:tcPr>
          <w:p w14:paraId="67EC19B8" w14:textId="77777777" w:rsidR="00312042" w:rsidRPr="00CB7E8A" w:rsidRDefault="00312042" w:rsidP="00CB7E8A">
            <w:pPr>
              <w:spacing w:before="40" w:after="40"/>
              <w:jc w:val="right"/>
              <w:rPr>
                <w:b/>
                <w:bCs/>
                <w:sz w:val="18"/>
                <w:szCs w:val="18"/>
              </w:rPr>
            </w:pPr>
            <w:r w:rsidRPr="00CB7E8A">
              <w:rPr>
                <w:b/>
                <w:bCs/>
                <w:sz w:val="18"/>
                <w:szCs w:val="18"/>
              </w:rPr>
              <w:t>1 432 000</w:t>
            </w:r>
          </w:p>
        </w:tc>
      </w:tr>
      <w:tr w:rsidR="00F234CD" w:rsidRPr="00631C1C" w14:paraId="370AA60A" w14:textId="77777777" w:rsidTr="00DD753D">
        <w:trPr>
          <w:trHeight w:val="315"/>
          <w:jc w:val="right"/>
        </w:trPr>
        <w:tc>
          <w:tcPr>
            <w:tcW w:w="7230" w:type="dxa"/>
            <w:gridSpan w:val="2"/>
            <w:tcBorders>
              <w:top w:val="single" w:sz="4" w:space="0" w:color="auto"/>
            </w:tcBorders>
            <w:noWrap/>
            <w:vAlign w:val="center"/>
            <w:hideMark/>
          </w:tcPr>
          <w:p w14:paraId="0C1C69EA" w14:textId="77777777" w:rsidR="00312042" w:rsidRPr="00CB7E8A" w:rsidRDefault="00312042" w:rsidP="00CB7E8A">
            <w:pPr>
              <w:spacing w:before="40" w:after="40"/>
              <w:rPr>
                <w:b/>
                <w:bCs/>
                <w:sz w:val="18"/>
                <w:szCs w:val="18"/>
              </w:rPr>
            </w:pPr>
            <w:r w:rsidRPr="00CB7E8A">
              <w:rPr>
                <w:b/>
                <w:bCs/>
                <w:sz w:val="18"/>
                <w:szCs w:val="18"/>
              </w:rPr>
              <w:t xml:space="preserve">D. Knowledge and information management and outreach </w:t>
            </w:r>
          </w:p>
        </w:tc>
        <w:tc>
          <w:tcPr>
            <w:tcW w:w="1275" w:type="dxa"/>
            <w:tcBorders>
              <w:top w:val="single" w:sz="4" w:space="0" w:color="auto"/>
            </w:tcBorders>
            <w:noWrap/>
            <w:vAlign w:val="center"/>
            <w:hideMark/>
          </w:tcPr>
          <w:p w14:paraId="3917F194"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669B7DC0"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7634176C"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77380EC"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3525ACC9"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016266B4" w14:textId="77777777" w:rsidR="00312042" w:rsidRPr="00CB7E8A" w:rsidRDefault="00312042" w:rsidP="00CB7E8A">
            <w:pPr>
              <w:spacing w:before="40" w:after="40"/>
              <w:jc w:val="right"/>
              <w:rPr>
                <w:b/>
                <w:bCs/>
                <w:sz w:val="18"/>
                <w:szCs w:val="18"/>
              </w:rPr>
            </w:pPr>
          </w:p>
        </w:tc>
      </w:tr>
      <w:tr w:rsidR="00F234CD" w:rsidRPr="00631C1C" w14:paraId="13CC9D32" w14:textId="77777777" w:rsidTr="00917804">
        <w:trPr>
          <w:trHeight w:val="52"/>
          <w:jc w:val="right"/>
        </w:trPr>
        <w:tc>
          <w:tcPr>
            <w:tcW w:w="7230" w:type="dxa"/>
            <w:gridSpan w:val="2"/>
            <w:noWrap/>
            <w:vAlign w:val="center"/>
            <w:hideMark/>
          </w:tcPr>
          <w:p w14:paraId="2E908C47" w14:textId="77777777" w:rsidR="00312042" w:rsidRPr="00CB7E8A" w:rsidRDefault="00312042" w:rsidP="00CB7E8A">
            <w:pPr>
              <w:spacing w:before="40" w:after="40"/>
              <w:rPr>
                <w:b/>
                <w:bCs/>
                <w:sz w:val="18"/>
                <w:szCs w:val="18"/>
              </w:rPr>
            </w:pPr>
            <w:r w:rsidRPr="00CB7E8A">
              <w:rPr>
                <w:b/>
                <w:bCs/>
                <w:sz w:val="18"/>
                <w:szCs w:val="18"/>
              </w:rPr>
              <w:t>8. Publications</w:t>
            </w:r>
          </w:p>
        </w:tc>
        <w:tc>
          <w:tcPr>
            <w:tcW w:w="1275" w:type="dxa"/>
            <w:noWrap/>
            <w:vAlign w:val="center"/>
            <w:hideMark/>
          </w:tcPr>
          <w:p w14:paraId="7A623909" w14:textId="77777777" w:rsidR="00312042" w:rsidRPr="00CB7E8A" w:rsidRDefault="00312042" w:rsidP="00CB7E8A">
            <w:pPr>
              <w:spacing w:before="40" w:after="40"/>
              <w:jc w:val="right"/>
              <w:rPr>
                <w:b/>
                <w:bCs/>
                <w:sz w:val="18"/>
                <w:szCs w:val="18"/>
              </w:rPr>
            </w:pPr>
          </w:p>
        </w:tc>
        <w:tc>
          <w:tcPr>
            <w:tcW w:w="1134" w:type="dxa"/>
            <w:noWrap/>
            <w:vAlign w:val="center"/>
            <w:hideMark/>
          </w:tcPr>
          <w:p w14:paraId="253305C8" w14:textId="77777777" w:rsidR="00312042" w:rsidRPr="00CB7E8A" w:rsidRDefault="00312042" w:rsidP="00CB7E8A">
            <w:pPr>
              <w:spacing w:before="40" w:after="40"/>
              <w:jc w:val="right"/>
              <w:rPr>
                <w:b/>
                <w:bCs/>
                <w:sz w:val="18"/>
                <w:szCs w:val="18"/>
              </w:rPr>
            </w:pPr>
          </w:p>
        </w:tc>
        <w:tc>
          <w:tcPr>
            <w:tcW w:w="1276" w:type="dxa"/>
            <w:noWrap/>
            <w:vAlign w:val="center"/>
            <w:hideMark/>
          </w:tcPr>
          <w:p w14:paraId="317198B5" w14:textId="77777777" w:rsidR="00312042" w:rsidRPr="00CB7E8A" w:rsidRDefault="00312042" w:rsidP="00CB7E8A">
            <w:pPr>
              <w:spacing w:before="40" w:after="40"/>
              <w:jc w:val="right"/>
              <w:rPr>
                <w:sz w:val="18"/>
                <w:szCs w:val="18"/>
              </w:rPr>
            </w:pPr>
          </w:p>
        </w:tc>
        <w:tc>
          <w:tcPr>
            <w:tcW w:w="1134" w:type="dxa"/>
            <w:noWrap/>
            <w:vAlign w:val="center"/>
            <w:hideMark/>
          </w:tcPr>
          <w:p w14:paraId="6DFC236E" w14:textId="77777777" w:rsidR="00312042" w:rsidRPr="00CB7E8A" w:rsidRDefault="00312042" w:rsidP="00CB7E8A">
            <w:pPr>
              <w:spacing w:before="40" w:after="40"/>
              <w:jc w:val="right"/>
              <w:rPr>
                <w:b/>
                <w:bCs/>
                <w:sz w:val="18"/>
                <w:szCs w:val="18"/>
              </w:rPr>
            </w:pPr>
          </w:p>
        </w:tc>
        <w:tc>
          <w:tcPr>
            <w:tcW w:w="1134" w:type="dxa"/>
            <w:noWrap/>
            <w:vAlign w:val="center"/>
            <w:hideMark/>
          </w:tcPr>
          <w:p w14:paraId="7CE81E54" w14:textId="77777777" w:rsidR="00312042" w:rsidRPr="00CB7E8A" w:rsidRDefault="00312042" w:rsidP="00CB7E8A">
            <w:pPr>
              <w:spacing w:before="40" w:after="40"/>
              <w:jc w:val="right"/>
              <w:rPr>
                <w:b/>
                <w:bCs/>
                <w:sz w:val="18"/>
                <w:szCs w:val="18"/>
              </w:rPr>
            </w:pPr>
          </w:p>
        </w:tc>
        <w:tc>
          <w:tcPr>
            <w:tcW w:w="1245" w:type="dxa"/>
            <w:noWrap/>
            <w:vAlign w:val="center"/>
            <w:hideMark/>
          </w:tcPr>
          <w:p w14:paraId="6FE087F4" w14:textId="77777777" w:rsidR="00312042" w:rsidRPr="00CB7E8A" w:rsidRDefault="00312042" w:rsidP="00CB7E8A">
            <w:pPr>
              <w:spacing w:before="40" w:after="40"/>
              <w:jc w:val="right"/>
              <w:rPr>
                <w:sz w:val="18"/>
                <w:szCs w:val="18"/>
              </w:rPr>
            </w:pPr>
          </w:p>
        </w:tc>
      </w:tr>
      <w:tr w:rsidR="00F234CD" w:rsidRPr="00631C1C" w14:paraId="1FA7F381" w14:textId="77777777" w:rsidTr="00917804">
        <w:trPr>
          <w:trHeight w:val="52"/>
          <w:jc w:val="right"/>
        </w:trPr>
        <w:tc>
          <w:tcPr>
            <w:tcW w:w="284" w:type="dxa"/>
            <w:noWrap/>
            <w:vAlign w:val="center"/>
            <w:hideMark/>
          </w:tcPr>
          <w:p w14:paraId="2BB73CE4"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2FA7B35F" w14:textId="77777777" w:rsidR="00312042" w:rsidRPr="00CB7E8A" w:rsidRDefault="00312042" w:rsidP="00CB7E8A">
            <w:pPr>
              <w:spacing w:before="40" w:after="40"/>
              <w:rPr>
                <w:sz w:val="18"/>
                <w:szCs w:val="18"/>
              </w:rPr>
            </w:pPr>
            <w:r w:rsidRPr="00CB7E8A">
              <w:rPr>
                <w:sz w:val="18"/>
                <w:szCs w:val="18"/>
              </w:rPr>
              <w:t>8.1. Publications</w:t>
            </w:r>
          </w:p>
        </w:tc>
        <w:tc>
          <w:tcPr>
            <w:tcW w:w="1275" w:type="dxa"/>
            <w:noWrap/>
            <w:vAlign w:val="center"/>
            <w:hideMark/>
          </w:tcPr>
          <w:p w14:paraId="4F99145C"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noWrap/>
            <w:vAlign w:val="center"/>
            <w:hideMark/>
          </w:tcPr>
          <w:p w14:paraId="3EAEE6E3" w14:textId="77777777" w:rsidR="00312042" w:rsidRPr="00CB7E8A" w:rsidRDefault="00312042" w:rsidP="00CB7E8A">
            <w:pPr>
              <w:spacing w:before="40" w:after="40"/>
              <w:jc w:val="right"/>
              <w:rPr>
                <w:sz w:val="18"/>
                <w:szCs w:val="18"/>
              </w:rPr>
            </w:pPr>
            <w:r w:rsidRPr="00CB7E8A">
              <w:rPr>
                <w:sz w:val="18"/>
                <w:szCs w:val="18"/>
              </w:rPr>
              <w:t>20 000</w:t>
            </w:r>
          </w:p>
        </w:tc>
        <w:tc>
          <w:tcPr>
            <w:tcW w:w="1276" w:type="dxa"/>
            <w:noWrap/>
            <w:vAlign w:val="center"/>
            <w:hideMark/>
          </w:tcPr>
          <w:p w14:paraId="56DC67A8" w14:textId="77777777" w:rsidR="00312042" w:rsidRPr="00CB7E8A" w:rsidRDefault="00312042" w:rsidP="00CB7E8A">
            <w:pPr>
              <w:spacing w:before="40" w:after="40"/>
              <w:jc w:val="right"/>
              <w:rPr>
                <w:sz w:val="18"/>
                <w:szCs w:val="18"/>
              </w:rPr>
            </w:pPr>
            <w:r w:rsidRPr="00CB7E8A">
              <w:rPr>
                <w:sz w:val="18"/>
                <w:szCs w:val="18"/>
              </w:rPr>
              <w:t>45 000</w:t>
            </w:r>
          </w:p>
        </w:tc>
        <w:tc>
          <w:tcPr>
            <w:tcW w:w="1134" w:type="dxa"/>
            <w:noWrap/>
            <w:vAlign w:val="center"/>
            <w:hideMark/>
          </w:tcPr>
          <w:p w14:paraId="60818606" w14:textId="77777777" w:rsidR="00312042" w:rsidRPr="00CB7E8A" w:rsidRDefault="00312042" w:rsidP="00CB7E8A">
            <w:pPr>
              <w:spacing w:before="40" w:after="40"/>
              <w:jc w:val="right"/>
              <w:rPr>
                <w:sz w:val="18"/>
                <w:szCs w:val="18"/>
              </w:rPr>
            </w:pPr>
            <w:r w:rsidRPr="00CB7E8A">
              <w:rPr>
                <w:sz w:val="18"/>
                <w:szCs w:val="18"/>
              </w:rPr>
              <w:t>12 500</w:t>
            </w:r>
          </w:p>
        </w:tc>
        <w:tc>
          <w:tcPr>
            <w:tcW w:w="1134" w:type="dxa"/>
            <w:noWrap/>
            <w:vAlign w:val="center"/>
            <w:hideMark/>
          </w:tcPr>
          <w:p w14:paraId="63FF86E5" w14:textId="77777777" w:rsidR="00312042" w:rsidRPr="00CB7E8A" w:rsidRDefault="00312042" w:rsidP="00CB7E8A">
            <w:pPr>
              <w:spacing w:before="40" w:after="40"/>
              <w:jc w:val="right"/>
              <w:rPr>
                <w:sz w:val="18"/>
                <w:szCs w:val="18"/>
              </w:rPr>
            </w:pPr>
            <w:r w:rsidRPr="00CB7E8A">
              <w:rPr>
                <w:sz w:val="18"/>
                <w:szCs w:val="18"/>
              </w:rPr>
              <w:t>12 500</w:t>
            </w:r>
          </w:p>
        </w:tc>
        <w:tc>
          <w:tcPr>
            <w:tcW w:w="1245" w:type="dxa"/>
            <w:noWrap/>
            <w:vAlign w:val="center"/>
            <w:hideMark/>
          </w:tcPr>
          <w:p w14:paraId="5CE6DC8D" w14:textId="77777777" w:rsidR="00312042" w:rsidRPr="00CB7E8A" w:rsidRDefault="00312042" w:rsidP="00CB7E8A">
            <w:pPr>
              <w:spacing w:before="40" w:after="40"/>
              <w:jc w:val="right"/>
              <w:rPr>
                <w:sz w:val="18"/>
                <w:szCs w:val="18"/>
              </w:rPr>
            </w:pPr>
            <w:r w:rsidRPr="00CB7E8A">
              <w:rPr>
                <w:sz w:val="18"/>
                <w:szCs w:val="18"/>
              </w:rPr>
              <w:t>25 000</w:t>
            </w:r>
          </w:p>
        </w:tc>
      </w:tr>
      <w:tr w:rsidR="00F234CD" w:rsidRPr="00631C1C"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CB7E8A" w:rsidRDefault="00312042" w:rsidP="00CB7E8A">
            <w:pPr>
              <w:spacing w:before="40" w:after="40"/>
              <w:rPr>
                <w:b/>
                <w:bCs/>
                <w:sz w:val="18"/>
                <w:szCs w:val="18"/>
              </w:rPr>
            </w:pPr>
            <w:r w:rsidRPr="00CB7E8A">
              <w:rPr>
                <w:b/>
                <w:bCs/>
                <w:sz w:val="18"/>
                <w:szCs w:val="18"/>
              </w:rPr>
              <w:t>8. Publications</w:t>
            </w:r>
          </w:p>
        </w:tc>
        <w:tc>
          <w:tcPr>
            <w:tcW w:w="1275" w:type="dxa"/>
            <w:shd w:val="clear" w:color="000000" w:fill="B4C6E7"/>
            <w:noWrap/>
            <w:vAlign w:val="center"/>
            <w:hideMark/>
          </w:tcPr>
          <w:p w14:paraId="5CD87249" w14:textId="77777777" w:rsidR="00312042" w:rsidRPr="00CB7E8A" w:rsidRDefault="00312042" w:rsidP="00CB7E8A">
            <w:pPr>
              <w:spacing w:before="40" w:after="40"/>
              <w:jc w:val="right"/>
              <w:rPr>
                <w:b/>
                <w:bCs/>
                <w:sz w:val="18"/>
                <w:szCs w:val="18"/>
              </w:rPr>
            </w:pPr>
            <w:r w:rsidRPr="00CB7E8A">
              <w:rPr>
                <w:b/>
                <w:bCs/>
                <w:sz w:val="18"/>
                <w:szCs w:val="18"/>
              </w:rPr>
              <w:t>25 000</w:t>
            </w:r>
          </w:p>
        </w:tc>
        <w:tc>
          <w:tcPr>
            <w:tcW w:w="1134" w:type="dxa"/>
            <w:shd w:val="clear" w:color="000000" w:fill="B4C6E7"/>
            <w:noWrap/>
            <w:vAlign w:val="center"/>
            <w:hideMark/>
          </w:tcPr>
          <w:p w14:paraId="76A54092" w14:textId="77777777" w:rsidR="00312042" w:rsidRPr="00CB7E8A" w:rsidRDefault="00312042" w:rsidP="00CB7E8A">
            <w:pPr>
              <w:spacing w:before="40" w:after="40"/>
              <w:jc w:val="right"/>
              <w:rPr>
                <w:b/>
                <w:bCs/>
                <w:sz w:val="18"/>
                <w:szCs w:val="18"/>
              </w:rPr>
            </w:pPr>
            <w:r w:rsidRPr="00CB7E8A">
              <w:rPr>
                <w:b/>
                <w:bCs/>
                <w:sz w:val="18"/>
                <w:szCs w:val="18"/>
              </w:rPr>
              <w:t>20 000</w:t>
            </w:r>
          </w:p>
        </w:tc>
        <w:tc>
          <w:tcPr>
            <w:tcW w:w="1276" w:type="dxa"/>
            <w:shd w:val="clear" w:color="000000" w:fill="B4C6E7"/>
            <w:noWrap/>
            <w:vAlign w:val="center"/>
            <w:hideMark/>
          </w:tcPr>
          <w:p w14:paraId="3CAB0A04" w14:textId="77777777" w:rsidR="00312042" w:rsidRPr="00CB7E8A" w:rsidRDefault="00312042" w:rsidP="00CB7E8A">
            <w:pPr>
              <w:spacing w:before="40" w:after="40"/>
              <w:jc w:val="right"/>
              <w:rPr>
                <w:b/>
                <w:bCs/>
                <w:sz w:val="18"/>
                <w:szCs w:val="18"/>
              </w:rPr>
            </w:pPr>
            <w:r w:rsidRPr="00CB7E8A">
              <w:rPr>
                <w:b/>
                <w:bCs/>
                <w:sz w:val="18"/>
                <w:szCs w:val="18"/>
              </w:rPr>
              <w:t>45 000</w:t>
            </w:r>
          </w:p>
        </w:tc>
        <w:tc>
          <w:tcPr>
            <w:tcW w:w="1134" w:type="dxa"/>
            <w:shd w:val="clear" w:color="000000" w:fill="B4C6E7"/>
            <w:noWrap/>
            <w:vAlign w:val="center"/>
            <w:hideMark/>
          </w:tcPr>
          <w:p w14:paraId="08AC015D" w14:textId="77777777" w:rsidR="00312042" w:rsidRPr="00CB7E8A" w:rsidRDefault="00312042" w:rsidP="00CB7E8A">
            <w:pPr>
              <w:spacing w:before="40" w:after="40"/>
              <w:jc w:val="right"/>
              <w:rPr>
                <w:b/>
                <w:bCs/>
                <w:sz w:val="18"/>
                <w:szCs w:val="18"/>
              </w:rPr>
            </w:pPr>
            <w:r w:rsidRPr="00CB7E8A">
              <w:rPr>
                <w:b/>
                <w:bCs/>
                <w:sz w:val="18"/>
                <w:szCs w:val="18"/>
              </w:rPr>
              <w:t>12 500</w:t>
            </w:r>
          </w:p>
        </w:tc>
        <w:tc>
          <w:tcPr>
            <w:tcW w:w="1134" w:type="dxa"/>
            <w:shd w:val="clear" w:color="000000" w:fill="B4C6E7"/>
            <w:noWrap/>
            <w:vAlign w:val="center"/>
            <w:hideMark/>
          </w:tcPr>
          <w:p w14:paraId="49BD1251" w14:textId="77777777" w:rsidR="00312042" w:rsidRPr="00CB7E8A" w:rsidRDefault="00312042" w:rsidP="00CB7E8A">
            <w:pPr>
              <w:spacing w:before="40" w:after="40"/>
              <w:jc w:val="right"/>
              <w:rPr>
                <w:b/>
                <w:bCs/>
                <w:sz w:val="18"/>
                <w:szCs w:val="18"/>
              </w:rPr>
            </w:pPr>
            <w:r w:rsidRPr="00CB7E8A">
              <w:rPr>
                <w:b/>
                <w:bCs/>
                <w:sz w:val="18"/>
                <w:szCs w:val="18"/>
              </w:rPr>
              <w:t>12 500</w:t>
            </w:r>
          </w:p>
        </w:tc>
        <w:tc>
          <w:tcPr>
            <w:tcW w:w="1245" w:type="dxa"/>
            <w:shd w:val="clear" w:color="000000" w:fill="B4C6E7"/>
            <w:noWrap/>
            <w:vAlign w:val="center"/>
            <w:hideMark/>
          </w:tcPr>
          <w:p w14:paraId="75749CD7" w14:textId="77777777" w:rsidR="00312042" w:rsidRPr="00CB7E8A" w:rsidRDefault="00312042" w:rsidP="00CB7E8A">
            <w:pPr>
              <w:spacing w:before="40" w:after="40"/>
              <w:jc w:val="right"/>
              <w:rPr>
                <w:b/>
                <w:bCs/>
                <w:sz w:val="18"/>
                <w:szCs w:val="18"/>
              </w:rPr>
            </w:pPr>
            <w:r w:rsidRPr="00CB7E8A">
              <w:rPr>
                <w:b/>
                <w:bCs/>
                <w:sz w:val="18"/>
                <w:szCs w:val="18"/>
              </w:rPr>
              <w:t>25 000</w:t>
            </w:r>
          </w:p>
        </w:tc>
      </w:tr>
      <w:tr w:rsidR="00F234CD" w:rsidRPr="00631C1C"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CB7E8A" w:rsidRDefault="00312042" w:rsidP="00CB7E8A">
            <w:pPr>
              <w:spacing w:before="40" w:after="40"/>
              <w:rPr>
                <w:b/>
                <w:bCs/>
                <w:sz w:val="18"/>
                <w:szCs w:val="18"/>
              </w:rPr>
            </w:pPr>
            <w:r w:rsidRPr="00CB7E8A">
              <w:rPr>
                <w:b/>
                <w:bCs/>
                <w:sz w:val="18"/>
                <w:szCs w:val="18"/>
              </w:rPr>
              <w:t>9. Communication, outreach and public awareness</w:t>
            </w:r>
          </w:p>
        </w:tc>
        <w:tc>
          <w:tcPr>
            <w:tcW w:w="1275" w:type="dxa"/>
            <w:tcBorders>
              <w:top w:val="nil"/>
            </w:tcBorders>
            <w:noWrap/>
            <w:vAlign w:val="center"/>
            <w:hideMark/>
          </w:tcPr>
          <w:p w14:paraId="0E0CFA12"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22E23745" w14:textId="77777777" w:rsidR="00312042" w:rsidRPr="00CB7E8A" w:rsidRDefault="00312042" w:rsidP="00CB7E8A">
            <w:pPr>
              <w:spacing w:before="40" w:after="40"/>
              <w:jc w:val="right"/>
              <w:rPr>
                <w:b/>
                <w:bCs/>
                <w:sz w:val="18"/>
                <w:szCs w:val="18"/>
              </w:rPr>
            </w:pPr>
          </w:p>
        </w:tc>
        <w:tc>
          <w:tcPr>
            <w:tcW w:w="1276" w:type="dxa"/>
            <w:tcBorders>
              <w:top w:val="nil"/>
            </w:tcBorders>
            <w:noWrap/>
            <w:vAlign w:val="center"/>
            <w:hideMark/>
          </w:tcPr>
          <w:p w14:paraId="5B6F046B"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4D09591B"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7AAC51A6" w14:textId="77777777" w:rsidR="00312042" w:rsidRPr="00CB7E8A" w:rsidRDefault="00312042" w:rsidP="00CB7E8A">
            <w:pPr>
              <w:spacing w:before="40" w:after="40"/>
              <w:jc w:val="right"/>
              <w:rPr>
                <w:b/>
                <w:bCs/>
                <w:sz w:val="18"/>
                <w:szCs w:val="18"/>
              </w:rPr>
            </w:pPr>
          </w:p>
        </w:tc>
        <w:tc>
          <w:tcPr>
            <w:tcW w:w="1245" w:type="dxa"/>
            <w:tcBorders>
              <w:top w:val="nil"/>
            </w:tcBorders>
            <w:noWrap/>
            <w:vAlign w:val="center"/>
            <w:hideMark/>
          </w:tcPr>
          <w:p w14:paraId="3FC53C46" w14:textId="77777777" w:rsidR="00312042" w:rsidRPr="00CB7E8A" w:rsidRDefault="00312042" w:rsidP="00CB7E8A">
            <w:pPr>
              <w:spacing w:before="40" w:after="40"/>
              <w:jc w:val="right"/>
              <w:rPr>
                <w:b/>
                <w:bCs/>
                <w:sz w:val="18"/>
                <w:szCs w:val="18"/>
              </w:rPr>
            </w:pPr>
          </w:p>
        </w:tc>
      </w:tr>
      <w:tr w:rsidR="00F234CD" w:rsidRPr="00631C1C" w14:paraId="2C0C5039" w14:textId="77777777" w:rsidTr="00917804">
        <w:trPr>
          <w:trHeight w:val="52"/>
          <w:jc w:val="right"/>
        </w:trPr>
        <w:tc>
          <w:tcPr>
            <w:tcW w:w="284" w:type="dxa"/>
            <w:tcBorders>
              <w:top w:val="nil"/>
            </w:tcBorders>
            <w:noWrap/>
            <w:vAlign w:val="center"/>
            <w:hideMark/>
          </w:tcPr>
          <w:p w14:paraId="5CB51EF6"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2B71AA65" w14:textId="77777777" w:rsidR="00312042" w:rsidRPr="00CB7E8A" w:rsidRDefault="00312042" w:rsidP="00CB7E8A">
            <w:pPr>
              <w:spacing w:before="40" w:after="40"/>
              <w:rPr>
                <w:sz w:val="18"/>
                <w:szCs w:val="18"/>
              </w:rPr>
            </w:pPr>
            <w:r w:rsidRPr="00CB7E8A">
              <w:rPr>
                <w:sz w:val="18"/>
                <w:szCs w:val="18"/>
              </w:rPr>
              <w:t>9.1. Communication, outreach and public awareness</w:t>
            </w:r>
          </w:p>
        </w:tc>
        <w:tc>
          <w:tcPr>
            <w:tcW w:w="1275" w:type="dxa"/>
            <w:tcBorders>
              <w:top w:val="nil"/>
            </w:tcBorders>
            <w:noWrap/>
            <w:vAlign w:val="center"/>
            <w:hideMark/>
          </w:tcPr>
          <w:p w14:paraId="42A2B52A" w14:textId="77777777" w:rsidR="00312042" w:rsidRPr="00CB7E8A" w:rsidRDefault="00312042" w:rsidP="00CB7E8A">
            <w:pPr>
              <w:spacing w:before="40" w:after="40"/>
              <w:jc w:val="right"/>
              <w:rPr>
                <w:sz w:val="18"/>
                <w:szCs w:val="18"/>
              </w:rPr>
            </w:pPr>
            <w:r w:rsidRPr="00CB7E8A">
              <w:rPr>
                <w:sz w:val="18"/>
                <w:szCs w:val="18"/>
              </w:rPr>
              <w:t>34 000</w:t>
            </w:r>
          </w:p>
        </w:tc>
        <w:tc>
          <w:tcPr>
            <w:tcW w:w="1134" w:type="dxa"/>
            <w:tcBorders>
              <w:top w:val="nil"/>
            </w:tcBorders>
            <w:noWrap/>
            <w:vAlign w:val="center"/>
            <w:hideMark/>
          </w:tcPr>
          <w:p w14:paraId="770CE93E" w14:textId="77777777" w:rsidR="00312042" w:rsidRPr="00CB7E8A" w:rsidRDefault="00312042" w:rsidP="00CB7E8A">
            <w:pPr>
              <w:spacing w:before="40" w:after="40"/>
              <w:jc w:val="right"/>
              <w:rPr>
                <w:sz w:val="18"/>
                <w:szCs w:val="18"/>
              </w:rPr>
            </w:pPr>
            <w:r w:rsidRPr="00CB7E8A">
              <w:rPr>
                <w:sz w:val="18"/>
                <w:szCs w:val="18"/>
              </w:rPr>
              <w:t>42 000</w:t>
            </w:r>
          </w:p>
        </w:tc>
        <w:tc>
          <w:tcPr>
            <w:tcW w:w="1276" w:type="dxa"/>
            <w:tcBorders>
              <w:top w:val="nil"/>
            </w:tcBorders>
            <w:noWrap/>
            <w:vAlign w:val="center"/>
            <w:hideMark/>
          </w:tcPr>
          <w:p w14:paraId="455CD952" w14:textId="77777777" w:rsidR="00312042" w:rsidRPr="00CB7E8A" w:rsidRDefault="00312042" w:rsidP="00CB7E8A">
            <w:pPr>
              <w:spacing w:before="40" w:after="40"/>
              <w:jc w:val="right"/>
              <w:rPr>
                <w:sz w:val="18"/>
                <w:szCs w:val="18"/>
              </w:rPr>
            </w:pPr>
            <w:r w:rsidRPr="00CB7E8A">
              <w:rPr>
                <w:sz w:val="18"/>
                <w:szCs w:val="18"/>
              </w:rPr>
              <w:t>76 000</w:t>
            </w:r>
          </w:p>
        </w:tc>
        <w:tc>
          <w:tcPr>
            <w:tcW w:w="1134" w:type="dxa"/>
            <w:tcBorders>
              <w:top w:val="nil"/>
            </w:tcBorders>
            <w:noWrap/>
            <w:vAlign w:val="center"/>
            <w:hideMark/>
          </w:tcPr>
          <w:p w14:paraId="160A0AEA"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A516A9B"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0738D9B" w14:textId="77777777" w:rsidR="00312042" w:rsidRPr="00CB7E8A" w:rsidRDefault="00312042" w:rsidP="00CB7E8A">
            <w:pPr>
              <w:spacing w:before="40" w:after="40"/>
              <w:jc w:val="right"/>
              <w:rPr>
                <w:sz w:val="18"/>
                <w:szCs w:val="18"/>
              </w:rPr>
            </w:pPr>
          </w:p>
        </w:tc>
      </w:tr>
      <w:tr w:rsidR="00F234CD" w:rsidRPr="00631C1C"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CB7E8A" w:rsidRDefault="00312042" w:rsidP="00CB7E8A">
            <w:pPr>
              <w:spacing w:before="40" w:after="40"/>
              <w:rPr>
                <w:b/>
                <w:bCs/>
                <w:sz w:val="18"/>
                <w:szCs w:val="18"/>
              </w:rPr>
            </w:pPr>
            <w:r w:rsidRPr="00CB7E8A">
              <w:rPr>
                <w:b/>
                <w:bCs/>
                <w:sz w:val="18"/>
                <w:szCs w:val="18"/>
              </w:rPr>
              <w:t>9. Communication, outreach and public awareness</w:t>
            </w:r>
          </w:p>
        </w:tc>
        <w:tc>
          <w:tcPr>
            <w:tcW w:w="1275" w:type="dxa"/>
            <w:shd w:val="clear" w:color="000000" w:fill="B4C6E7"/>
            <w:noWrap/>
            <w:vAlign w:val="center"/>
            <w:hideMark/>
          </w:tcPr>
          <w:p w14:paraId="77132339" w14:textId="77777777" w:rsidR="00312042" w:rsidRPr="00CB7E8A" w:rsidRDefault="00312042" w:rsidP="00CB7E8A">
            <w:pPr>
              <w:spacing w:before="40" w:after="40"/>
              <w:jc w:val="right"/>
              <w:rPr>
                <w:b/>
                <w:bCs/>
                <w:sz w:val="18"/>
                <w:szCs w:val="18"/>
              </w:rPr>
            </w:pPr>
            <w:r w:rsidRPr="00CB7E8A">
              <w:rPr>
                <w:b/>
                <w:bCs/>
                <w:sz w:val="18"/>
                <w:szCs w:val="18"/>
              </w:rPr>
              <w:t>34 000</w:t>
            </w:r>
          </w:p>
        </w:tc>
        <w:tc>
          <w:tcPr>
            <w:tcW w:w="1134" w:type="dxa"/>
            <w:shd w:val="clear" w:color="000000" w:fill="B4C6E7"/>
            <w:noWrap/>
            <w:vAlign w:val="center"/>
            <w:hideMark/>
          </w:tcPr>
          <w:p w14:paraId="343B45CF" w14:textId="77777777" w:rsidR="00312042" w:rsidRPr="00CB7E8A" w:rsidRDefault="00312042" w:rsidP="00CB7E8A">
            <w:pPr>
              <w:spacing w:before="40" w:after="40"/>
              <w:jc w:val="right"/>
              <w:rPr>
                <w:b/>
                <w:bCs/>
                <w:sz w:val="18"/>
                <w:szCs w:val="18"/>
              </w:rPr>
            </w:pPr>
            <w:r w:rsidRPr="00CB7E8A">
              <w:rPr>
                <w:b/>
                <w:bCs/>
                <w:sz w:val="18"/>
                <w:szCs w:val="18"/>
              </w:rPr>
              <w:t>42 000</w:t>
            </w:r>
          </w:p>
        </w:tc>
        <w:tc>
          <w:tcPr>
            <w:tcW w:w="1276" w:type="dxa"/>
            <w:shd w:val="clear" w:color="000000" w:fill="B4C6E7"/>
            <w:noWrap/>
            <w:vAlign w:val="center"/>
            <w:hideMark/>
          </w:tcPr>
          <w:p w14:paraId="60F1D2AA" w14:textId="77777777" w:rsidR="00312042" w:rsidRPr="00CB7E8A" w:rsidRDefault="00312042" w:rsidP="00CB7E8A">
            <w:pPr>
              <w:spacing w:before="40" w:after="40"/>
              <w:jc w:val="right"/>
              <w:rPr>
                <w:b/>
                <w:bCs/>
                <w:sz w:val="18"/>
                <w:szCs w:val="18"/>
              </w:rPr>
            </w:pPr>
            <w:r w:rsidRPr="00CB7E8A">
              <w:rPr>
                <w:b/>
                <w:bCs/>
                <w:sz w:val="18"/>
                <w:szCs w:val="18"/>
              </w:rPr>
              <w:t>76 000</w:t>
            </w:r>
          </w:p>
        </w:tc>
        <w:tc>
          <w:tcPr>
            <w:tcW w:w="1134" w:type="dxa"/>
            <w:shd w:val="clear" w:color="000000" w:fill="B4C6E7"/>
            <w:noWrap/>
            <w:vAlign w:val="center"/>
            <w:hideMark/>
          </w:tcPr>
          <w:p w14:paraId="382BB400"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7FA54195"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01D1EC51" w14:textId="77777777" w:rsidR="00312042" w:rsidRPr="00CB7E8A" w:rsidRDefault="00312042" w:rsidP="00CB7E8A">
            <w:pPr>
              <w:spacing w:before="40" w:after="40"/>
              <w:jc w:val="right"/>
              <w:rPr>
                <w:b/>
                <w:bCs/>
                <w:sz w:val="18"/>
                <w:szCs w:val="18"/>
              </w:rPr>
            </w:pPr>
          </w:p>
        </w:tc>
      </w:tr>
      <w:tr w:rsidR="00F234CD" w:rsidRPr="00631C1C" w14:paraId="36C34EE7" w14:textId="77777777" w:rsidTr="00917804">
        <w:trPr>
          <w:trHeight w:val="52"/>
          <w:jc w:val="right"/>
        </w:trPr>
        <w:tc>
          <w:tcPr>
            <w:tcW w:w="7230" w:type="dxa"/>
            <w:gridSpan w:val="2"/>
            <w:noWrap/>
            <w:vAlign w:val="center"/>
            <w:hideMark/>
          </w:tcPr>
          <w:p w14:paraId="1DD412F1" w14:textId="77777777" w:rsidR="00312042" w:rsidRPr="00CB7E8A" w:rsidRDefault="00312042" w:rsidP="00CB7E8A">
            <w:pPr>
              <w:keepNext/>
              <w:keepLines/>
              <w:spacing w:before="40" w:after="40"/>
              <w:rPr>
                <w:b/>
                <w:bCs/>
                <w:sz w:val="18"/>
                <w:szCs w:val="18"/>
              </w:rPr>
            </w:pPr>
            <w:r w:rsidRPr="00CB7E8A">
              <w:rPr>
                <w:b/>
                <w:bCs/>
                <w:sz w:val="18"/>
                <w:szCs w:val="18"/>
              </w:rPr>
              <w:t>10. Digital presence</w:t>
            </w:r>
          </w:p>
        </w:tc>
        <w:tc>
          <w:tcPr>
            <w:tcW w:w="1275" w:type="dxa"/>
            <w:noWrap/>
            <w:vAlign w:val="center"/>
            <w:hideMark/>
          </w:tcPr>
          <w:p w14:paraId="6BE773C0"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2950828A" w14:textId="77777777" w:rsidR="00312042" w:rsidRPr="00CB7E8A" w:rsidRDefault="00312042" w:rsidP="00CB7E8A">
            <w:pPr>
              <w:keepNext/>
              <w:keepLines/>
              <w:spacing w:before="40" w:after="40"/>
              <w:jc w:val="right"/>
              <w:rPr>
                <w:b/>
                <w:bCs/>
                <w:sz w:val="18"/>
                <w:szCs w:val="18"/>
              </w:rPr>
            </w:pPr>
          </w:p>
        </w:tc>
        <w:tc>
          <w:tcPr>
            <w:tcW w:w="1276" w:type="dxa"/>
            <w:noWrap/>
            <w:vAlign w:val="center"/>
            <w:hideMark/>
          </w:tcPr>
          <w:p w14:paraId="10ACB04B"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4BF3DDA6"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658B102E" w14:textId="77777777" w:rsidR="00312042" w:rsidRPr="00CB7E8A" w:rsidRDefault="00312042" w:rsidP="00CB7E8A">
            <w:pPr>
              <w:keepNext/>
              <w:keepLines/>
              <w:spacing w:before="40" w:after="40"/>
              <w:jc w:val="right"/>
              <w:rPr>
                <w:b/>
                <w:bCs/>
                <w:sz w:val="18"/>
                <w:szCs w:val="18"/>
              </w:rPr>
            </w:pPr>
          </w:p>
        </w:tc>
        <w:tc>
          <w:tcPr>
            <w:tcW w:w="1245" w:type="dxa"/>
            <w:noWrap/>
            <w:vAlign w:val="center"/>
            <w:hideMark/>
          </w:tcPr>
          <w:p w14:paraId="22F89D9D" w14:textId="77777777" w:rsidR="00312042" w:rsidRPr="00CB7E8A" w:rsidRDefault="00312042" w:rsidP="00CB7E8A">
            <w:pPr>
              <w:keepNext/>
              <w:keepLines/>
              <w:spacing w:before="40" w:after="40"/>
              <w:jc w:val="right"/>
              <w:rPr>
                <w:b/>
                <w:bCs/>
                <w:sz w:val="18"/>
                <w:szCs w:val="18"/>
              </w:rPr>
            </w:pPr>
          </w:p>
        </w:tc>
      </w:tr>
      <w:tr w:rsidR="00F234CD" w:rsidRPr="00631C1C" w14:paraId="55033C0E" w14:textId="77777777" w:rsidTr="00917804">
        <w:trPr>
          <w:trHeight w:val="52"/>
          <w:jc w:val="right"/>
        </w:trPr>
        <w:tc>
          <w:tcPr>
            <w:tcW w:w="284" w:type="dxa"/>
            <w:tcBorders>
              <w:top w:val="nil"/>
            </w:tcBorders>
            <w:noWrap/>
            <w:vAlign w:val="center"/>
            <w:hideMark/>
          </w:tcPr>
          <w:p w14:paraId="7DB6B69A" w14:textId="77777777" w:rsidR="00312042" w:rsidRPr="00CB7E8A" w:rsidRDefault="00312042" w:rsidP="00CB7E8A">
            <w:pPr>
              <w:keepNext/>
              <w:keepLines/>
              <w:spacing w:before="40" w:after="40"/>
              <w:rPr>
                <w:b/>
                <w:bCs/>
                <w:sz w:val="18"/>
                <w:szCs w:val="18"/>
              </w:rPr>
            </w:pPr>
            <w:r w:rsidRPr="00CB7E8A">
              <w:rPr>
                <w:b/>
                <w:bCs/>
                <w:sz w:val="18"/>
                <w:szCs w:val="18"/>
              </w:rPr>
              <w:t> </w:t>
            </w:r>
          </w:p>
        </w:tc>
        <w:tc>
          <w:tcPr>
            <w:tcW w:w="6946" w:type="dxa"/>
            <w:tcBorders>
              <w:top w:val="nil"/>
            </w:tcBorders>
            <w:noWrap/>
            <w:vAlign w:val="center"/>
            <w:hideMark/>
          </w:tcPr>
          <w:p w14:paraId="6588251C" w14:textId="680A700B" w:rsidR="00312042" w:rsidRPr="00CB7E8A" w:rsidRDefault="00312042" w:rsidP="00CB7E8A">
            <w:pPr>
              <w:keepNext/>
              <w:keepLines/>
              <w:spacing w:before="40" w:after="40"/>
              <w:rPr>
                <w:sz w:val="18"/>
                <w:szCs w:val="18"/>
              </w:rPr>
            </w:pPr>
            <w:r w:rsidRPr="00CB7E8A">
              <w:rPr>
                <w:sz w:val="18"/>
                <w:szCs w:val="18"/>
              </w:rPr>
              <w:t>10.</w:t>
            </w:r>
            <w:r w:rsidR="006512CC" w:rsidRPr="00CB7E8A">
              <w:rPr>
                <w:sz w:val="18"/>
                <w:szCs w:val="18"/>
              </w:rPr>
              <w:t>1.</w:t>
            </w:r>
            <w:r w:rsidRPr="00CB7E8A">
              <w:rPr>
                <w:sz w:val="18"/>
                <w:szCs w:val="18"/>
              </w:rPr>
              <w:t xml:space="preserve"> Digital strategy</w:t>
            </w:r>
          </w:p>
        </w:tc>
        <w:tc>
          <w:tcPr>
            <w:tcW w:w="1275" w:type="dxa"/>
            <w:tcBorders>
              <w:top w:val="nil"/>
            </w:tcBorders>
            <w:noWrap/>
            <w:vAlign w:val="center"/>
            <w:hideMark/>
          </w:tcPr>
          <w:p w14:paraId="3304840E" w14:textId="77777777" w:rsidR="00312042" w:rsidRPr="00CB7E8A" w:rsidRDefault="00312042" w:rsidP="00CB7E8A">
            <w:pPr>
              <w:keepNext/>
              <w:keepLines/>
              <w:spacing w:before="40" w:after="40"/>
              <w:jc w:val="right"/>
              <w:rPr>
                <w:sz w:val="18"/>
                <w:szCs w:val="18"/>
              </w:rPr>
            </w:pPr>
            <w:r w:rsidRPr="00CB7E8A">
              <w:rPr>
                <w:sz w:val="18"/>
                <w:szCs w:val="18"/>
              </w:rPr>
              <w:t>22 500</w:t>
            </w:r>
          </w:p>
        </w:tc>
        <w:tc>
          <w:tcPr>
            <w:tcW w:w="1134" w:type="dxa"/>
            <w:tcBorders>
              <w:top w:val="nil"/>
            </w:tcBorders>
            <w:noWrap/>
            <w:vAlign w:val="center"/>
            <w:hideMark/>
          </w:tcPr>
          <w:p w14:paraId="4F4AE19B" w14:textId="77777777" w:rsidR="00312042" w:rsidRPr="00CB7E8A" w:rsidRDefault="00312042" w:rsidP="00CB7E8A">
            <w:pPr>
              <w:keepNext/>
              <w:keepLines/>
              <w:spacing w:before="40" w:after="40"/>
              <w:jc w:val="right"/>
              <w:rPr>
                <w:sz w:val="18"/>
                <w:szCs w:val="18"/>
              </w:rPr>
            </w:pPr>
            <w:r w:rsidRPr="00CB7E8A">
              <w:rPr>
                <w:sz w:val="18"/>
                <w:szCs w:val="18"/>
              </w:rPr>
              <w:t>27 500</w:t>
            </w:r>
          </w:p>
        </w:tc>
        <w:tc>
          <w:tcPr>
            <w:tcW w:w="1276" w:type="dxa"/>
            <w:tcBorders>
              <w:top w:val="nil"/>
            </w:tcBorders>
            <w:noWrap/>
            <w:vAlign w:val="center"/>
            <w:hideMark/>
          </w:tcPr>
          <w:p w14:paraId="06BDCCF5" w14:textId="77777777" w:rsidR="00312042" w:rsidRPr="00CB7E8A" w:rsidRDefault="00312042" w:rsidP="00CB7E8A">
            <w:pPr>
              <w:keepNext/>
              <w:keepLines/>
              <w:spacing w:before="40" w:after="40"/>
              <w:jc w:val="right"/>
              <w:rPr>
                <w:sz w:val="18"/>
                <w:szCs w:val="18"/>
              </w:rPr>
            </w:pPr>
            <w:r w:rsidRPr="00CB7E8A">
              <w:rPr>
                <w:sz w:val="18"/>
                <w:szCs w:val="18"/>
              </w:rPr>
              <w:t>50 000</w:t>
            </w:r>
          </w:p>
        </w:tc>
        <w:tc>
          <w:tcPr>
            <w:tcW w:w="1134" w:type="dxa"/>
            <w:tcBorders>
              <w:top w:val="nil"/>
            </w:tcBorders>
            <w:noWrap/>
            <w:vAlign w:val="center"/>
            <w:hideMark/>
          </w:tcPr>
          <w:p w14:paraId="3A6C77B8" w14:textId="77777777" w:rsidR="00312042" w:rsidRPr="00CB7E8A" w:rsidRDefault="00312042" w:rsidP="00CB7E8A">
            <w:pPr>
              <w:keepNext/>
              <w:keepLines/>
              <w:spacing w:before="40" w:after="40"/>
              <w:jc w:val="right"/>
              <w:rPr>
                <w:sz w:val="18"/>
                <w:szCs w:val="18"/>
              </w:rPr>
            </w:pPr>
            <w:r w:rsidRPr="00CB7E8A">
              <w:rPr>
                <w:sz w:val="18"/>
                <w:szCs w:val="18"/>
              </w:rPr>
              <w:t>120 000</w:t>
            </w:r>
          </w:p>
        </w:tc>
        <w:tc>
          <w:tcPr>
            <w:tcW w:w="1134" w:type="dxa"/>
            <w:tcBorders>
              <w:top w:val="nil"/>
            </w:tcBorders>
            <w:noWrap/>
            <w:vAlign w:val="center"/>
            <w:hideMark/>
          </w:tcPr>
          <w:p w14:paraId="6E39A7D5" w14:textId="77777777" w:rsidR="00312042" w:rsidRPr="00CB7E8A" w:rsidRDefault="00312042" w:rsidP="00CB7E8A">
            <w:pPr>
              <w:keepNext/>
              <w:keepLines/>
              <w:spacing w:before="40" w:after="40"/>
              <w:jc w:val="right"/>
              <w:rPr>
                <w:sz w:val="18"/>
                <w:szCs w:val="18"/>
              </w:rPr>
            </w:pPr>
            <w:r w:rsidRPr="00CB7E8A">
              <w:rPr>
                <w:sz w:val="18"/>
                <w:szCs w:val="18"/>
              </w:rPr>
              <w:t>85 000</w:t>
            </w:r>
          </w:p>
        </w:tc>
        <w:tc>
          <w:tcPr>
            <w:tcW w:w="1245" w:type="dxa"/>
            <w:tcBorders>
              <w:top w:val="nil"/>
            </w:tcBorders>
            <w:noWrap/>
            <w:vAlign w:val="center"/>
            <w:hideMark/>
          </w:tcPr>
          <w:p w14:paraId="34E875FD" w14:textId="77777777" w:rsidR="00312042" w:rsidRPr="00CB7E8A" w:rsidRDefault="00312042" w:rsidP="00CB7E8A">
            <w:pPr>
              <w:keepNext/>
              <w:keepLines/>
              <w:spacing w:before="40" w:after="40"/>
              <w:jc w:val="right"/>
              <w:rPr>
                <w:sz w:val="18"/>
                <w:szCs w:val="18"/>
              </w:rPr>
            </w:pPr>
            <w:r w:rsidRPr="00CB7E8A">
              <w:rPr>
                <w:sz w:val="18"/>
                <w:szCs w:val="18"/>
              </w:rPr>
              <w:t>205 000</w:t>
            </w:r>
          </w:p>
        </w:tc>
      </w:tr>
      <w:tr w:rsidR="00F234CD" w:rsidRPr="00631C1C"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CB7E8A" w:rsidRDefault="00312042" w:rsidP="00CB7E8A">
            <w:pPr>
              <w:keepNext/>
              <w:keepLines/>
              <w:spacing w:before="40" w:after="40"/>
              <w:rPr>
                <w:b/>
                <w:bCs/>
                <w:sz w:val="18"/>
                <w:szCs w:val="18"/>
              </w:rPr>
            </w:pPr>
            <w:r w:rsidRPr="00CB7E8A">
              <w:rPr>
                <w:b/>
                <w:bCs/>
                <w:sz w:val="18"/>
                <w:szCs w:val="18"/>
              </w:rPr>
              <w:t>10. Digital presence</w:t>
            </w:r>
          </w:p>
        </w:tc>
        <w:tc>
          <w:tcPr>
            <w:tcW w:w="1275" w:type="dxa"/>
            <w:tcBorders>
              <w:bottom w:val="single" w:sz="4" w:space="0" w:color="auto"/>
            </w:tcBorders>
            <w:shd w:val="clear" w:color="000000" w:fill="B4C6E7"/>
            <w:noWrap/>
            <w:vAlign w:val="center"/>
            <w:hideMark/>
          </w:tcPr>
          <w:p w14:paraId="127F4C4F" w14:textId="77777777" w:rsidR="00312042" w:rsidRPr="00CB7E8A" w:rsidRDefault="00312042" w:rsidP="00CB7E8A">
            <w:pPr>
              <w:keepNext/>
              <w:keepLines/>
              <w:spacing w:before="40" w:after="40"/>
              <w:jc w:val="right"/>
              <w:rPr>
                <w:b/>
                <w:bCs/>
                <w:sz w:val="18"/>
                <w:szCs w:val="18"/>
              </w:rPr>
            </w:pPr>
            <w:r w:rsidRPr="00CB7E8A">
              <w:rPr>
                <w:b/>
                <w:bCs/>
                <w:sz w:val="18"/>
                <w:szCs w:val="18"/>
              </w:rPr>
              <w:t>22 500</w:t>
            </w:r>
          </w:p>
        </w:tc>
        <w:tc>
          <w:tcPr>
            <w:tcW w:w="1134" w:type="dxa"/>
            <w:tcBorders>
              <w:bottom w:val="single" w:sz="4" w:space="0" w:color="auto"/>
            </w:tcBorders>
            <w:shd w:val="clear" w:color="000000" w:fill="B4C6E7"/>
            <w:noWrap/>
            <w:vAlign w:val="center"/>
            <w:hideMark/>
          </w:tcPr>
          <w:p w14:paraId="389F3BE8" w14:textId="77777777" w:rsidR="00312042" w:rsidRPr="00CB7E8A" w:rsidRDefault="00312042" w:rsidP="00CB7E8A">
            <w:pPr>
              <w:keepNext/>
              <w:keepLines/>
              <w:spacing w:before="40" w:after="40"/>
              <w:jc w:val="right"/>
              <w:rPr>
                <w:b/>
                <w:bCs/>
                <w:sz w:val="18"/>
                <w:szCs w:val="18"/>
              </w:rPr>
            </w:pPr>
            <w:r w:rsidRPr="00CB7E8A">
              <w:rPr>
                <w:b/>
                <w:bCs/>
                <w:sz w:val="18"/>
                <w:szCs w:val="18"/>
              </w:rPr>
              <w:t>27 500</w:t>
            </w:r>
          </w:p>
        </w:tc>
        <w:tc>
          <w:tcPr>
            <w:tcW w:w="1276" w:type="dxa"/>
            <w:tcBorders>
              <w:bottom w:val="single" w:sz="4" w:space="0" w:color="auto"/>
            </w:tcBorders>
            <w:shd w:val="clear" w:color="000000" w:fill="B4C6E7"/>
            <w:noWrap/>
            <w:vAlign w:val="center"/>
            <w:hideMark/>
          </w:tcPr>
          <w:p w14:paraId="4FC9F884" w14:textId="77777777" w:rsidR="00312042" w:rsidRPr="00CB7E8A" w:rsidRDefault="00312042" w:rsidP="00CB7E8A">
            <w:pPr>
              <w:keepNext/>
              <w:keepLines/>
              <w:spacing w:before="40" w:after="40"/>
              <w:jc w:val="right"/>
              <w:rPr>
                <w:b/>
                <w:bCs/>
                <w:sz w:val="18"/>
                <w:szCs w:val="18"/>
              </w:rPr>
            </w:pPr>
            <w:r w:rsidRPr="00CB7E8A">
              <w:rPr>
                <w:b/>
                <w:bCs/>
                <w:sz w:val="18"/>
                <w:szCs w:val="18"/>
              </w:rPr>
              <w:t>50 000</w:t>
            </w:r>
          </w:p>
        </w:tc>
        <w:tc>
          <w:tcPr>
            <w:tcW w:w="1134" w:type="dxa"/>
            <w:tcBorders>
              <w:bottom w:val="single" w:sz="4" w:space="0" w:color="auto"/>
            </w:tcBorders>
            <w:shd w:val="clear" w:color="000000" w:fill="B4C6E7"/>
            <w:noWrap/>
            <w:vAlign w:val="center"/>
            <w:hideMark/>
          </w:tcPr>
          <w:p w14:paraId="124FB380" w14:textId="77777777" w:rsidR="00312042" w:rsidRPr="00CB7E8A" w:rsidRDefault="00312042" w:rsidP="00CB7E8A">
            <w:pPr>
              <w:keepNext/>
              <w:keepLines/>
              <w:spacing w:before="40" w:after="40"/>
              <w:jc w:val="right"/>
              <w:rPr>
                <w:b/>
                <w:bCs/>
                <w:sz w:val="18"/>
                <w:szCs w:val="18"/>
              </w:rPr>
            </w:pPr>
            <w:r w:rsidRPr="00CB7E8A">
              <w:rPr>
                <w:b/>
                <w:bCs/>
                <w:sz w:val="18"/>
                <w:szCs w:val="18"/>
              </w:rPr>
              <w:t>120 000</w:t>
            </w:r>
          </w:p>
        </w:tc>
        <w:tc>
          <w:tcPr>
            <w:tcW w:w="1134" w:type="dxa"/>
            <w:tcBorders>
              <w:bottom w:val="single" w:sz="4" w:space="0" w:color="auto"/>
            </w:tcBorders>
            <w:shd w:val="clear" w:color="000000" w:fill="B4C6E7"/>
            <w:noWrap/>
            <w:vAlign w:val="center"/>
            <w:hideMark/>
          </w:tcPr>
          <w:p w14:paraId="16A5FD49" w14:textId="77777777" w:rsidR="00312042" w:rsidRPr="00CB7E8A" w:rsidRDefault="00312042" w:rsidP="00CB7E8A">
            <w:pPr>
              <w:keepNext/>
              <w:keepLines/>
              <w:spacing w:before="40" w:after="40"/>
              <w:jc w:val="right"/>
              <w:rPr>
                <w:b/>
                <w:bCs/>
                <w:sz w:val="18"/>
                <w:szCs w:val="18"/>
              </w:rPr>
            </w:pPr>
            <w:r w:rsidRPr="00CB7E8A">
              <w:rPr>
                <w:b/>
                <w:bCs/>
                <w:sz w:val="18"/>
                <w:szCs w:val="18"/>
              </w:rPr>
              <w:t>85 000</w:t>
            </w:r>
          </w:p>
        </w:tc>
        <w:tc>
          <w:tcPr>
            <w:tcW w:w="1245" w:type="dxa"/>
            <w:tcBorders>
              <w:bottom w:val="single" w:sz="4" w:space="0" w:color="auto"/>
            </w:tcBorders>
            <w:shd w:val="clear" w:color="000000" w:fill="B4C6E7"/>
            <w:noWrap/>
            <w:vAlign w:val="center"/>
            <w:hideMark/>
          </w:tcPr>
          <w:p w14:paraId="78F28D71" w14:textId="77777777" w:rsidR="00312042" w:rsidRPr="00CB7E8A" w:rsidRDefault="00312042" w:rsidP="00CB7E8A">
            <w:pPr>
              <w:keepNext/>
              <w:keepLines/>
              <w:spacing w:before="40" w:after="40"/>
              <w:jc w:val="right"/>
              <w:rPr>
                <w:b/>
                <w:bCs/>
                <w:sz w:val="18"/>
                <w:szCs w:val="18"/>
              </w:rPr>
            </w:pPr>
            <w:r w:rsidRPr="00CB7E8A">
              <w:rPr>
                <w:b/>
                <w:bCs/>
                <w:sz w:val="18"/>
                <w:szCs w:val="18"/>
              </w:rPr>
              <w:t>205 000</w:t>
            </w:r>
          </w:p>
        </w:tc>
      </w:tr>
      <w:tr w:rsidR="00F234CD" w:rsidRPr="00631C1C"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CB7E8A" w:rsidRDefault="00312042" w:rsidP="00CB7E8A">
            <w:pPr>
              <w:keepNext/>
              <w:keepLines/>
              <w:spacing w:before="40" w:after="40"/>
              <w:ind w:firstLineChars="100" w:firstLine="181"/>
              <w:rPr>
                <w:b/>
                <w:bCs/>
                <w:sz w:val="18"/>
                <w:szCs w:val="18"/>
              </w:rPr>
            </w:pPr>
            <w:r w:rsidRPr="00CB7E8A">
              <w:rPr>
                <w:b/>
                <w:bCs/>
                <w:sz w:val="18"/>
                <w:szCs w:val="18"/>
              </w:rPr>
              <w:t>Total (D)</w:t>
            </w:r>
          </w:p>
        </w:tc>
        <w:tc>
          <w:tcPr>
            <w:tcW w:w="1275" w:type="dxa"/>
            <w:tcBorders>
              <w:top w:val="single" w:sz="4" w:space="0" w:color="auto"/>
              <w:bottom w:val="single" w:sz="4" w:space="0" w:color="auto"/>
            </w:tcBorders>
            <w:shd w:val="clear" w:color="000000" w:fill="DBB731"/>
            <w:noWrap/>
            <w:vAlign w:val="center"/>
            <w:hideMark/>
          </w:tcPr>
          <w:p w14:paraId="6F0815CB" w14:textId="77777777" w:rsidR="00312042" w:rsidRPr="00CB7E8A" w:rsidRDefault="00312042" w:rsidP="00CB7E8A">
            <w:pPr>
              <w:keepNext/>
              <w:keepLines/>
              <w:spacing w:before="40" w:after="40"/>
              <w:jc w:val="right"/>
              <w:rPr>
                <w:b/>
                <w:bCs/>
                <w:sz w:val="18"/>
                <w:szCs w:val="18"/>
              </w:rPr>
            </w:pPr>
            <w:r w:rsidRPr="00CB7E8A">
              <w:rPr>
                <w:b/>
                <w:bCs/>
                <w:sz w:val="18"/>
                <w:szCs w:val="18"/>
              </w:rPr>
              <w:t>81 500</w:t>
            </w:r>
          </w:p>
        </w:tc>
        <w:tc>
          <w:tcPr>
            <w:tcW w:w="1134" w:type="dxa"/>
            <w:tcBorders>
              <w:top w:val="single" w:sz="4" w:space="0" w:color="auto"/>
              <w:bottom w:val="single" w:sz="4" w:space="0" w:color="auto"/>
            </w:tcBorders>
            <w:shd w:val="clear" w:color="000000" w:fill="DBB731"/>
            <w:noWrap/>
            <w:vAlign w:val="center"/>
            <w:hideMark/>
          </w:tcPr>
          <w:p w14:paraId="24391019" w14:textId="77777777" w:rsidR="00312042" w:rsidRPr="00CB7E8A" w:rsidRDefault="00312042" w:rsidP="00CB7E8A">
            <w:pPr>
              <w:keepNext/>
              <w:keepLines/>
              <w:spacing w:before="40" w:after="40"/>
              <w:jc w:val="right"/>
              <w:rPr>
                <w:b/>
                <w:bCs/>
                <w:sz w:val="18"/>
                <w:szCs w:val="18"/>
              </w:rPr>
            </w:pPr>
            <w:r w:rsidRPr="00CB7E8A">
              <w:rPr>
                <w:b/>
                <w:bCs/>
                <w:sz w:val="18"/>
                <w:szCs w:val="18"/>
              </w:rPr>
              <w:t>89 500</w:t>
            </w:r>
          </w:p>
        </w:tc>
        <w:tc>
          <w:tcPr>
            <w:tcW w:w="1276" w:type="dxa"/>
            <w:tcBorders>
              <w:top w:val="single" w:sz="4" w:space="0" w:color="auto"/>
              <w:bottom w:val="single" w:sz="4" w:space="0" w:color="auto"/>
            </w:tcBorders>
            <w:shd w:val="clear" w:color="000000" w:fill="DBB731"/>
            <w:noWrap/>
            <w:vAlign w:val="center"/>
            <w:hideMark/>
          </w:tcPr>
          <w:p w14:paraId="3C2B5298" w14:textId="77777777" w:rsidR="00312042" w:rsidRPr="00CB7E8A" w:rsidRDefault="00312042" w:rsidP="00CB7E8A">
            <w:pPr>
              <w:keepNext/>
              <w:keepLines/>
              <w:spacing w:before="40" w:after="40"/>
              <w:jc w:val="right"/>
              <w:rPr>
                <w:b/>
                <w:bCs/>
                <w:sz w:val="18"/>
                <w:szCs w:val="18"/>
              </w:rPr>
            </w:pPr>
            <w:r w:rsidRPr="00CB7E8A">
              <w:rPr>
                <w:b/>
                <w:bCs/>
                <w:sz w:val="18"/>
                <w:szCs w:val="18"/>
              </w:rPr>
              <w:t>171 000</w:t>
            </w:r>
          </w:p>
        </w:tc>
        <w:tc>
          <w:tcPr>
            <w:tcW w:w="1134" w:type="dxa"/>
            <w:tcBorders>
              <w:top w:val="single" w:sz="4" w:space="0" w:color="auto"/>
              <w:bottom w:val="single" w:sz="4" w:space="0" w:color="auto"/>
            </w:tcBorders>
            <w:shd w:val="clear" w:color="000000" w:fill="DBB731"/>
            <w:noWrap/>
            <w:vAlign w:val="center"/>
            <w:hideMark/>
          </w:tcPr>
          <w:p w14:paraId="650C5DF2" w14:textId="77777777" w:rsidR="00312042" w:rsidRPr="00CB7E8A" w:rsidRDefault="00312042" w:rsidP="00CB7E8A">
            <w:pPr>
              <w:keepNext/>
              <w:keepLines/>
              <w:spacing w:before="40" w:after="40"/>
              <w:jc w:val="right"/>
              <w:rPr>
                <w:b/>
                <w:bCs/>
                <w:sz w:val="18"/>
                <w:szCs w:val="18"/>
              </w:rPr>
            </w:pPr>
            <w:r w:rsidRPr="00CB7E8A">
              <w:rPr>
                <w:b/>
                <w:bCs/>
                <w:sz w:val="18"/>
                <w:szCs w:val="18"/>
              </w:rPr>
              <w:t>132 500</w:t>
            </w:r>
          </w:p>
        </w:tc>
        <w:tc>
          <w:tcPr>
            <w:tcW w:w="1134" w:type="dxa"/>
            <w:tcBorders>
              <w:top w:val="single" w:sz="4" w:space="0" w:color="auto"/>
              <w:bottom w:val="single" w:sz="4" w:space="0" w:color="auto"/>
            </w:tcBorders>
            <w:shd w:val="clear" w:color="000000" w:fill="DBB731"/>
            <w:noWrap/>
            <w:vAlign w:val="center"/>
            <w:hideMark/>
          </w:tcPr>
          <w:p w14:paraId="267CE6C1" w14:textId="77777777" w:rsidR="00312042" w:rsidRPr="00CB7E8A" w:rsidRDefault="00312042" w:rsidP="00CB7E8A">
            <w:pPr>
              <w:keepNext/>
              <w:keepLines/>
              <w:spacing w:before="40" w:after="40"/>
              <w:jc w:val="right"/>
              <w:rPr>
                <w:b/>
                <w:bCs/>
                <w:sz w:val="18"/>
                <w:szCs w:val="18"/>
              </w:rPr>
            </w:pPr>
            <w:r w:rsidRPr="00CB7E8A">
              <w:rPr>
                <w:b/>
                <w:bCs/>
                <w:sz w:val="18"/>
                <w:szCs w:val="18"/>
              </w:rPr>
              <w:t>97 500</w:t>
            </w:r>
          </w:p>
        </w:tc>
        <w:tc>
          <w:tcPr>
            <w:tcW w:w="1245" w:type="dxa"/>
            <w:tcBorders>
              <w:top w:val="single" w:sz="4" w:space="0" w:color="auto"/>
              <w:bottom w:val="single" w:sz="4" w:space="0" w:color="auto"/>
            </w:tcBorders>
            <w:shd w:val="clear" w:color="000000" w:fill="DBB731"/>
            <w:noWrap/>
            <w:vAlign w:val="center"/>
            <w:hideMark/>
          </w:tcPr>
          <w:p w14:paraId="20AD4BCA" w14:textId="77777777" w:rsidR="00312042" w:rsidRPr="00CB7E8A" w:rsidRDefault="00312042" w:rsidP="00CB7E8A">
            <w:pPr>
              <w:keepNext/>
              <w:keepLines/>
              <w:spacing w:before="40" w:after="40"/>
              <w:jc w:val="right"/>
              <w:rPr>
                <w:b/>
                <w:bCs/>
                <w:sz w:val="18"/>
                <w:szCs w:val="18"/>
              </w:rPr>
            </w:pPr>
            <w:r w:rsidRPr="00CB7E8A">
              <w:rPr>
                <w:b/>
                <w:bCs/>
                <w:sz w:val="18"/>
                <w:szCs w:val="18"/>
              </w:rPr>
              <w:t>230 000</w:t>
            </w:r>
          </w:p>
        </w:tc>
      </w:tr>
      <w:tr w:rsidR="00F234CD" w:rsidRPr="00631C1C"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CB7E8A" w:rsidRDefault="00312042" w:rsidP="00CB7E8A">
            <w:pPr>
              <w:spacing w:before="40" w:after="40"/>
              <w:rPr>
                <w:b/>
                <w:bCs/>
                <w:sz w:val="18"/>
                <w:szCs w:val="18"/>
              </w:rPr>
            </w:pPr>
            <w:r w:rsidRPr="00CB7E8A">
              <w:rPr>
                <w:b/>
                <w:bCs/>
                <w:sz w:val="18"/>
                <w:szCs w:val="18"/>
              </w:rPr>
              <w:t>E. Overall management</w:t>
            </w:r>
          </w:p>
        </w:tc>
        <w:tc>
          <w:tcPr>
            <w:tcW w:w="1275" w:type="dxa"/>
            <w:tcBorders>
              <w:top w:val="single" w:sz="4" w:space="0" w:color="auto"/>
            </w:tcBorders>
            <w:noWrap/>
            <w:vAlign w:val="center"/>
            <w:hideMark/>
          </w:tcPr>
          <w:p w14:paraId="1DC45944"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0A151AF"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17C76119"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6E4AA3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D63BBCE"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162898EB" w14:textId="77777777" w:rsidR="00312042" w:rsidRPr="00CB7E8A" w:rsidRDefault="00312042" w:rsidP="00CB7E8A">
            <w:pPr>
              <w:spacing w:before="40" w:after="40"/>
              <w:jc w:val="right"/>
              <w:rPr>
                <w:b/>
                <w:bCs/>
                <w:sz w:val="18"/>
                <w:szCs w:val="18"/>
              </w:rPr>
            </w:pPr>
          </w:p>
        </w:tc>
      </w:tr>
      <w:tr w:rsidR="00F234CD" w:rsidRPr="00631C1C" w14:paraId="09DDE2C6" w14:textId="77777777" w:rsidTr="00C4751C">
        <w:trPr>
          <w:trHeight w:val="117"/>
          <w:jc w:val="right"/>
        </w:trPr>
        <w:tc>
          <w:tcPr>
            <w:tcW w:w="7230" w:type="dxa"/>
            <w:gridSpan w:val="2"/>
            <w:noWrap/>
            <w:vAlign w:val="center"/>
            <w:hideMark/>
          </w:tcPr>
          <w:p w14:paraId="5E6E703E" w14:textId="77777777" w:rsidR="00312042" w:rsidRPr="00CB7E8A" w:rsidRDefault="00312042" w:rsidP="00CB7E8A">
            <w:pPr>
              <w:spacing w:before="40" w:after="40"/>
              <w:rPr>
                <w:b/>
                <w:bCs/>
                <w:sz w:val="18"/>
                <w:szCs w:val="18"/>
              </w:rPr>
            </w:pPr>
            <w:r w:rsidRPr="00CB7E8A">
              <w:rPr>
                <w:b/>
                <w:bCs/>
                <w:sz w:val="18"/>
                <w:szCs w:val="18"/>
              </w:rPr>
              <w:t>11. Executive direction and management</w:t>
            </w:r>
          </w:p>
        </w:tc>
        <w:tc>
          <w:tcPr>
            <w:tcW w:w="1275" w:type="dxa"/>
            <w:noWrap/>
            <w:vAlign w:val="center"/>
            <w:hideMark/>
          </w:tcPr>
          <w:p w14:paraId="4DD4F209" w14:textId="77777777" w:rsidR="00312042" w:rsidRPr="00CB7E8A" w:rsidRDefault="00312042" w:rsidP="00CB7E8A">
            <w:pPr>
              <w:spacing w:before="40" w:after="40"/>
              <w:jc w:val="right"/>
              <w:rPr>
                <w:b/>
                <w:bCs/>
                <w:sz w:val="18"/>
                <w:szCs w:val="18"/>
              </w:rPr>
            </w:pPr>
          </w:p>
        </w:tc>
        <w:tc>
          <w:tcPr>
            <w:tcW w:w="1134" w:type="dxa"/>
            <w:noWrap/>
            <w:vAlign w:val="center"/>
            <w:hideMark/>
          </w:tcPr>
          <w:p w14:paraId="7D56123E" w14:textId="77777777" w:rsidR="00312042" w:rsidRPr="00CB7E8A" w:rsidRDefault="00312042" w:rsidP="00CB7E8A">
            <w:pPr>
              <w:spacing w:before="40" w:after="40"/>
              <w:jc w:val="right"/>
              <w:rPr>
                <w:b/>
                <w:bCs/>
                <w:sz w:val="18"/>
                <w:szCs w:val="18"/>
              </w:rPr>
            </w:pPr>
          </w:p>
        </w:tc>
        <w:tc>
          <w:tcPr>
            <w:tcW w:w="1276" w:type="dxa"/>
            <w:noWrap/>
            <w:vAlign w:val="center"/>
            <w:hideMark/>
          </w:tcPr>
          <w:p w14:paraId="6A06BF98" w14:textId="77777777" w:rsidR="00312042" w:rsidRPr="00CB7E8A" w:rsidRDefault="00312042" w:rsidP="00CB7E8A">
            <w:pPr>
              <w:spacing w:before="40" w:after="40"/>
              <w:jc w:val="right"/>
              <w:rPr>
                <w:sz w:val="18"/>
                <w:szCs w:val="18"/>
              </w:rPr>
            </w:pPr>
          </w:p>
        </w:tc>
        <w:tc>
          <w:tcPr>
            <w:tcW w:w="1134" w:type="dxa"/>
            <w:noWrap/>
            <w:vAlign w:val="center"/>
            <w:hideMark/>
          </w:tcPr>
          <w:p w14:paraId="1FF119CA" w14:textId="77777777" w:rsidR="00312042" w:rsidRPr="00CB7E8A" w:rsidRDefault="00312042" w:rsidP="00CB7E8A">
            <w:pPr>
              <w:spacing w:before="40" w:after="40"/>
              <w:jc w:val="right"/>
              <w:rPr>
                <w:b/>
                <w:bCs/>
                <w:sz w:val="18"/>
                <w:szCs w:val="18"/>
              </w:rPr>
            </w:pPr>
          </w:p>
        </w:tc>
        <w:tc>
          <w:tcPr>
            <w:tcW w:w="1134" w:type="dxa"/>
            <w:noWrap/>
            <w:vAlign w:val="center"/>
            <w:hideMark/>
          </w:tcPr>
          <w:p w14:paraId="7F771F9D" w14:textId="77777777" w:rsidR="00312042" w:rsidRPr="00CB7E8A" w:rsidRDefault="00312042" w:rsidP="00CB7E8A">
            <w:pPr>
              <w:spacing w:before="40" w:after="40"/>
              <w:jc w:val="right"/>
              <w:rPr>
                <w:b/>
                <w:bCs/>
                <w:sz w:val="18"/>
                <w:szCs w:val="18"/>
              </w:rPr>
            </w:pPr>
          </w:p>
        </w:tc>
        <w:tc>
          <w:tcPr>
            <w:tcW w:w="1245" w:type="dxa"/>
            <w:noWrap/>
            <w:vAlign w:val="center"/>
            <w:hideMark/>
          </w:tcPr>
          <w:p w14:paraId="1804C3F2" w14:textId="77777777" w:rsidR="00312042" w:rsidRPr="00CB7E8A" w:rsidRDefault="00312042" w:rsidP="00CB7E8A">
            <w:pPr>
              <w:spacing w:before="40" w:after="40"/>
              <w:jc w:val="right"/>
              <w:rPr>
                <w:sz w:val="18"/>
                <w:szCs w:val="18"/>
              </w:rPr>
            </w:pPr>
          </w:p>
        </w:tc>
      </w:tr>
      <w:tr w:rsidR="00F234CD" w:rsidRPr="00631C1C" w14:paraId="271326B5" w14:textId="77777777" w:rsidTr="00C4751C">
        <w:trPr>
          <w:trHeight w:val="80"/>
          <w:jc w:val="right"/>
        </w:trPr>
        <w:tc>
          <w:tcPr>
            <w:tcW w:w="284" w:type="dxa"/>
            <w:noWrap/>
            <w:vAlign w:val="center"/>
            <w:hideMark/>
          </w:tcPr>
          <w:p w14:paraId="205180D3"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71C7EFA6" w14:textId="77777777" w:rsidR="00312042" w:rsidRPr="00CB7E8A" w:rsidRDefault="00312042" w:rsidP="00CB7E8A">
            <w:pPr>
              <w:spacing w:before="40" w:after="40"/>
              <w:rPr>
                <w:sz w:val="18"/>
                <w:szCs w:val="18"/>
              </w:rPr>
            </w:pPr>
            <w:r w:rsidRPr="00CB7E8A">
              <w:rPr>
                <w:sz w:val="18"/>
                <w:szCs w:val="18"/>
              </w:rPr>
              <w:t>11.1. Overall management*</w:t>
            </w:r>
          </w:p>
        </w:tc>
        <w:tc>
          <w:tcPr>
            <w:tcW w:w="1275" w:type="dxa"/>
            <w:noWrap/>
            <w:vAlign w:val="center"/>
            <w:hideMark/>
          </w:tcPr>
          <w:p w14:paraId="1E419AB5" w14:textId="77777777" w:rsidR="00312042" w:rsidRPr="00CB7E8A" w:rsidRDefault="00312042" w:rsidP="00CB7E8A">
            <w:pPr>
              <w:spacing w:before="40" w:after="40"/>
              <w:jc w:val="right"/>
              <w:rPr>
                <w:sz w:val="18"/>
                <w:szCs w:val="18"/>
              </w:rPr>
            </w:pPr>
            <w:r w:rsidRPr="00CB7E8A">
              <w:rPr>
                <w:sz w:val="18"/>
                <w:szCs w:val="18"/>
              </w:rPr>
              <w:t>2 724 996</w:t>
            </w:r>
          </w:p>
        </w:tc>
        <w:tc>
          <w:tcPr>
            <w:tcW w:w="1134" w:type="dxa"/>
            <w:noWrap/>
            <w:vAlign w:val="center"/>
            <w:hideMark/>
          </w:tcPr>
          <w:p w14:paraId="55D8DEB4" w14:textId="77777777" w:rsidR="00312042" w:rsidRPr="00CB7E8A" w:rsidRDefault="00312042" w:rsidP="00CB7E8A">
            <w:pPr>
              <w:spacing w:before="40" w:after="40"/>
              <w:jc w:val="right"/>
              <w:rPr>
                <w:sz w:val="18"/>
                <w:szCs w:val="18"/>
              </w:rPr>
            </w:pPr>
            <w:r w:rsidRPr="00CB7E8A">
              <w:rPr>
                <w:sz w:val="18"/>
                <w:szCs w:val="18"/>
              </w:rPr>
              <w:t>2 692 495</w:t>
            </w:r>
          </w:p>
        </w:tc>
        <w:tc>
          <w:tcPr>
            <w:tcW w:w="1276" w:type="dxa"/>
            <w:noWrap/>
            <w:vAlign w:val="center"/>
            <w:hideMark/>
          </w:tcPr>
          <w:p w14:paraId="7BE48E22" w14:textId="77777777" w:rsidR="00312042" w:rsidRPr="00CB7E8A" w:rsidRDefault="00312042" w:rsidP="00CB7E8A">
            <w:pPr>
              <w:spacing w:before="40" w:after="40"/>
              <w:jc w:val="right"/>
              <w:rPr>
                <w:sz w:val="18"/>
                <w:szCs w:val="18"/>
              </w:rPr>
            </w:pPr>
            <w:r w:rsidRPr="00CB7E8A">
              <w:rPr>
                <w:sz w:val="18"/>
                <w:szCs w:val="18"/>
              </w:rPr>
              <w:t>5 417 491</w:t>
            </w:r>
          </w:p>
        </w:tc>
        <w:tc>
          <w:tcPr>
            <w:tcW w:w="1134" w:type="dxa"/>
            <w:noWrap/>
            <w:vAlign w:val="center"/>
            <w:hideMark/>
          </w:tcPr>
          <w:p w14:paraId="0A2D9A07" w14:textId="77777777" w:rsidR="00312042" w:rsidRPr="00CB7E8A" w:rsidRDefault="00312042" w:rsidP="00CB7E8A">
            <w:pPr>
              <w:spacing w:before="40" w:after="40"/>
              <w:jc w:val="right"/>
              <w:rPr>
                <w:sz w:val="18"/>
                <w:szCs w:val="18"/>
              </w:rPr>
            </w:pPr>
          </w:p>
        </w:tc>
        <w:tc>
          <w:tcPr>
            <w:tcW w:w="1134" w:type="dxa"/>
            <w:noWrap/>
            <w:vAlign w:val="center"/>
            <w:hideMark/>
          </w:tcPr>
          <w:p w14:paraId="127AB2C5" w14:textId="77777777" w:rsidR="00312042" w:rsidRPr="00CB7E8A" w:rsidRDefault="00312042" w:rsidP="00CB7E8A">
            <w:pPr>
              <w:spacing w:before="40" w:after="40"/>
              <w:jc w:val="right"/>
              <w:rPr>
                <w:sz w:val="18"/>
                <w:szCs w:val="18"/>
              </w:rPr>
            </w:pPr>
          </w:p>
        </w:tc>
        <w:tc>
          <w:tcPr>
            <w:tcW w:w="1245" w:type="dxa"/>
            <w:noWrap/>
            <w:vAlign w:val="center"/>
            <w:hideMark/>
          </w:tcPr>
          <w:p w14:paraId="0828FA33" w14:textId="77777777" w:rsidR="00312042" w:rsidRPr="00CB7E8A" w:rsidRDefault="00312042" w:rsidP="00CB7E8A">
            <w:pPr>
              <w:spacing w:before="40" w:after="40"/>
              <w:jc w:val="right"/>
              <w:rPr>
                <w:sz w:val="18"/>
                <w:szCs w:val="18"/>
              </w:rPr>
            </w:pPr>
          </w:p>
        </w:tc>
      </w:tr>
      <w:tr w:rsidR="00F234CD" w:rsidRPr="00631C1C" w14:paraId="764D548A" w14:textId="77777777" w:rsidTr="00C4751C">
        <w:trPr>
          <w:trHeight w:val="111"/>
          <w:jc w:val="right"/>
        </w:trPr>
        <w:tc>
          <w:tcPr>
            <w:tcW w:w="284" w:type="dxa"/>
            <w:tcBorders>
              <w:top w:val="nil"/>
            </w:tcBorders>
            <w:noWrap/>
            <w:hideMark/>
          </w:tcPr>
          <w:p w14:paraId="24C0BFBA"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11881179" w14:textId="77777777" w:rsidR="00312042" w:rsidRPr="00CB7E8A" w:rsidRDefault="00312042" w:rsidP="00CB7E8A">
            <w:pPr>
              <w:spacing w:before="40" w:after="40"/>
              <w:rPr>
                <w:sz w:val="18"/>
                <w:szCs w:val="18"/>
              </w:rPr>
            </w:pPr>
            <w:r w:rsidRPr="00CB7E8A">
              <w:rPr>
                <w:sz w:val="18"/>
                <w:szCs w:val="18"/>
              </w:rPr>
              <w:t>11.2. Staff travel</w:t>
            </w:r>
          </w:p>
        </w:tc>
        <w:tc>
          <w:tcPr>
            <w:tcW w:w="1275" w:type="dxa"/>
            <w:tcBorders>
              <w:top w:val="nil"/>
            </w:tcBorders>
            <w:noWrap/>
            <w:vAlign w:val="center"/>
            <w:hideMark/>
          </w:tcPr>
          <w:p w14:paraId="2C130CB3" w14:textId="77777777" w:rsidR="00312042" w:rsidRPr="00CB7E8A" w:rsidRDefault="00312042" w:rsidP="00CB7E8A">
            <w:pPr>
              <w:spacing w:before="40" w:after="40"/>
              <w:jc w:val="right"/>
              <w:rPr>
                <w:sz w:val="18"/>
                <w:szCs w:val="18"/>
              </w:rPr>
            </w:pPr>
            <w:r w:rsidRPr="00CB7E8A">
              <w:rPr>
                <w:sz w:val="18"/>
                <w:szCs w:val="18"/>
              </w:rPr>
              <w:t>82 061</w:t>
            </w:r>
          </w:p>
        </w:tc>
        <w:tc>
          <w:tcPr>
            <w:tcW w:w="1134" w:type="dxa"/>
            <w:tcBorders>
              <w:top w:val="nil"/>
            </w:tcBorders>
            <w:noWrap/>
            <w:vAlign w:val="center"/>
            <w:hideMark/>
          </w:tcPr>
          <w:p w14:paraId="71DAFC47" w14:textId="77777777" w:rsidR="00312042" w:rsidRPr="00CB7E8A" w:rsidRDefault="00312042" w:rsidP="00CB7E8A">
            <w:pPr>
              <w:spacing w:before="40" w:after="40"/>
              <w:jc w:val="right"/>
              <w:rPr>
                <w:sz w:val="18"/>
                <w:szCs w:val="18"/>
              </w:rPr>
            </w:pPr>
            <w:r w:rsidRPr="00CB7E8A">
              <w:rPr>
                <w:sz w:val="18"/>
                <w:szCs w:val="18"/>
              </w:rPr>
              <w:t>100 000</w:t>
            </w:r>
          </w:p>
        </w:tc>
        <w:tc>
          <w:tcPr>
            <w:tcW w:w="1276" w:type="dxa"/>
            <w:tcBorders>
              <w:top w:val="nil"/>
            </w:tcBorders>
            <w:noWrap/>
            <w:vAlign w:val="center"/>
            <w:hideMark/>
          </w:tcPr>
          <w:p w14:paraId="790D140B" w14:textId="77777777" w:rsidR="00312042" w:rsidRPr="00CB7E8A" w:rsidRDefault="00312042" w:rsidP="00CB7E8A">
            <w:pPr>
              <w:spacing w:before="40" w:after="40"/>
              <w:jc w:val="right"/>
              <w:rPr>
                <w:sz w:val="18"/>
                <w:szCs w:val="18"/>
              </w:rPr>
            </w:pPr>
            <w:r w:rsidRPr="00CB7E8A">
              <w:rPr>
                <w:sz w:val="18"/>
                <w:szCs w:val="18"/>
              </w:rPr>
              <w:t>182 061</w:t>
            </w:r>
          </w:p>
        </w:tc>
        <w:tc>
          <w:tcPr>
            <w:tcW w:w="1134" w:type="dxa"/>
            <w:tcBorders>
              <w:top w:val="nil"/>
            </w:tcBorders>
            <w:noWrap/>
            <w:vAlign w:val="center"/>
            <w:hideMark/>
          </w:tcPr>
          <w:p w14:paraId="05C6EBB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B4CF5B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127A3B9B" w14:textId="77777777" w:rsidR="00312042" w:rsidRPr="00CB7E8A" w:rsidRDefault="00312042" w:rsidP="00CB7E8A">
            <w:pPr>
              <w:spacing w:before="40" w:after="40"/>
              <w:jc w:val="right"/>
              <w:rPr>
                <w:sz w:val="18"/>
                <w:szCs w:val="18"/>
              </w:rPr>
            </w:pPr>
          </w:p>
        </w:tc>
      </w:tr>
      <w:tr w:rsidR="00F234CD" w:rsidRPr="00631C1C"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CB7E8A" w:rsidRDefault="00312042" w:rsidP="00CB7E8A">
            <w:pPr>
              <w:spacing w:before="40" w:after="40"/>
              <w:rPr>
                <w:b/>
                <w:bCs/>
                <w:sz w:val="18"/>
                <w:szCs w:val="18"/>
              </w:rPr>
            </w:pPr>
            <w:r w:rsidRPr="00CB7E8A">
              <w:rPr>
                <w:b/>
                <w:bCs/>
                <w:sz w:val="18"/>
                <w:szCs w:val="18"/>
              </w:rPr>
              <w:t>11. Executive direction and management</w:t>
            </w:r>
          </w:p>
        </w:tc>
        <w:tc>
          <w:tcPr>
            <w:tcW w:w="1275" w:type="dxa"/>
            <w:shd w:val="clear" w:color="000000" w:fill="B4C6E7"/>
            <w:noWrap/>
            <w:vAlign w:val="center"/>
            <w:hideMark/>
          </w:tcPr>
          <w:p w14:paraId="1AC84BB8" w14:textId="77777777" w:rsidR="00312042" w:rsidRPr="00CB7E8A" w:rsidRDefault="00312042" w:rsidP="00CB7E8A">
            <w:pPr>
              <w:spacing w:before="40" w:after="40"/>
              <w:jc w:val="right"/>
              <w:rPr>
                <w:b/>
                <w:bCs/>
                <w:sz w:val="18"/>
                <w:szCs w:val="18"/>
              </w:rPr>
            </w:pPr>
            <w:r w:rsidRPr="00CB7E8A">
              <w:rPr>
                <w:b/>
                <w:bCs/>
                <w:sz w:val="18"/>
                <w:szCs w:val="18"/>
              </w:rPr>
              <w:t>2 807 057</w:t>
            </w:r>
          </w:p>
        </w:tc>
        <w:tc>
          <w:tcPr>
            <w:tcW w:w="1134" w:type="dxa"/>
            <w:shd w:val="clear" w:color="000000" w:fill="B4C6E7"/>
            <w:noWrap/>
            <w:vAlign w:val="center"/>
            <w:hideMark/>
          </w:tcPr>
          <w:p w14:paraId="110D9D3A" w14:textId="77777777" w:rsidR="00312042" w:rsidRPr="00CB7E8A" w:rsidRDefault="00312042" w:rsidP="00CB7E8A">
            <w:pPr>
              <w:spacing w:before="40" w:after="40"/>
              <w:jc w:val="right"/>
              <w:rPr>
                <w:b/>
                <w:bCs/>
                <w:sz w:val="18"/>
                <w:szCs w:val="18"/>
              </w:rPr>
            </w:pPr>
            <w:r w:rsidRPr="00CB7E8A">
              <w:rPr>
                <w:b/>
                <w:bCs/>
                <w:sz w:val="18"/>
                <w:szCs w:val="18"/>
              </w:rPr>
              <w:t>2 792 495</w:t>
            </w:r>
          </w:p>
        </w:tc>
        <w:tc>
          <w:tcPr>
            <w:tcW w:w="1276" w:type="dxa"/>
            <w:shd w:val="clear" w:color="000000" w:fill="B4C6E7"/>
            <w:noWrap/>
            <w:vAlign w:val="center"/>
            <w:hideMark/>
          </w:tcPr>
          <w:p w14:paraId="52556335" w14:textId="77777777" w:rsidR="00312042" w:rsidRPr="00CB7E8A" w:rsidRDefault="00312042" w:rsidP="00CB7E8A">
            <w:pPr>
              <w:spacing w:before="40" w:after="40"/>
              <w:jc w:val="right"/>
              <w:rPr>
                <w:b/>
                <w:bCs/>
                <w:sz w:val="18"/>
                <w:szCs w:val="18"/>
              </w:rPr>
            </w:pPr>
            <w:r w:rsidRPr="00CB7E8A">
              <w:rPr>
                <w:b/>
                <w:bCs/>
                <w:sz w:val="18"/>
                <w:szCs w:val="18"/>
              </w:rPr>
              <w:t>5 599 552</w:t>
            </w:r>
          </w:p>
        </w:tc>
        <w:tc>
          <w:tcPr>
            <w:tcW w:w="1134" w:type="dxa"/>
            <w:shd w:val="clear" w:color="000000" w:fill="B4C6E7"/>
            <w:noWrap/>
            <w:vAlign w:val="center"/>
            <w:hideMark/>
          </w:tcPr>
          <w:p w14:paraId="30CBB761"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246D6E3"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42AE835A" w14:textId="77777777" w:rsidR="00312042" w:rsidRPr="00CB7E8A" w:rsidRDefault="00312042" w:rsidP="00CB7E8A">
            <w:pPr>
              <w:spacing w:before="40" w:after="40"/>
              <w:jc w:val="right"/>
              <w:rPr>
                <w:b/>
                <w:bCs/>
                <w:sz w:val="18"/>
                <w:szCs w:val="18"/>
              </w:rPr>
            </w:pPr>
          </w:p>
        </w:tc>
      </w:tr>
      <w:tr w:rsidR="00F234CD" w:rsidRPr="00631C1C" w14:paraId="151FFC74" w14:textId="77777777" w:rsidTr="00C4751C">
        <w:trPr>
          <w:trHeight w:val="52"/>
          <w:jc w:val="right"/>
        </w:trPr>
        <w:tc>
          <w:tcPr>
            <w:tcW w:w="7230" w:type="dxa"/>
            <w:gridSpan w:val="2"/>
            <w:noWrap/>
            <w:vAlign w:val="center"/>
            <w:hideMark/>
          </w:tcPr>
          <w:p w14:paraId="4CED1E86" w14:textId="77777777" w:rsidR="00312042" w:rsidRPr="00CB7E8A" w:rsidRDefault="00312042" w:rsidP="00CB7E8A">
            <w:pPr>
              <w:spacing w:before="40" w:after="40"/>
              <w:rPr>
                <w:b/>
                <w:bCs/>
                <w:sz w:val="18"/>
                <w:szCs w:val="18"/>
              </w:rPr>
            </w:pPr>
            <w:r w:rsidRPr="00CB7E8A">
              <w:rPr>
                <w:b/>
                <w:bCs/>
                <w:sz w:val="18"/>
                <w:szCs w:val="18"/>
              </w:rPr>
              <w:t>12. International cooperation and coordination</w:t>
            </w:r>
          </w:p>
        </w:tc>
        <w:tc>
          <w:tcPr>
            <w:tcW w:w="1275" w:type="dxa"/>
            <w:noWrap/>
            <w:vAlign w:val="center"/>
            <w:hideMark/>
          </w:tcPr>
          <w:p w14:paraId="3FB8E59A" w14:textId="77777777" w:rsidR="00312042" w:rsidRPr="00CB7E8A" w:rsidRDefault="00312042" w:rsidP="00CB7E8A">
            <w:pPr>
              <w:spacing w:before="40" w:after="40"/>
              <w:jc w:val="right"/>
              <w:rPr>
                <w:b/>
                <w:bCs/>
                <w:sz w:val="18"/>
                <w:szCs w:val="18"/>
              </w:rPr>
            </w:pPr>
          </w:p>
        </w:tc>
        <w:tc>
          <w:tcPr>
            <w:tcW w:w="1134" w:type="dxa"/>
            <w:noWrap/>
            <w:vAlign w:val="center"/>
            <w:hideMark/>
          </w:tcPr>
          <w:p w14:paraId="334D2681" w14:textId="77777777" w:rsidR="00312042" w:rsidRPr="00CB7E8A" w:rsidRDefault="00312042" w:rsidP="00CB7E8A">
            <w:pPr>
              <w:spacing w:before="40" w:after="40"/>
              <w:jc w:val="right"/>
              <w:rPr>
                <w:b/>
                <w:bCs/>
                <w:sz w:val="18"/>
                <w:szCs w:val="18"/>
              </w:rPr>
            </w:pPr>
          </w:p>
        </w:tc>
        <w:tc>
          <w:tcPr>
            <w:tcW w:w="1276" w:type="dxa"/>
            <w:noWrap/>
            <w:vAlign w:val="center"/>
            <w:hideMark/>
          </w:tcPr>
          <w:p w14:paraId="31CAE95F" w14:textId="77777777" w:rsidR="00312042" w:rsidRPr="00CB7E8A" w:rsidRDefault="00312042" w:rsidP="00CB7E8A">
            <w:pPr>
              <w:spacing w:before="40" w:after="40"/>
              <w:jc w:val="right"/>
              <w:rPr>
                <w:b/>
                <w:bCs/>
                <w:sz w:val="18"/>
                <w:szCs w:val="18"/>
              </w:rPr>
            </w:pPr>
          </w:p>
        </w:tc>
        <w:tc>
          <w:tcPr>
            <w:tcW w:w="1134" w:type="dxa"/>
            <w:noWrap/>
            <w:vAlign w:val="center"/>
            <w:hideMark/>
          </w:tcPr>
          <w:p w14:paraId="5067B86E" w14:textId="77777777" w:rsidR="00312042" w:rsidRPr="00CB7E8A" w:rsidRDefault="00312042" w:rsidP="00CB7E8A">
            <w:pPr>
              <w:spacing w:before="40" w:after="40"/>
              <w:jc w:val="right"/>
              <w:rPr>
                <w:b/>
                <w:bCs/>
                <w:sz w:val="18"/>
                <w:szCs w:val="18"/>
              </w:rPr>
            </w:pPr>
          </w:p>
        </w:tc>
        <w:tc>
          <w:tcPr>
            <w:tcW w:w="1134" w:type="dxa"/>
            <w:noWrap/>
            <w:vAlign w:val="center"/>
            <w:hideMark/>
          </w:tcPr>
          <w:p w14:paraId="361B2269" w14:textId="77777777" w:rsidR="00312042" w:rsidRPr="00CB7E8A" w:rsidRDefault="00312042" w:rsidP="00CB7E8A">
            <w:pPr>
              <w:spacing w:before="40" w:after="40"/>
              <w:jc w:val="right"/>
              <w:rPr>
                <w:b/>
                <w:bCs/>
                <w:sz w:val="18"/>
                <w:szCs w:val="18"/>
              </w:rPr>
            </w:pPr>
          </w:p>
        </w:tc>
        <w:tc>
          <w:tcPr>
            <w:tcW w:w="1245" w:type="dxa"/>
            <w:noWrap/>
            <w:vAlign w:val="center"/>
            <w:hideMark/>
          </w:tcPr>
          <w:p w14:paraId="4A03F6CD" w14:textId="77777777" w:rsidR="00312042" w:rsidRPr="00CB7E8A" w:rsidRDefault="00312042" w:rsidP="00CB7E8A">
            <w:pPr>
              <w:spacing w:before="40" w:after="40"/>
              <w:jc w:val="right"/>
              <w:rPr>
                <w:b/>
                <w:bCs/>
                <w:sz w:val="18"/>
                <w:szCs w:val="18"/>
              </w:rPr>
            </w:pPr>
          </w:p>
        </w:tc>
      </w:tr>
      <w:tr w:rsidR="00F234CD" w:rsidRPr="00631C1C" w14:paraId="05ED90C2" w14:textId="77777777" w:rsidTr="009A58EE">
        <w:trPr>
          <w:trHeight w:val="300"/>
          <w:jc w:val="right"/>
        </w:trPr>
        <w:tc>
          <w:tcPr>
            <w:tcW w:w="284" w:type="dxa"/>
            <w:tcBorders>
              <w:top w:val="nil"/>
            </w:tcBorders>
            <w:noWrap/>
            <w:hideMark/>
          </w:tcPr>
          <w:p w14:paraId="0724A9CA"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24924DFA" w14:textId="77777777" w:rsidR="00312042" w:rsidRPr="00CB7E8A" w:rsidRDefault="00312042" w:rsidP="00CB7E8A">
            <w:pPr>
              <w:spacing w:before="40" w:after="40"/>
              <w:rPr>
                <w:sz w:val="18"/>
                <w:szCs w:val="18"/>
              </w:rPr>
            </w:pPr>
            <w:r w:rsidRPr="00CB7E8A">
              <w:rPr>
                <w:sz w:val="18"/>
                <w:szCs w:val="18"/>
              </w:rPr>
              <w:t>12.1. Cooperation on the broader sustainable development and environment agenda</w:t>
            </w:r>
          </w:p>
        </w:tc>
        <w:tc>
          <w:tcPr>
            <w:tcW w:w="1275" w:type="dxa"/>
            <w:tcBorders>
              <w:top w:val="nil"/>
            </w:tcBorders>
            <w:noWrap/>
            <w:vAlign w:val="center"/>
            <w:hideMark/>
          </w:tcPr>
          <w:p w14:paraId="1BC62E0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CDFF9CA"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577E85E9"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BE41915"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tcBorders>
              <w:top w:val="nil"/>
            </w:tcBorders>
            <w:noWrap/>
            <w:vAlign w:val="center"/>
            <w:hideMark/>
          </w:tcPr>
          <w:p w14:paraId="68A30182"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tcBorders>
              <w:top w:val="nil"/>
            </w:tcBorders>
            <w:noWrap/>
            <w:vAlign w:val="center"/>
            <w:hideMark/>
          </w:tcPr>
          <w:p w14:paraId="507DD1FC"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7D68AEAB" w14:textId="77777777" w:rsidTr="00C4751C">
        <w:trPr>
          <w:trHeight w:val="86"/>
          <w:jc w:val="right"/>
        </w:trPr>
        <w:tc>
          <w:tcPr>
            <w:tcW w:w="284" w:type="dxa"/>
            <w:tcBorders>
              <w:top w:val="nil"/>
            </w:tcBorders>
            <w:noWrap/>
            <w:hideMark/>
          </w:tcPr>
          <w:p w14:paraId="05D71EA6" w14:textId="77777777" w:rsidR="00312042" w:rsidRPr="00CB7E8A" w:rsidRDefault="00312042" w:rsidP="00CB7E8A">
            <w:pPr>
              <w:spacing w:before="40" w:after="40"/>
              <w:rPr>
                <w:sz w:val="18"/>
                <w:szCs w:val="18"/>
              </w:rPr>
            </w:pPr>
            <w:r w:rsidRPr="00CB7E8A">
              <w:rPr>
                <w:sz w:val="18"/>
                <w:szCs w:val="18"/>
              </w:rPr>
              <w:lastRenderedPageBreak/>
              <w:t> </w:t>
            </w:r>
          </w:p>
        </w:tc>
        <w:tc>
          <w:tcPr>
            <w:tcW w:w="6946" w:type="dxa"/>
            <w:tcBorders>
              <w:top w:val="nil"/>
            </w:tcBorders>
            <w:noWrap/>
            <w:vAlign w:val="center"/>
            <w:hideMark/>
          </w:tcPr>
          <w:p w14:paraId="28BF7450" w14:textId="77777777" w:rsidR="00312042" w:rsidRPr="00CB7E8A" w:rsidRDefault="00312042" w:rsidP="00CB7E8A">
            <w:pPr>
              <w:spacing w:before="40" w:after="40"/>
              <w:rPr>
                <w:sz w:val="18"/>
                <w:szCs w:val="18"/>
              </w:rPr>
            </w:pPr>
            <w:r w:rsidRPr="00CB7E8A">
              <w:rPr>
                <w:sz w:val="18"/>
                <w:szCs w:val="18"/>
              </w:rPr>
              <w:t>12.2. Cooperation within the chemicals and waste cluster</w:t>
            </w:r>
          </w:p>
        </w:tc>
        <w:tc>
          <w:tcPr>
            <w:tcW w:w="1275" w:type="dxa"/>
            <w:tcBorders>
              <w:top w:val="nil"/>
            </w:tcBorders>
            <w:noWrap/>
            <w:vAlign w:val="center"/>
            <w:hideMark/>
          </w:tcPr>
          <w:p w14:paraId="53DDE8C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337A0E4" w14:textId="77777777" w:rsidR="00312042" w:rsidRPr="00CB7E8A" w:rsidRDefault="00312042" w:rsidP="00CB7E8A">
            <w:pPr>
              <w:spacing w:before="40" w:after="40"/>
              <w:jc w:val="right"/>
              <w:rPr>
                <w:sz w:val="18"/>
                <w:szCs w:val="18"/>
              </w:rPr>
            </w:pPr>
            <w:r w:rsidRPr="00CB7E8A">
              <w:rPr>
                <w:sz w:val="18"/>
                <w:szCs w:val="18"/>
              </w:rPr>
              <w:t>10 000</w:t>
            </w:r>
          </w:p>
        </w:tc>
        <w:tc>
          <w:tcPr>
            <w:tcW w:w="1276" w:type="dxa"/>
            <w:tcBorders>
              <w:top w:val="nil"/>
            </w:tcBorders>
            <w:noWrap/>
            <w:vAlign w:val="center"/>
            <w:hideMark/>
          </w:tcPr>
          <w:p w14:paraId="0823FDB5" w14:textId="77777777" w:rsidR="00312042" w:rsidRPr="00CB7E8A" w:rsidRDefault="00312042" w:rsidP="00CB7E8A">
            <w:pPr>
              <w:spacing w:before="40" w:after="40"/>
              <w:jc w:val="right"/>
              <w:rPr>
                <w:sz w:val="18"/>
                <w:szCs w:val="18"/>
              </w:rPr>
            </w:pPr>
            <w:r w:rsidRPr="00CB7E8A">
              <w:rPr>
                <w:sz w:val="18"/>
                <w:szCs w:val="18"/>
              </w:rPr>
              <w:t>10 000</w:t>
            </w:r>
          </w:p>
        </w:tc>
        <w:tc>
          <w:tcPr>
            <w:tcW w:w="1134" w:type="dxa"/>
            <w:tcBorders>
              <w:top w:val="nil"/>
            </w:tcBorders>
            <w:noWrap/>
            <w:vAlign w:val="center"/>
            <w:hideMark/>
          </w:tcPr>
          <w:p w14:paraId="67C8C90B"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CD595FD"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8E7BDC9" w14:textId="77777777" w:rsidR="00312042" w:rsidRPr="00CB7E8A" w:rsidRDefault="00312042" w:rsidP="00CB7E8A">
            <w:pPr>
              <w:spacing w:before="40" w:after="40"/>
              <w:jc w:val="right"/>
              <w:rPr>
                <w:sz w:val="18"/>
                <w:szCs w:val="18"/>
              </w:rPr>
            </w:pPr>
          </w:p>
        </w:tc>
      </w:tr>
      <w:tr w:rsidR="00F234CD" w:rsidRPr="00631C1C" w14:paraId="254616B0" w14:textId="77777777" w:rsidTr="00C4751C">
        <w:trPr>
          <w:trHeight w:val="52"/>
          <w:jc w:val="right"/>
        </w:trPr>
        <w:tc>
          <w:tcPr>
            <w:tcW w:w="284" w:type="dxa"/>
            <w:tcBorders>
              <w:top w:val="nil"/>
            </w:tcBorders>
            <w:noWrap/>
            <w:hideMark/>
          </w:tcPr>
          <w:p w14:paraId="3401D07B"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44A7C9FD" w14:textId="77777777" w:rsidR="00312042" w:rsidRPr="00CB7E8A" w:rsidRDefault="00312042" w:rsidP="00CB7E8A">
            <w:pPr>
              <w:spacing w:before="40" w:after="40"/>
              <w:rPr>
                <w:sz w:val="18"/>
                <w:szCs w:val="18"/>
              </w:rPr>
            </w:pPr>
            <w:r w:rsidRPr="00CB7E8A">
              <w:rPr>
                <w:sz w:val="18"/>
                <w:szCs w:val="18"/>
              </w:rPr>
              <w:t>12.3. Other cooperation and coordination</w:t>
            </w:r>
          </w:p>
        </w:tc>
        <w:tc>
          <w:tcPr>
            <w:tcW w:w="1275" w:type="dxa"/>
            <w:tcBorders>
              <w:top w:val="nil"/>
            </w:tcBorders>
            <w:noWrap/>
            <w:vAlign w:val="center"/>
            <w:hideMark/>
          </w:tcPr>
          <w:p w14:paraId="73FCB770"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1163D4C"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0D3A5EF6"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359A86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719D8719"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354BF92" w14:textId="77777777" w:rsidR="00312042" w:rsidRPr="00CB7E8A" w:rsidRDefault="00312042" w:rsidP="00CB7E8A">
            <w:pPr>
              <w:spacing w:before="40" w:after="40"/>
              <w:jc w:val="right"/>
              <w:rPr>
                <w:sz w:val="18"/>
                <w:szCs w:val="18"/>
              </w:rPr>
            </w:pPr>
          </w:p>
        </w:tc>
      </w:tr>
      <w:tr w:rsidR="00F234CD" w:rsidRPr="00631C1C"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CB7E8A" w:rsidRDefault="00312042" w:rsidP="00CB7E8A">
            <w:pPr>
              <w:spacing w:before="40" w:after="40"/>
              <w:rPr>
                <w:b/>
                <w:bCs/>
                <w:sz w:val="18"/>
                <w:szCs w:val="18"/>
              </w:rPr>
            </w:pPr>
            <w:r w:rsidRPr="00CB7E8A">
              <w:rPr>
                <w:b/>
                <w:bCs/>
                <w:sz w:val="18"/>
                <w:szCs w:val="18"/>
              </w:rPr>
              <w:t>12. International cooperation and coordination</w:t>
            </w:r>
          </w:p>
        </w:tc>
        <w:tc>
          <w:tcPr>
            <w:tcW w:w="1275" w:type="dxa"/>
            <w:shd w:val="clear" w:color="000000" w:fill="B4C6E7"/>
            <w:noWrap/>
            <w:vAlign w:val="center"/>
            <w:hideMark/>
          </w:tcPr>
          <w:p w14:paraId="33686A08"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47B88587" w14:textId="77777777" w:rsidR="00312042" w:rsidRPr="00CB7E8A" w:rsidRDefault="00312042" w:rsidP="00CB7E8A">
            <w:pPr>
              <w:spacing w:before="40" w:after="40"/>
              <w:jc w:val="right"/>
              <w:rPr>
                <w:b/>
                <w:bCs/>
                <w:sz w:val="18"/>
                <w:szCs w:val="18"/>
              </w:rPr>
            </w:pPr>
            <w:r w:rsidRPr="00CB7E8A">
              <w:rPr>
                <w:b/>
                <w:bCs/>
                <w:sz w:val="18"/>
                <w:szCs w:val="18"/>
              </w:rPr>
              <w:t>10 000</w:t>
            </w:r>
          </w:p>
        </w:tc>
        <w:tc>
          <w:tcPr>
            <w:tcW w:w="1276" w:type="dxa"/>
            <w:shd w:val="clear" w:color="000000" w:fill="B4C6E7"/>
            <w:noWrap/>
            <w:vAlign w:val="center"/>
            <w:hideMark/>
          </w:tcPr>
          <w:p w14:paraId="0CE776F8" w14:textId="77777777" w:rsidR="00312042" w:rsidRPr="00CB7E8A" w:rsidRDefault="00312042" w:rsidP="00CB7E8A">
            <w:pPr>
              <w:spacing w:before="40" w:after="40"/>
              <w:jc w:val="right"/>
              <w:rPr>
                <w:b/>
                <w:bCs/>
                <w:sz w:val="18"/>
                <w:szCs w:val="18"/>
              </w:rPr>
            </w:pPr>
            <w:r w:rsidRPr="00CB7E8A">
              <w:rPr>
                <w:b/>
                <w:bCs/>
                <w:sz w:val="18"/>
                <w:szCs w:val="18"/>
              </w:rPr>
              <w:t>10 000</w:t>
            </w:r>
          </w:p>
        </w:tc>
        <w:tc>
          <w:tcPr>
            <w:tcW w:w="1134" w:type="dxa"/>
            <w:shd w:val="clear" w:color="000000" w:fill="B4C6E7"/>
            <w:noWrap/>
            <w:vAlign w:val="center"/>
            <w:hideMark/>
          </w:tcPr>
          <w:p w14:paraId="26CBC34A"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134" w:type="dxa"/>
            <w:shd w:val="clear" w:color="000000" w:fill="B4C6E7"/>
            <w:noWrap/>
            <w:vAlign w:val="center"/>
            <w:hideMark/>
          </w:tcPr>
          <w:p w14:paraId="720FB463"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245" w:type="dxa"/>
            <w:shd w:val="clear" w:color="000000" w:fill="B4C6E7"/>
            <w:noWrap/>
            <w:vAlign w:val="center"/>
            <w:hideMark/>
          </w:tcPr>
          <w:p w14:paraId="5F88373E" w14:textId="77777777" w:rsidR="00312042" w:rsidRPr="00CB7E8A" w:rsidRDefault="00312042" w:rsidP="00CB7E8A">
            <w:pPr>
              <w:spacing w:before="40" w:after="40"/>
              <w:jc w:val="right"/>
              <w:rPr>
                <w:b/>
                <w:bCs/>
                <w:sz w:val="18"/>
                <w:szCs w:val="18"/>
              </w:rPr>
            </w:pPr>
            <w:r w:rsidRPr="00CB7E8A">
              <w:rPr>
                <w:b/>
                <w:bCs/>
                <w:sz w:val="18"/>
                <w:szCs w:val="18"/>
              </w:rPr>
              <w:t>100 000</w:t>
            </w:r>
          </w:p>
        </w:tc>
      </w:tr>
      <w:tr w:rsidR="00F234CD" w:rsidRPr="00631C1C" w14:paraId="72CBFD00" w14:textId="77777777" w:rsidTr="00C4751C">
        <w:trPr>
          <w:trHeight w:val="52"/>
          <w:jc w:val="right"/>
        </w:trPr>
        <w:tc>
          <w:tcPr>
            <w:tcW w:w="7230" w:type="dxa"/>
            <w:gridSpan w:val="2"/>
            <w:noWrap/>
            <w:vAlign w:val="center"/>
            <w:hideMark/>
          </w:tcPr>
          <w:p w14:paraId="5B16D5E6" w14:textId="77777777" w:rsidR="00312042" w:rsidRPr="00CB7E8A" w:rsidRDefault="00312042" w:rsidP="00CB7E8A">
            <w:pPr>
              <w:spacing w:before="40" w:after="40"/>
              <w:rPr>
                <w:b/>
                <w:bCs/>
                <w:sz w:val="18"/>
                <w:szCs w:val="18"/>
              </w:rPr>
            </w:pPr>
            <w:r w:rsidRPr="00CB7E8A">
              <w:rPr>
                <w:b/>
                <w:bCs/>
                <w:sz w:val="18"/>
                <w:szCs w:val="18"/>
              </w:rPr>
              <w:t xml:space="preserve">13. Financial resources and mechanism </w:t>
            </w:r>
          </w:p>
        </w:tc>
        <w:tc>
          <w:tcPr>
            <w:tcW w:w="1275" w:type="dxa"/>
            <w:noWrap/>
            <w:vAlign w:val="center"/>
            <w:hideMark/>
          </w:tcPr>
          <w:p w14:paraId="1618BE89" w14:textId="77777777" w:rsidR="00312042" w:rsidRPr="00CB7E8A" w:rsidRDefault="00312042" w:rsidP="00CB7E8A">
            <w:pPr>
              <w:spacing w:before="40" w:after="40"/>
              <w:jc w:val="right"/>
              <w:rPr>
                <w:b/>
                <w:bCs/>
                <w:sz w:val="18"/>
                <w:szCs w:val="18"/>
              </w:rPr>
            </w:pPr>
          </w:p>
        </w:tc>
        <w:tc>
          <w:tcPr>
            <w:tcW w:w="1134" w:type="dxa"/>
            <w:noWrap/>
            <w:vAlign w:val="center"/>
            <w:hideMark/>
          </w:tcPr>
          <w:p w14:paraId="4E524969" w14:textId="77777777" w:rsidR="00312042" w:rsidRPr="00CB7E8A" w:rsidRDefault="00312042" w:rsidP="00CB7E8A">
            <w:pPr>
              <w:spacing w:before="40" w:after="40"/>
              <w:jc w:val="right"/>
              <w:rPr>
                <w:b/>
                <w:bCs/>
                <w:sz w:val="18"/>
                <w:szCs w:val="18"/>
              </w:rPr>
            </w:pPr>
          </w:p>
        </w:tc>
        <w:tc>
          <w:tcPr>
            <w:tcW w:w="1276" w:type="dxa"/>
            <w:noWrap/>
            <w:vAlign w:val="center"/>
            <w:hideMark/>
          </w:tcPr>
          <w:p w14:paraId="45D73176" w14:textId="77777777" w:rsidR="00312042" w:rsidRPr="00CB7E8A" w:rsidRDefault="00312042" w:rsidP="00CB7E8A">
            <w:pPr>
              <w:spacing w:before="40" w:after="40"/>
              <w:jc w:val="right"/>
              <w:rPr>
                <w:b/>
                <w:bCs/>
                <w:sz w:val="18"/>
                <w:szCs w:val="18"/>
              </w:rPr>
            </w:pPr>
          </w:p>
        </w:tc>
        <w:tc>
          <w:tcPr>
            <w:tcW w:w="1134" w:type="dxa"/>
            <w:noWrap/>
            <w:vAlign w:val="center"/>
            <w:hideMark/>
          </w:tcPr>
          <w:p w14:paraId="6B91606B" w14:textId="77777777" w:rsidR="00312042" w:rsidRPr="00CB7E8A" w:rsidRDefault="00312042" w:rsidP="00CB7E8A">
            <w:pPr>
              <w:spacing w:before="40" w:after="40"/>
              <w:jc w:val="right"/>
              <w:rPr>
                <w:b/>
                <w:bCs/>
                <w:sz w:val="18"/>
                <w:szCs w:val="18"/>
              </w:rPr>
            </w:pPr>
          </w:p>
        </w:tc>
        <w:tc>
          <w:tcPr>
            <w:tcW w:w="1134" w:type="dxa"/>
            <w:noWrap/>
            <w:vAlign w:val="center"/>
            <w:hideMark/>
          </w:tcPr>
          <w:p w14:paraId="432CDFEF" w14:textId="77777777" w:rsidR="00312042" w:rsidRPr="00CB7E8A" w:rsidRDefault="00312042" w:rsidP="00CB7E8A">
            <w:pPr>
              <w:spacing w:before="40" w:after="40"/>
              <w:jc w:val="right"/>
              <w:rPr>
                <w:b/>
                <w:bCs/>
                <w:sz w:val="18"/>
                <w:szCs w:val="18"/>
              </w:rPr>
            </w:pPr>
          </w:p>
        </w:tc>
        <w:tc>
          <w:tcPr>
            <w:tcW w:w="1245" w:type="dxa"/>
            <w:noWrap/>
            <w:vAlign w:val="center"/>
            <w:hideMark/>
          </w:tcPr>
          <w:p w14:paraId="2B979F6E" w14:textId="77777777" w:rsidR="00312042" w:rsidRPr="00CB7E8A" w:rsidRDefault="00312042" w:rsidP="00CB7E8A">
            <w:pPr>
              <w:spacing w:before="40" w:after="40"/>
              <w:jc w:val="right"/>
              <w:rPr>
                <w:b/>
                <w:bCs/>
                <w:sz w:val="18"/>
                <w:szCs w:val="18"/>
              </w:rPr>
            </w:pPr>
          </w:p>
        </w:tc>
      </w:tr>
      <w:tr w:rsidR="00F234CD" w:rsidRPr="00631C1C" w14:paraId="3E3E0C9D" w14:textId="77777777" w:rsidTr="00C4751C">
        <w:trPr>
          <w:trHeight w:val="52"/>
          <w:jc w:val="right"/>
        </w:trPr>
        <w:tc>
          <w:tcPr>
            <w:tcW w:w="284" w:type="dxa"/>
            <w:noWrap/>
            <w:hideMark/>
          </w:tcPr>
          <w:p w14:paraId="16B5D221"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584AE978" w14:textId="77777777" w:rsidR="00312042" w:rsidRPr="00CB7E8A" w:rsidRDefault="00312042" w:rsidP="00CB7E8A">
            <w:pPr>
              <w:spacing w:before="40" w:after="40"/>
              <w:rPr>
                <w:sz w:val="18"/>
                <w:szCs w:val="18"/>
              </w:rPr>
            </w:pPr>
            <w:r w:rsidRPr="00CB7E8A">
              <w:rPr>
                <w:sz w:val="18"/>
                <w:szCs w:val="18"/>
              </w:rPr>
              <w:t>13.1. Financial resources</w:t>
            </w:r>
          </w:p>
        </w:tc>
        <w:tc>
          <w:tcPr>
            <w:tcW w:w="1275" w:type="dxa"/>
            <w:noWrap/>
            <w:vAlign w:val="center"/>
            <w:hideMark/>
          </w:tcPr>
          <w:p w14:paraId="4CEB843F"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noWrap/>
            <w:vAlign w:val="center"/>
            <w:hideMark/>
          </w:tcPr>
          <w:p w14:paraId="023D550F" w14:textId="77777777" w:rsidR="00312042" w:rsidRPr="00CB7E8A" w:rsidRDefault="00312042" w:rsidP="00CB7E8A">
            <w:pPr>
              <w:spacing w:before="40" w:after="40"/>
              <w:jc w:val="right"/>
              <w:rPr>
                <w:sz w:val="18"/>
                <w:szCs w:val="18"/>
              </w:rPr>
            </w:pPr>
          </w:p>
        </w:tc>
        <w:tc>
          <w:tcPr>
            <w:tcW w:w="1276" w:type="dxa"/>
            <w:noWrap/>
            <w:vAlign w:val="center"/>
            <w:hideMark/>
          </w:tcPr>
          <w:p w14:paraId="05F4D0B5"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noWrap/>
            <w:vAlign w:val="center"/>
            <w:hideMark/>
          </w:tcPr>
          <w:p w14:paraId="1BF76256" w14:textId="77777777" w:rsidR="00312042" w:rsidRPr="00CB7E8A" w:rsidRDefault="00312042" w:rsidP="00CB7E8A">
            <w:pPr>
              <w:spacing w:before="40" w:after="40"/>
              <w:jc w:val="right"/>
              <w:rPr>
                <w:sz w:val="18"/>
                <w:szCs w:val="18"/>
              </w:rPr>
            </w:pPr>
            <w:r w:rsidRPr="00CB7E8A">
              <w:rPr>
                <w:sz w:val="18"/>
                <w:szCs w:val="18"/>
              </w:rPr>
              <w:t>24 000</w:t>
            </w:r>
          </w:p>
        </w:tc>
        <w:tc>
          <w:tcPr>
            <w:tcW w:w="1134" w:type="dxa"/>
            <w:noWrap/>
            <w:vAlign w:val="center"/>
            <w:hideMark/>
          </w:tcPr>
          <w:p w14:paraId="7C8438A6" w14:textId="77777777" w:rsidR="00312042" w:rsidRPr="00CB7E8A" w:rsidRDefault="00312042" w:rsidP="00CB7E8A">
            <w:pPr>
              <w:spacing w:before="40" w:after="40"/>
              <w:jc w:val="right"/>
              <w:rPr>
                <w:sz w:val="18"/>
                <w:szCs w:val="18"/>
              </w:rPr>
            </w:pPr>
          </w:p>
        </w:tc>
        <w:tc>
          <w:tcPr>
            <w:tcW w:w="1245" w:type="dxa"/>
            <w:noWrap/>
            <w:vAlign w:val="center"/>
            <w:hideMark/>
          </w:tcPr>
          <w:p w14:paraId="777E2AD4" w14:textId="77777777" w:rsidR="00312042" w:rsidRPr="00CB7E8A" w:rsidRDefault="00312042" w:rsidP="00CB7E8A">
            <w:pPr>
              <w:spacing w:before="40" w:after="40"/>
              <w:jc w:val="right"/>
              <w:rPr>
                <w:sz w:val="18"/>
                <w:szCs w:val="18"/>
              </w:rPr>
            </w:pPr>
            <w:r w:rsidRPr="00CB7E8A">
              <w:rPr>
                <w:sz w:val="18"/>
                <w:szCs w:val="18"/>
              </w:rPr>
              <w:t>24 000</w:t>
            </w:r>
          </w:p>
        </w:tc>
      </w:tr>
      <w:tr w:rsidR="00F234CD" w:rsidRPr="00631C1C" w14:paraId="0B781DA3" w14:textId="77777777" w:rsidTr="009A58EE">
        <w:trPr>
          <w:trHeight w:val="300"/>
          <w:jc w:val="right"/>
        </w:trPr>
        <w:tc>
          <w:tcPr>
            <w:tcW w:w="284" w:type="dxa"/>
            <w:noWrap/>
            <w:hideMark/>
          </w:tcPr>
          <w:p w14:paraId="6D76B7C7"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7E7537D6" w14:textId="2AEC9962" w:rsidR="00312042" w:rsidRPr="00CB7E8A" w:rsidRDefault="00312042" w:rsidP="00CB7E8A">
            <w:pPr>
              <w:spacing w:before="40" w:after="40"/>
              <w:rPr>
                <w:sz w:val="18"/>
                <w:szCs w:val="18"/>
              </w:rPr>
            </w:pPr>
            <w:r w:rsidRPr="00CB7E8A">
              <w:rPr>
                <w:sz w:val="18"/>
                <w:szCs w:val="18"/>
              </w:rPr>
              <w:t>13.2</w:t>
            </w:r>
            <w:r w:rsidR="006512CC" w:rsidRPr="00CB7E8A">
              <w:rPr>
                <w:sz w:val="18"/>
                <w:szCs w:val="18"/>
              </w:rPr>
              <w:t>.</w:t>
            </w:r>
            <w:r w:rsidRPr="00CB7E8A">
              <w:rPr>
                <w:sz w:val="18"/>
                <w:szCs w:val="18"/>
              </w:rPr>
              <w:t xml:space="preserve"> Financial mechanism </w:t>
            </w:r>
            <w:r w:rsidR="008A4478" w:rsidRPr="00CB7E8A">
              <w:rPr>
                <w:sz w:val="18"/>
                <w:szCs w:val="18"/>
              </w:rPr>
              <w:t>–</w:t>
            </w:r>
            <w:r w:rsidRPr="00CB7E8A">
              <w:rPr>
                <w:sz w:val="18"/>
                <w:szCs w:val="18"/>
              </w:rPr>
              <w:t xml:space="preserve"> Global Environment Facility</w:t>
            </w:r>
          </w:p>
        </w:tc>
        <w:tc>
          <w:tcPr>
            <w:tcW w:w="1275" w:type="dxa"/>
            <w:noWrap/>
            <w:vAlign w:val="center"/>
            <w:hideMark/>
          </w:tcPr>
          <w:p w14:paraId="71EC1855" w14:textId="77777777" w:rsidR="00312042" w:rsidRPr="00CB7E8A" w:rsidRDefault="00312042" w:rsidP="00CB7E8A">
            <w:pPr>
              <w:spacing w:before="40" w:after="40"/>
              <w:jc w:val="right"/>
              <w:rPr>
                <w:sz w:val="18"/>
                <w:szCs w:val="18"/>
              </w:rPr>
            </w:pPr>
          </w:p>
        </w:tc>
        <w:tc>
          <w:tcPr>
            <w:tcW w:w="1134" w:type="dxa"/>
            <w:noWrap/>
            <w:vAlign w:val="center"/>
            <w:hideMark/>
          </w:tcPr>
          <w:p w14:paraId="096E5E02" w14:textId="77777777" w:rsidR="00312042" w:rsidRPr="00CB7E8A" w:rsidRDefault="00312042" w:rsidP="00CB7E8A">
            <w:pPr>
              <w:spacing w:before="40" w:after="40"/>
              <w:jc w:val="right"/>
              <w:rPr>
                <w:sz w:val="18"/>
                <w:szCs w:val="18"/>
              </w:rPr>
            </w:pPr>
          </w:p>
        </w:tc>
        <w:tc>
          <w:tcPr>
            <w:tcW w:w="1276" w:type="dxa"/>
            <w:noWrap/>
            <w:vAlign w:val="center"/>
            <w:hideMark/>
          </w:tcPr>
          <w:p w14:paraId="6A192035" w14:textId="77777777" w:rsidR="00312042" w:rsidRPr="00CB7E8A" w:rsidRDefault="00312042" w:rsidP="00CB7E8A">
            <w:pPr>
              <w:spacing w:before="40" w:after="40"/>
              <w:jc w:val="right"/>
              <w:rPr>
                <w:sz w:val="18"/>
                <w:szCs w:val="18"/>
              </w:rPr>
            </w:pPr>
          </w:p>
        </w:tc>
        <w:tc>
          <w:tcPr>
            <w:tcW w:w="1134" w:type="dxa"/>
            <w:noWrap/>
            <w:vAlign w:val="center"/>
            <w:hideMark/>
          </w:tcPr>
          <w:p w14:paraId="60F574E8" w14:textId="77777777" w:rsidR="00312042" w:rsidRPr="00CB7E8A" w:rsidRDefault="00312042" w:rsidP="00CB7E8A">
            <w:pPr>
              <w:spacing w:before="40" w:after="40"/>
              <w:jc w:val="right"/>
              <w:rPr>
                <w:sz w:val="18"/>
                <w:szCs w:val="18"/>
              </w:rPr>
            </w:pPr>
            <w:r w:rsidRPr="00CB7E8A">
              <w:rPr>
                <w:sz w:val="18"/>
                <w:szCs w:val="18"/>
              </w:rPr>
              <w:t>20 000</w:t>
            </w:r>
          </w:p>
        </w:tc>
        <w:tc>
          <w:tcPr>
            <w:tcW w:w="1134" w:type="dxa"/>
            <w:noWrap/>
            <w:vAlign w:val="center"/>
            <w:hideMark/>
          </w:tcPr>
          <w:p w14:paraId="4392D873" w14:textId="77777777" w:rsidR="00312042" w:rsidRPr="00CB7E8A" w:rsidRDefault="00312042" w:rsidP="00CB7E8A">
            <w:pPr>
              <w:spacing w:before="40" w:after="40"/>
              <w:jc w:val="right"/>
              <w:rPr>
                <w:sz w:val="18"/>
                <w:szCs w:val="18"/>
              </w:rPr>
            </w:pPr>
          </w:p>
        </w:tc>
        <w:tc>
          <w:tcPr>
            <w:tcW w:w="1245" w:type="dxa"/>
            <w:noWrap/>
            <w:vAlign w:val="center"/>
            <w:hideMark/>
          </w:tcPr>
          <w:p w14:paraId="73868A64" w14:textId="77777777" w:rsidR="00312042" w:rsidRPr="00CB7E8A" w:rsidRDefault="00312042" w:rsidP="00CB7E8A">
            <w:pPr>
              <w:spacing w:before="40" w:after="40"/>
              <w:jc w:val="right"/>
              <w:rPr>
                <w:sz w:val="18"/>
                <w:szCs w:val="18"/>
              </w:rPr>
            </w:pPr>
            <w:r w:rsidRPr="00CB7E8A">
              <w:rPr>
                <w:sz w:val="18"/>
                <w:szCs w:val="18"/>
              </w:rPr>
              <w:t>20 000</w:t>
            </w:r>
          </w:p>
        </w:tc>
      </w:tr>
      <w:tr w:rsidR="00F234CD" w:rsidRPr="00631C1C" w14:paraId="01CD4D2E" w14:textId="77777777" w:rsidTr="009A58EE">
        <w:trPr>
          <w:trHeight w:val="315"/>
          <w:jc w:val="right"/>
        </w:trPr>
        <w:tc>
          <w:tcPr>
            <w:tcW w:w="284" w:type="dxa"/>
            <w:noWrap/>
            <w:hideMark/>
          </w:tcPr>
          <w:p w14:paraId="1A159AB5"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49DCD6D6" w14:textId="51C50424" w:rsidR="00312042" w:rsidRPr="00CB7E8A" w:rsidRDefault="00312042" w:rsidP="00CB7E8A">
            <w:pPr>
              <w:spacing w:before="40" w:after="40"/>
              <w:rPr>
                <w:sz w:val="18"/>
                <w:szCs w:val="18"/>
              </w:rPr>
            </w:pPr>
            <w:r w:rsidRPr="00CB7E8A">
              <w:rPr>
                <w:sz w:val="18"/>
                <w:szCs w:val="18"/>
              </w:rPr>
              <w:t>13.3</w:t>
            </w:r>
            <w:r w:rsidR="006512CC" w:rsidRPr="00CB7E8A">
              <w:rPr>
                <w:sz w:val="18"/>
                <w:szCs w:val="18"/>
              </w:rPr>
              <w:t>.</w:t>
            </w:r>
            <w:r w:rsidRPr="00CB7E8A">
              <w:rPr>
                <w:sz w:val="18"/>
                <w:szCs w:val="18"/>
              </w:rPr>
              <w:t xml:space="preserve"> Financial mechanism </w:t>
            </w:r>
            <w:r w:rsidR="008A4478" w:rsidRPr="00CB7E8A">
              <w:rPr>
                <w:sz w:val="18"/>
                <w:szCs w:val="18"/>
              </w:rPr>
              <w:t>–</w:t>
            </w:r>
            <w:r w:rsidRPr="00CB7E8A">
              <w:rPr>
                <w:sz w:val="18"/>
                <w:szCs w:val="18"/>
              </w:rPr>
              <w:t xml:space="preserve"> Specific International Programme</w:t>
            </w:r>
          </w:p>
        </w:tc>
        <w:tc>
          <w:tcPr>
            <w:tcW w:w="1275" w:type="dxa"/>
            <w:noWrap/>
            <w:vAlign w:val="center"/>
            <w:hideMark/>
          </w:tcPr>
          <w:p w14:paraId="382ABBB7" w14:textId="77777777" w:rsidR="00312042" w:rsidRPr="00CB7E8A" w:rsidRDefault="00312042" w:rsidP="00CB7E8A">
            <w:pPr>
              <w:spacing w:before="40" w:after="40"/>
              <w:jc w:val="right"/>
              <w:rPr>
                <w:sz w:val="18"/>
                <w:szCs w:val="18"/>
              </w:rPr>
            </w:pPr>
          </w:p>
        </w:tc>
        <w:tc>
          <w:tcPr>
            <w:tcW w:w="1134" w:type="dxa"/>
            <w:noWrap/>
            <w:vAlign w:val="center"/>
            <w:hideMark/>
          </w:tcPr>
          <w:p w14:paraId="5A702B81" w14:textId="77777777" w:rsidR="00312042" w:rsidRPr="00CB7E8A" w:rsidRDefault="00312042" w:rsidP="00CB7E8A">
            <w:pPr>
              <w:spacing w:before="40" w:after="40"/>
              <w:jc w:val="right"/>
              <w:rPr>
                <w:sz w:val="18"/>
                <w:szCs w:val="18"/>
              </w:rPr>
            </w:pPr>
          </w:p>
        </w:tc>
        <w:tc>
          <w:tcPr>
            <w:tcW w:w="1276" w:type="dxa"/>
            <w:noWrap/>
            <w:vAlign w:val="center"/>
            <w:hideMark/>
          </w:tcPr>
          <w:p w14:paraId="1C41CD68" w14:textId="77777777" w:rsidR="00312042" w:rsidRPr="00CB7E8A" w:rsidRDefault="00312042" w:rsidP="00CB7E8A">
            <w:pPr>
              <w:spacing w:before="40" w:after="40"/>
              <w:jc w:val="right"/>
              <w:rPr>
                <w:sz w:val="18"/>
                <w:szCs w:val="18"/>
              </w:rPr>
            </w:pPr>
          </w:p>
        </w:tc>
        <w:tc>
          <w:tcPr>
            <w:tcW w:w="1134" w:type="dxa"/>
            <w:noWrap/>
            <w:vAlign w:val="center"/>
            <w:hideMark/>
          </w:tcPr>
          <w:p w14:paraId="2371C495" w14:textId="77777777" w:rsidR="00312042" w:rsidRPr="00CB7E8A" w:rsidRDefault="00312042" w:rsidP="00CB7E8A">
            <w:pPr>
              <w:spacing w:before="40" w:after="40"/>
              <w:jc w:val="right"/>
              <w:rPr>
                <w:sz w:val="18"/>
                <w:szCs w:val="18"/>
              </w:rPr>
            </w:pPr>
          </w:p>
        </w:tc>
        <w:tc>
          <w:tcPr>
            <w:tcW w:w="1134" w:type="dxa"/>
            <w:noWrap/>
            <w:vAlign w:val="center"/>
            <w:hideMark/>
          </w:tcPr>
          <w:p w14:paraId="5E8F4BA3" w14:textId="77777777" w:rsidR="00312042" w:rsidRPr="00CB7E8A" w:rsidRDefault="00312042" w:rsidP="00CB7E8A">
            <w:pPr>
              <w:spacing w:before="40" w:after="40"/>
              <w:jc w:val="right"/>
              <w:rPr>
                <w:sz w:val="18"/>
                <w:szCs w:val="18"/>
              </w:rPr>
            </w:pPr>
          </w:p>
        </w:tc>
        <w:tc>
          <w:tcPr>
            <w:tcW w:w="1245" w:type="dxa"/>
            <w:noWrap/>
            <w:vAlign w:val="center"/>
            <w:hideMark/>
          </w:tcPr>
          <w:p w14:paraId="3A559F4E" w14:textId="77777777" w:rsidR="00312042" w:rsidRPr="00CB7E8A" w:rsidRDefault="00312042" w:rsidP="00CB7E8A">
            <w:pPr>
              <w:spacing w:before="40" w:after="40"/>
              <w:jc w:val="right"/>
              <w:rPr>
                <w:sz w:val="18"/>
                <w:szCs w:val="18"/>
              </w:rPr>
            </w:pPr>
          </w:p>
        </w:tc>
      </w:tr>
      <w:tr w:rsidR="00F234CD" w:rsidRPr="00631C1C"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77777777" w:rsidR="00312042" w:rsidRPr="00CB7E8A" w:rsidRDefault="00312042" w:rsidP="00CB7E8A">
            <w:pPr>
              <w:spacing w:before="40" w:after="40"/>
              <w:rPr>
                <w:b/>
                <w:bCs/>
                <w:sz w:val="18"/>
                <w:szCs w:val="18"/>
              </w:rPr>
            </w:pPr>
            <w:r w:rsidRPr="00CB7E8A">
              <w:rPr>
                <w:b/>
                <w:bCs/>
                <w:sz w:val="18"/>
                <w:szCs w:val="18"/>
              </w:rPr>
              <w:t xml:space="preserve">13. Financial resources and mechanism </w:t>
            </w:r>
          </w:p>
        </w:tc>
        <w:tc>
          <w:tcPr>
            <w:tcW w:w="1275" w:type="dxa"/>
            <w:tcBorders>
              <w:bottom w:val="single" w:sz="4" w:space="0" w:color="auto"/>
            </w:tcBorders>
            <w:shd w:val="clear" w:color="000000" w:fill="B4C6E7"/>
            <w:noWrap/>
            <w:vAlign w:val="center"/>
            <w:hideMark/>
          </w:tcPr>
          <w:p w14:paraId="47935E35" w14:textId="77777777" w:rsidR="00312042" w:rsidRPr="00CB7E8A" w:rsidRDefault="00312042" w:rsidP="00CB7E8A">
            <w:pPr>
              <w:spacing w:before="40" w:after="40"/>
              <w:jc w:val="right"/>
              <w:rPr>
                <w:b/>
                <w:bCs/>
                <w:sz w:val="18"/>
                <w:szCs w:val="18"/>
              </w:rPr>
            </w:pPr>
            <w:r w:rsidRPr="00CB7E8A">
              <w:rPr>
                <w:b/>
                <w:bCs/>
                <w:sz w:val="18"/>
                <w:szCs w:val="18"/>
              </w:rPr>
              <w:t>30 000</w:t>
            </w:r>
          </w:p>
        </w:tc>
        <w:tc>
          <w:tcPr>
            <w:tcW w:w="1134" w:type="dxa"/>
            <w:tcBorders>
              <w:bottom w:val="single" w:sz="4" w:space="0" w:color="auto"/>
            </w:tcBorders>
            <w:shd w:val="clear" w:color="000000" w:fill="B4C6E7"/>
            <w:noWrap/>
            <w:vAlign w:val="center"/>
            <w:hideMark/>
          </w:tcPr>
          <w:p w14:paraId="7B91FC7B"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A8FE3BC" w14:textId="77777777" w:rsidR="00312042" w:rsidRPr="00CB7E8A" w:rsidRDefault="00312042" w:rsidP="00CB7E8A">
            <w:pPr>
              <w:spacing w:before="40" w:after="40"/>
              <w:jc w:val="right"/>
              <w:rPr>
                <w:b/>
                <w:bCs/>
                <w:sz w:val="18"/>
                <w:szCs w:val="18"/>
              </w:rPr>
            </w:pPr>
            <w:r w:rsidRPr="00CB7E8A">
              <w:rPr>
                <w:b/>
                <w:bCs/>
                <w:sz w:val="18"/>
                <w:szCs w:val="18"/>
              </w:rPr>
              <w:t>30 000</w:t>
            </w:r>
          </w:p>
        </w:tc>
        <w:tc>
          <w:tcPr>
            <w:tcW w:w="1134" w:type="dxa"/>
            <w:tcBorders>
              <w:bottom w:val="single" w:sz="4" w:space="0" w:color="auto"/>
            </w:tcBorders>
            <w:shd w:val="clear" w:color="000000" w:fill="B4C6E7"/>
            <w:noWrap/>
            <w:vAlign w:val="center"/>
            <w:hideMark/>
          </w:tcPr>
          <w:p w14:paraId="6D20703F" w14:textId="77777777" w:rsidR="00312042" w:rsidRPr="00CB7E8A" w:rsidRDefault="00312042" w:rsidP="00CB7E8A">
            <w:pPr>
              <w:spacing w:before="40" w:after="40"/>
              <w:jc w:val="right"/>
              <w:rPr>
                <w:b/>
                <w:bCs/>
                <w:sz w:val="18"/>
                <w:szCs w:val="18"/>
              </w:rPr>
            </w:pPr>
            <w:r w:rsidRPr="00CB7E8A">
              <w:rPr>
                <w:b/>
                <w:bCs/>
                <w:sz w:val="18"/>
                <w:szCs w:val="18"/>
              </w:rPr>
              <w:t>44 000</w:t>
            </w:r>
          </w:p>
        </w:tc>
        <w:tc>
          <w:tcPr>
            <w:tcW w:w="1134" w:type="dxa"/>
            <w:tcBorders>
              <w:bottom w:val="single" w:sz="4" w:space="0" w:color="auto"/>
            </w:tcBorders>
            <w:shd w:val="clear" w:color="000000" w:fill="B4C6E7"/>
            <w:noWrap/>
            <w:vAlign w:val="center"/>
            <w:hideMark/>
          </w:tcPr>
          <w:p w14:paraId="107F0FA2" w14:textId="77777777" w:rsidR="00312042" w:rsidRPr="00CB7E8A" w:rsidRDefault="00312042" w:rsidP="00CB7E8A">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75877F4F" w14:textId="77777777" w:rsidR="00312042" w:rsidRPr="00CB7E8A" w:rsidRDefault="00312042" w:rsidP="00CB7E8A">
            <w:pPr>
              <w:spacing w:before="40" w:after="40"/>
              <w:jc w:val="right"/>
              <w:rPr>
                <w:b/>
                <w:bCs/>
                <w:sz w:val="18"/>
                <w:szCs w:val="18"/>
              </w:rPr>
            </w:pPr>
            <w:r w:rsidRPr="00CB7E8A">
              <w:rPr>
                <w:b/>
                <w:bCs/>
                <w:sz w:val="18"/>
                <w:szCs w:val="18"/>
              </w:rPr>
              <w:t>44 000</w:t>
            </w:r>
          </w:p>
        </w:tc>
      </w:tr>
      <w:tr w:rsidR="00F234CD" w:rsidRPr="00631C1C"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CB7E8A" w:rsidRDefault="00312042" w:rsidP="00CB7E8A">
            <w:pPr>
              <w:spacing w:before="40" w:after="40"/>
              <w:ind w:firstLineChars="100" w:firstLine="181"/>
              <w:rPr>
                <w:b/>
                <w:bCs/>
                <w:sz w:val="18"/>
                <w:szCs w:val="18"/>
              </w:rPr>
            </w:pPr>
            <w:r w:rsidRPr="00CB7E8A">
              <w:rPr>
                <w:b/>
                <w:bCs/>
                <w:sz w:val="18"/>
                <w:szCs w:val="18"/>
              </w:rPr>
              <w:t>Total (E)</w:t>
            </w:r>
          </w:p>
        </w:tc>
        <w:tc>
          <w:tcPr>
            <w:tcW w:w="1275" w:type="dxa"/>
            <w:tcBorders>
              <w:top w:val="single" w:sz="4" w:space="0" w:color="auto"/>
              <w:bottom w:val="single" w:sz="4" w:space="0" w:color="auto"/>
            </w:tcBorders>
            <w:shd w:val="clear" w:color="000000" w:fill="DBB731"/>
            <w:noWrap/>
            <w:vAlign w:val="center"/>
            <w:hideMark/>
          </w:tcPr>
          <w:p w14:paraId="1308EEA6" w14:textId="77777777" w:rsidR="00312042" w:rsidRPr="00CB7E8A" w:rsidRDefault="00312042" w:rsidP="00CB7E8A">
            <w:pPr>
              <w:spacing w:before="40" w:after="40"/>
              <w:jc w:val="right"/>
              <w:rPr>
                <w:b/>
                <w:bCs/>
                <w:sz w:val="18"/>
                <w:szCs w:val="18"/>
              </w:rPr>
            </w:pPr>
            <w:r w:rsidRPr="00CB7E8A">
              <w:rPr>
                <w:b/>
                <w:bCs/>
                <w:sz w:val="18"/>
                <w:szCs w:val="18"/>
              </w:rPr>
              <w:t>2 837 057</w:t>
            </w:r>
          </w:p>
        </w:tc>
        <w:tc>
          <w:tcPr>
            <w:tcW w:w="1134" w:type="dxa"/>
            <w:tcBorders>
              <w:top w:val="single" w:sz="4" w:space="0" w:color="auto"/>
              <w:bottom w:val="single" w:sz="4" w:space="0" w:color="auto"/>
            </w:tcBorders>
            <w:shd w:val="clear" w:color="000000" w:fill="DBB731"/>
            <w:noWrap/>
            <w:vAlign w:val="center"/>
            <w:hideMark/>
          </w:tcPr>
          <w:p w14:paraId="58B8189D" w14:textId="77777777" w:rsidR="00312042" w:rsidRPr="00CB7E8A" w:rsidRDefault="00312042" w:rsidP="00CB7E8A">
            <w:pPr>
              <w:spacing w:before="40" w:after="40"/>
              <w:jc w:val="right"/>
              <w:rPr>
                <w:b/>
                <w:bCs/>
                <w:sz w:val="18"/>
                <w:szCs w:val="18"/>
              </w:rPr>
            </w:pPr>
            <w:r w:rsidRPr="00CB7E8A">
              <w:rPr>
                <w:b/>
                <w:bCs/>
                <w:sz w:val="18"/>
                <w:szCs w:val="18"/>
              </w:rPr>
              <w:t>2 802 495</w:t>
            </w:r>
          </w:p>
        </w:tc>
        <w:tc>
          <w:tcPr>
            <w:tcW w:w="1276" w:type="dxa"/>
            <w:tcBorders>
              <w:top w:val="single" w:sz="4" w:space="0" w:color="auto"/>
              <w:bottom w:val="single" w:sz="4" w:space="0" w:color="auto"/>
            </w:tcBorders>
            <w:shd w:val="clear" w:color="000000" w:fill="DBB731"/>
            <w:noWrap/>
            <w:vAlign w:val="center"/>
            <w:hideMark/>
          </w:tcPr>
          <w:p w14:paraId="299535B9" w14:textId="77777777" w:rsidR="00312042" w:rsidRPr="00CB7E8A" w:rsidRDefault="00312042" w:rsidP="00CB7E8A">
            <w:pPr>
              <w:spacing w:before="40" w:after="40"/>
              <w:jc w:val="right"/>
              <w:rPr>
                <w:b/>
                <w:bCs/>
                <w:sz w:val="18"/>
                <w:szCs w:val="18"/>
              </w:rPr>
            </w:pPr>
            <w:r w:rsidRPr="00CB7E8A">
              <w:rPr>
                <w:b/>
                <w:bCs/>
                <w:sz w:val="18"/>
                <w:szCs w:val="18"/>
              </w:rPr>
              <w:t>5 639 552</w:t>
            </w:r>
          </w:p>
        </w:tc>
        <w:tc>
          <w:tcPr>
            <w:tcW w:w="1134" w:type="dxa"/>
            <w:tcBorders>
              <w:top w:val="single" w:sz="4" w:space="0" w:color="auto"/>
              <w:bottom w:val="single" w:sz="4" w:space="0" w:color="auto"/>
            </w:tcBorders>
            <w:shd w:val="clear" w:color="000000" w:fill="DBB731"/>
            <w:noWrap/>
            <w:vAlign w:val="center"/>
            <w:hideMark/>
          </w:tcPr>
          <w:p w14:paraId="5C3AC941" w14:textId="77777777" w:rsidR="00312042" w:rsidRPr="00CB7E8A" w:rsidRDefault="00312042" w:rsidP="00CB7E8A">
            <w:pPr>
              <w:spacing w:before="40" w:after="40"/>
              <w:jc w:val="right"/>
              <w:rPr>
                <w:b/>
                <w:bCs/>
                <w:sz w:val="18"/>
                <w:szCs w:val="18"/>
              </w:rPr>
            </w:pPr>
            <w:r w:rsidRPr="00CB7E8A">
              <w:rPr>
                <w:b/>
                <w:bCs/>
                <w:sz w:val="18"/>
                <w:szCs w:val="18"/>
              </w:rPr>
              <w:t>94 000</w:t>
            </w:r>
          </w:p>
        </w:tc>
        <w:tc>
          <w:tcPr>
            <w:tcW w:w="1134" w:type="dxa"/>
            <w:tcBorders>
              <w:top w:val="single" w:sz="4" w:space="0" w:color="auto"/>
              <w:bottom w:val="single" w:sz="4" w:space="0" w:color="auto"/>
            </w:tcBorders>
            <w:shd w:val="clear" w:color="000000" w:fill="DBB731"/>
            <w:noWrap/>
            <w:vAlign w:val="center"/>
            <w:hideMark/>
          </w:tcPr>
          <w:p w14:paraId="5647B4A7"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245" w:type="dxa"/>
            <w:tcBorders>
              <w:top w:val="single" w:sz="4" w:space="0" w:color="auto"/>
              <w:bottom w:val="single" w:sz="4" w:space="0" w:color="auto"/>
            </w:tcBorders>
            <w:shd w:val="clear" w:color="000000" w:fill="DBB731"/>
            <w:noWrap/>
            <w:vAlign w:val="center"/>
            <w:hideMark/>
          </w:tcPr>
          <w:p w14:paraId="17EA560B" w14:textId="77777777" w:rsidR="00312042" w:rsidRPr="00CB7E8A" w:rsidRDefault="00312042" w:rsidP="00CB7E8A">
            <w:pPr>
              <w:spacing w:before="40" w:after="40"/>
              <w:jc w:val="right"/>
              <w:rPr>
                <w:b/>
                <w:bCs/>
                <w:sz w:val="18"/>
                <w:szCs w:val="18"/>
              </w:rPr>
            </w:pPr>
            <w:r w:rsidRPr="00CB7E8A">
              <w:rPr>
                <w:b/>
                <w:bCs/>
                <w:sz w:val="18"/>
                <w:szCs w:val="18"/>
              </w:rPr>
              <w:t>144 000</w:t>
            </w:r>
          </w:p>
        </w:tc>
      </w:tr>
      <w:tr w:rsidR="00F234CD" w:rsidRPr="00631C1C"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CB7E8A" w:rsidRDefault="00312042" w:rsidP="00CB7E8A">
            <w:pPr>
              <w:spacing w:before="40" w:after="40"/>
              <w:rPr>
                <w:b/>
                <w:bCs/>
                <w:sz w:val="18"/>
                <w:szCs w:val="18"/>
              </w:rPr>
            </w:pPr>
            <w:r w:rsidRPr="00CB7E8A">
              <w:rPr>
                <w:b/>
                <w:bCs/>
                <w:sz w:val="18"/>
                <w:szCs w:val="18"/>
              </w:rPr>
              <w:t>F. Legal and policy activities</w:t>
            </w:r>
          </w:p>
        </w:tc>
        <w:tc>
          <w:tcPr>
            <w:tcW w:w="1275" w:type="dxa"/>
            <w:tcBorders>
              <w:top w:val="single" w:sz="4" w:space="0" w:color="auto"/>
            </w:tcBorders>
            <w:noWrap/>
            <w:vAlign w:val="center"/>
            <w:hideMark/>
          </w:tcPr>
          <w:p w14:paraId="662D719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86B672C"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4B620177"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09DEFD1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A9FFA13"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764996DF" w14:textId="77777777" w:rsidR="00312042" w:rsidRPr="00CB7E8A" w:rsidRDefault="00312042" w:rsidP="00CB7E8A">
            <w:pPr>
              <w:spacing w:before="40" w:after="40"/>
              <w:jc w:val="right"/>
              <w:rPr>
                <w:b/>
                <w:bCs/>
                <w:sz w:val="18"/>
                <w:szCs w:val="18"/>
              </w:rPr>
            </w:pPr>
          </w:p>
        </w:tc>
      </w:tr>
      <w:tr w:rsidR="00F234CD" w:rsidRPr="00631C1C" w14:paraId="59F86E9C" w14:textId="77777777" w:rsidTr="00C4751C">
        <w:trPr>
          <w:trHeight w:val="52"/>
          <w:jc w:val="right"/>
        </w:trPr>
        <w:tc>
          <w:tcPr>
            <w:tcW w:w="7230" w:type="dxa"/>
            <w:gridSpan w:val="2"/>
            <w:noWrap/>
            <w:vAlign w:val="center"/>
            <w:hideMark/>
          </w:tcPr>
          <w:p w14:paraId="7AE02597" w14:textId="77777777" w:rsidR="00312042" w:rsidRPr="00CB7E8A" w:rsidRDefault="00312042" w:rsidP="00CB7E8A">
            <w:pPr>
              <w:spacing w:before="40" w:after="40"/>
              <w:rPr>
                <w:b/>
                <w:bCs/>
                <w:sz w:val="18"/>
                <w:szCs w:val="18"/>
              </w:rPr>
            </w:pPr>
            <w:r w:rsidRPr="00CB7E8A">
              <w:rPr>
                <w:b/>
                <w:bCs/>
                <w:sz w:val="18"/>
                <w:szCs w:val="18"/>
              </w:rPr>
              <w:t xml:space="preserve">14. Legal and policy activities </w:t>
            </w:r>
          </w:p>
        </w:tc>
        <w:tc>
          <w:tcPr>
            <w:tcW w:w="1275" w:type="dxa"/>
            <w:noWrap/>
            <w:vAlign w:val="center"/>
            <w:hideMark/>
          </w:tcPr>
          <w:p w14:paraId="040F1463" w14:textId="77777777" w:rsidR="00312042" w:rsidRPr="00CB7E8A" w:rsidRDefault="00312042" w:rsidP="00CB7E8A">
            <w:pPr>
              <w:spacing w:before="40" w:after="40"/>
              <w:jc w:val="right"/>
              <w:rPr>
                <w:b/>
                <w:bCs/>
                <w:sz w:val="18"/>
                <w:szCs w:val="18"/>
              </w:rPr>
            </w:pPr>
          </w:p>
        </w:tc>
        <w:tc>
          <w:tcPr>
            <w:tcW w:w="1134" w:type="dxa"/>
            <w:noWrap/>
            <w:vAlign w:val="center"/>
            <w:hideMark/>
          </w:tcPr>
          <w:p w14:paraId="518DC57F" w14:textId="77777777" w:rsidR="00312042" w:rsidRPr="00CB7E8A" w:rsidRDefault="00312042" w:rsidP="00CB7E8A">
            <w:pPr>
              <w:spacing w:before="40" w:after="40"/>
              <w:jc w:val="right"/>
              <w:rPr>
                <w:b/>
                <w:bCs/>
                <w:sz w:val="18"/>
                <w:szCs w:val="18"/>
              </w:rPr>
            </w:pPr>
          </w:p>
        </w:tc>
        <w:tc>
          <w:tcPr>
            <w:tcW w:w="1276" w:type="dxa"/>
            <w:noWrap/>
            <w:vAlign w:val="center"/>
            <w:hideMark/>
          </w:tcPr>
          <w:p w14:paraId="46DE876E" w14:textId="77777777" w:rsidR="00312042" w:rsidRPr="00CB7E8A" w:rsidRDefault="00312042" w:rsidP="00CB7E8A">
            <w:pPr>
              <w:spacing w:before="40" w:after="40"/>
              <w:jc w:val="right"/>
              <w:rPr>
                <w:sz w:val="18"/>
                <w:szCs w:val="18"/>
              </w:rPr>
            </w:pPr>
          </w:p>
        </w:tc>
        <w:tc>
          <w:tcPr>
            <w:tcW w:w="1134" w:type="dxa"/>
            <w:noWrap/>
            <w:vAlign w:val="center"/>
            <w:hideMark/>
          </w:tcPr>
          <w:p w14:paraId="61FE6F2F" w14:textId="77777777" w:rsidR="00312042" w:rsidRPr="00CB7E8A" w:rsidRDefault="00312042" w:rsidP="00CB7E8A">
            <w:pPr>
              <w:spacing w:before="40" w:after="40"/>
              <w:jc w:val="right"/>
              <w:rPr>
                <w:b/>
                <w:bCs/>
                <w:sz w:val="18"/>
                <w:szCs w:val="18"/>
              </w:rPr>
            </w:pPr>
          </w:p>
        </w:tc>
        <w:tc>
          <w:tcPr>
            <w:tcW w:w="1134" w:type="dxa"/>
            <w:noWrap/>
            <w:vAlign w:val="center"/>
            <w:hideMark/>
          </w:tcPr>
          <w:p w14:paraId="78FC5150" w14:textId="77777777" w:rsidR="00312042" w:rsidRPr="00CB7E8A" w:rsidRDefault="00312042" w:rsidP="00CB7E8A">
            <w:pPr>
              <w:spacing w:before="40" w:after="40"/>
              <w:jc w:val="right"/>
              <w:rPr>
                <w:b/>
                <w:bCs/>
                <w:sz w:val="18"/>
                <w:szCs w:val="18"/>
              </w:rPr>
            </w:pPr>
          </w:p>
        </w:tc>
        <w:tc>
          <w:tcPr>
            <w:tcW w:w="1245" w:type="dxa"/>
            <w:noWrap/>
            <w:vAlign w:val="center"/>
            <w:hideMark/>
          </w:tcPr>
          <w:p w14:paraId="02C851D8" w14:textId="77777777" w:rsidR="00312042" w:rsidRPr="00CB7E8A" w:rsidRDefault="00312042" w:rsidP="00CB7E8A">
            <w:pPr>
              <w:spacing w:before="40" w:after="40"/>
              <w:jc w:val="right"/>
              <w:rPr>
                <w:sz w:val="18"/>
                <w:szCs w:val="18"/>
              </w:rPr>
            </w:pPr>
          </w:p>
        </w:tc>
      </w:tr>
      <w:tr w:rsidR="00F234CD" w:rsidRPr="00631C1C" w14:paraId="76C0837F" w14:textId="77777777" w:rsidTr="009A58EE">
        <w:trPr>
          <w:trHeight w:val="300"/>
          <w:jc w:val="right"/>
        </w:trPr>
        <w:tc>
          <w:tcPr>
            <w:tcW w:w="284" w:type="dxa"/>
            <w:tcBorders>
              <w:top w:val="nil"/>
            </w:tcBorders>
            <w:noWrap/>
            <w:vAlign w:val="center"/>
            <w:hideMark/>
          </w:tcPr>
          <w:p w14:paraId="2AB837C8"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7840CDB8" w14:textId="3DAFC332" w:rsidR="00312042" w:rsidRPr="00CB7E8A" w:rsidRDefault="00312042" w:rsidP="00CB7E8A">
            <w:pPr>
              <w:spacing w:before="40" w:after="40"/>
              <w:rPr>
                <w:sz w:val="18"/>
                <w:szCs w:val="18"/>
              </w:rPr>
            </w:pPr>
            <w:r w:rsidRPr="00CB7E8A">
              <w:rPr>
                <w:sz w:val="18"/>
                <w:szCs w:val="18"/>
              </w:rPr>
              <w:t>14.1</w:t>
            </w:r>
            <w:r w:rsidR="006512CC" w:rsidRPr="00CB7E8A">
              <w:rPr>
                <w:sz w:val="18"/>
                <w:szCs w:val="18"/>
              </w:rPr>
              <w:t>.</w:t>
            </w:r>
            <w:r w:rsidRPr="00CB7E8A">
              <w:rPr>
                <w:sz w:val="18"/>
                <w:szCs w:val="18"/>
              </w:rPr>
              <w:t xml:space="preserve"> Work programme of the Implementation and Compliance Committee</w:t>
            </w:r>
          </w:p>
        </w:tc>
        <w:tc>
          <w:tcPr>
            <w:tcW w:w="1275" w:type="dxa"/>
            <w:tcBorders>
              <w:top w:val="nil"/>
            </w:tcBorders>
            <w:noWrap/>
            <w:vAlign w:val="center"/>
            <w:hideMark/>
          </w:tcPr>
          <w:p w14:paraId="6920F26B"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000E656"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D914790"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9731C61"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0149081"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7FF8617A" w14:textId="77777777" w:rsidR="00312042" w:rsidRPr="00CB7E8A" w:rsidRDefault="00312042" w:rsidP="00CB7E8A">
            <w:pPr>
              <w:spacing w:before="40" w:after="40"/>
              <w:jc w:val="right"/>
              <w:rPr>
                <w:sz w:val="18"/>
                <w:szCs w:val="18"/>
              </w:rPr>
            </w:pPr>
          </w:p>
        </w:tc>
      </w:tr>
      <w:tr w:rsidR="00F234CD" w:rsidRPr="00631C1C" w14:paraId="338A3332" w14:textId="77777777" w:rsidTr="00C4751C">
        <w:trPr>
          <w:trHeight w:val="122"/>
          <w:jc w:val="right"/>
        </w:trPr>
        <w:tc>
          <w:tcPr>
            <w:tcW w:w="284" w:type="dxa"/>
            <w:noWrap/>
            <w:vAlign w:val="center"/>
            <w:hideMark/>
          </w:tcPr>
          <w:p w14:paraId="52819AD8"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511E261C" w14:textId="37A9FBBF" w:rsidR="00312042" w:rsidRPr="00CB7E8A" w:rsidRDefault="00312042" w:rsidP="00CB7E8A">
            <w:pPr>
              <w:spacing w:before="40" w:after="40"/>
              <w:rPr>
                <w:sz w:val="18"/>
                <w:szCs w:val="18"/>
              </w:rPr>
            </w:pPr>
            <w:r w:rsidRPr="00CB7E8A">
              <w:rPr>
                <w:sz w:val="18"/>
                <w:szCs w:val="18"/>
              </w:rPr>
              <w:t>14.2</w:t>
            </w:r>
            <w:r w:rsidR="006512CC" w:rsidRPr="00CB7E8A">
              <w:rPr>
                <w:sz w:val="18"/>
                <w:szCs w:val="18"/>
              </w:rPr>
              <w:t>.</w:t>
            </w:r>
            <w:r w:rsidRPr="00CB7E8A">
              <w:rPr>
                <w:sz w:val="18"/>
                <w:szCs w:val="18"/>
              </w:rPr>
              <w:t xml:space="preserve"> Legal activities</w:t>
            </w:r>
          </w:p>
        </w:tc>
        <w:tc>
          <w:tcPr>
            <w:tcW w:w="1275" w:type="dxa"/>
            <w:noWrap/>
            <w:vAlign w:val="center"/>
            <w:hideMark/>
          </w:tcPr>
          <w:p w14:paraId="0CA8F19E" w14:textId="77777777" w:rsidR="00312042" w:rsidRPr="00CB7E8A" w:rsidRDefault="00312042" w:rsidP="00CB7E8A">
            <w:pPr>
              <w:spacing w:before="40" w:after="40"/>
              <w:jc w:val="right"/>
              <w:rPr>
                <w:sz w:val="18"/>
                <w:szCs w:val="18"/>
              </w:rPr>
            </w:pPr>
          </w:p>
        </w:tc>
        <w:tc>
          <w:tcPr>
            <w:tcW w:w="1134" w:type="dxa"/>
            <w:noWrap/>
            <w:vAlign w:val="center"/>
            <w:hideMark/>
          </w:tcPr>
          <w:p w14:paraId="4849EE06" w14:textId="77777777" w:rsidR="00312042" w:rsidRPr="00CB7E8A" w:rsidRDefault="00312042" w:rsidP="00CB7E8A">
            <w:pPr>
              <w:spacing w:before="40" w:after="40"/>
              <w:jc w:val="right"/>
              <w:rPr>
                <w:sz w:val="18"/>
                <w:szCs w:val="18"/>
              </w:rPr>
            </w:pPr>
          </w:p>
        </w:tc>
        <w:tc>
          <w:tcPr>
            <w:tcW w:w="1276" w:type="dxa"/>
            <w:noWrap/>
            <w:vAlign w:val="center"/>
            <w:hideMark/>
          </w:tcPr>
          <w:p w14:paraId="573D3BC9" w14:textId="77777777" w:rsidR="00312042" w:rsidRPr="00CB7E8A" w:rsidRDefault="00312042" w:rsidP="00CB7E8A">
            <w:pPr>
              <w:spacing w:before="40" w:after="40"/>
              <w:jc w:val="right"/>
              <w:rPr>
                <w:sz w:val="18"/>
                <w:szCs w:val="18"/>
              </w:rPr>
            </w:pPr>
          </w:p>
        </w:tc>
        <w:tc>
          <w:tcPr>
            <w:tcW w:w="1134" w:type="dxa"/>
            <w:noWrap/>
            <w:vAlign w:val="center"/>
            <w:hideMark/>
          </w:tcPr>
          <w:p w14:paraId="632B8587" w14:textId="77777777" w:rsidR="00312042" w:rsidRPr="00CB7E8A" w:rsidRDefault="00312042" w:rsidP="00CB7E8A">
            <w:pPr>
              <w:spacing w:before="40" w:after="40"/>
              <w:jc w:val="right"/>
              <w:rPr>
                <w:sz w:val="18"/>
                <w:szCs w:val="18"/>
              </w:rPr>
            </w:pPr>
          </w:p>
        </w:tc>
        <w:tc>
          <w:tcPr>
            <w:tcW w:w="1134" w:type="dxa"/>
            <w:noWrap/>
            <w:vAlign w:val="center"/>
            <w:hideMark/>
          </w:tcPr>
          <w:p w14:paraId="17AE8162" w14:textId="77777777" w:rsidR="00312042" w:rsidRPr="00CB7E8A" w:rsidRDefault="00312042" w:rsidP="00CB7E8A">
            <w:pPr>
              <w:spacing w:before="40" w:after="40"/>
              <w:jc w:val="right"/>
              <w:rPr>
                <w:sz w:val="18"/>
                <w:szCs w:val="18"/>
              </w:rPr>
            </w:pPr>
          </w:p>
        </w:tc>
        <w:tc>
          <w:tcPr>
            <w:tcW w:w="1245" w:type="dxa"/>
            <w:noWrap/>
            <w:vAlign w:val="center"/>
            <w:hideMark/>
          </w:tcPr>
          <w:p w14:paraId="1CA65150" w14:textId="77777777" w:rsidR="00312042" w:rsidRPr="00CB7E8A" w:rsidRDefault="00312042" w:rsidP="00CB7E8A">
            <w:pPr>
              <w:spacing w:before="40" w:after="40"/>
              <w:jc w:val="right"/>
              <w:rPr>
                <w:sz w:val="18"/>
                <w:szCs w:val="18"/>
              </w:rPr>
            </w:pPr>
          </w:p>
        </w:tc>
      </w:tr>
      <w:tr w:rsidR="00631742" w:rsidRPr="00631C1C" w14:paraId="7384F141" w14:textId="77777777" w:rsidTr="00C4751C">
        <w:trPr>
          <w:trHeight w:val="122"/>
          <w:jc w:val="right"/>
        </w:trPr>
        <w:tc>
          <w:tcPr>
            <w:tcW w:w="284" w:type="dxa"/>
            <w:noWrap/>
            <w:vAlign w:val="center"/>
          </w:tcPr>
          <w:p w14:paraId="625C4D22" w14:textId="77777777" w:rsidR="00631742" w:rsidRPr="00CB7E8A" w:rsidRDefault="00631742" w:rsidP="00CB7E8A">
            <w:pPr>
              <w:spacing w:before="40" w:after="40"/>
              <w:rPr>
                <w:b/>
                <w:bCs/>
                <w:sz w:val="18"/>
                <w:szCs w:val="18"/>
              </w:rPr>
            </w:pPr>
          </w:p>
        </w:tc>
        <w:tc>
          <w:tcPr>
            <w:tcW w:w="6946" w:type="dxa"/>
            <w:noWrap/>
            <w:vAlign w:val="center"/>
          </w:tcPr>
          <w:p w14:paraId="0A07ECB1" w14:textId="292C7E56" w:rsidR="00631742" w:rsidRPr="00CB7E8A" w:rsidRDefault="004B56B9" w:rsidP="00CB7E8A">
            <w:pPr>
              <w:spacing w:before="40" w:after="40"/>
              <w:rPr>
                <w:sz w:val="18"/>
                <w:szCs w:val="18"/>
              </w:rPr>
            </w:pPr>
            <w:r w:rsidRPr="00CB7E8A">
              <w:rPr>
                <w:sz w:val="18"/>
                <w:szCs w:val="18"/>
              </w:rPr>
              <w:t>14.3. National legislation, trade and enforcement</w:t>
            </w:r>
          </w:p>
        </w:tc>
        <w:tc>
          <w:tcPr>
            <w:tcW w:w="1275" w:type="dxa"/>
            <w:noWrap/>
            <w:vAlign w:val="center"/>
          </w:tcPr>
          <w:p w14:paraId="6D1005E2" w14:textId="77777777" w:rsidR="00631742" w:rsidRPr="00CB7E8A" w:rsidRDefault="00631742" w:rsidP="00CB7E8A">
            <w:pPr>
              <w:spacing w:before="40" w:after="40"/>
              <w:jc w:val="right"/>
              <w:rPr>
                <w:sz w:val="18"/>
                <w:szCs w:val="18"/>
              </w:rPr>
            </w:pPr>
          </w:p>
        </w:tc>
        <w:tc>
          <w:tcPr>
            <w:tcW w:w="1134" w:type="dxa"/>
            <w:noWrap/>
            <w:vAlign w:val="center"/>
          </w:tcPr>
          <w:p w14:paraId="1ABEA92A" w14:textId="77777777" w:rsidR="00631742" w:rsidRPr="00CB7E8A" w:rsidRDefault="00631742" w:rsidP="00CB7E8A">
            <w:pPr>
              <w:spacing w:before="40" w:after="40"/>
              <w:jc w:val="right"/>
              <w:rPr>
                <w:sz w:val="18"/>
                <w:szCs w:val="18"/>
              </w:rPr>
            </w:pPr>
          </w:p>
        </w:tc>
        <w:tc>
          <w:tcPr>
            <w:tcW w:w="1276" w:type="dxa"/>
            <w:noWrap/>
            <w:vAlign w:val="center"/>
          </w:tcPr>
          <w:p w14:paraId="1F6C5FB1" w14:textId="77777777" w:rsidR="00631742" w:rsidRPr="00CB7E8A" w:rsidRDefault="00631742" w:rsidP="00CB7E8A">
            <w:pPr>
              <w:spacing w:before="40" w:after="40"/>
              <w:jc w:val="right"/>
              <w:rPr>
                <w:sz w:val="18"/>
                <w:szCs w:val="18"/>
              </w:rPr>
            </w:pPr>
          </w:p>
        </w:tc>
        <w:tc>
          <w:tcPr>
            <w:tcW w:w="1134" w:type="dxa"/>
            <w:noWrap/>
            <w:vAlign w:val="center"/>
          </w:tcPr>
          <w:p w14:paraId="1B9FBBF4" w14:textId="77777777" w:rsidR="00631742" w:rsidRPr="00CB7E8A" w:rsidRDefault="00631742" w:rsidP="00CB7E8A">
            <w:pPr>
              <w:spacing w:before="40" w:after="40"/>
              <w:jc w:val="right"/>
              <w:rPr>
                <w:sz w:val="18"/>
                <w:szCs w:val="18"/>
              </w:rPr>
            </w:pPr>
          </w:p>
        </w:tc>
        <w:tc>
          <w:tcPr>
            <w:tcW w:w="1134" w:type="dxa"/>
            <w:noWrap/>
            <w:vAlign w:val="center"/>
          </w:tcPr>
          <w:p w14:paraId="59FA5163" w14:textId="77777777" w:rsidR="00631742" w:rsidRPr="00CB7E8A" w:rsidRDefault="00631742" w:rsidP="00CB7E8A">
            <w:pPr>
              <w:spacing w:before="40" w:after="40"/>
              <w:jc w:val="right"/>
              <w:rPr>
                <w:sz w:val="18"/>
                <w:szCs w:val="18"/>
              </w:rPr>
            </w:pPr>
          </w:p>
        </w:tc>
        <w:tc>
          <w:tcPr>
            <w:tcW w:w="1245" w:type="dxa"/>
            <w:noWrap/>
            <w:vAlign w:val="center"/>
          </w:tcPr>
          <w:p w14:paraId="73112352" w14:textId="77777777" w:rsidR="00631742" w:rsidRPr="00CB7E8A" w:rsidRDefault="00631742" w:rsidP="00CB7E8A">
            <w:pPr>
              <w:spacing w:before="40" w:after="40"/>
              <w:jc w:val="right"/>
              <w:rPr>
                <w:sz w:val="18"/>
                <w:szCs w:val="18"/>
              </w:rPr>
            </w:pPr>
          </w:p>
        </w:tc>
      </w:tr>
      <w:tr w:rsidR="00F234CD" w:rsidRPr="00631C1C" w14:paraId="040EC9A8" w14:textId="77777777" w:rsidTr="009A58EE">
        <w:trPr>
          <w:trHeight w:val="300"/>
          <w:jc w:val="right"/>
        </w:trPr>
        <w:tc>
          <w:tcPr>
            <w:tcW w:w="284" w:type="dxa"/>
            <w:noWrap/>
            <w:vAlign w:val="center"/>
            <w:hideMark/>
          </w:tcPr>
          <w:p w14:paraId="37EE6FE9"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5148128A" w14:textId="29EAAC8D" w:rsidR="00312042" w:rsidRPr="00CB7E8A" w:rsidRDefault="00312042" w:rsidP="00CB7E8A">
            <w:pPr>
              <w:spacing w:before="40" w:after="40"/>
              <w:rPr>
                <w:sz w:val="18"/>
                <w:szCs w:val="18"/>
              </w:rPr>
            </w:pPr>
            <w:r w:rsidRPr="00CB7E8A">
              <w:rPr>
                <w:sz w:val="18"/>
                <w:szCs w:val="18"/>
              </w:rPr>
              <w:t>14.4</w:t>
            </w:r>
            <w:r w:rsidR="006512CC" w:rsidRPr="00CB7E8A">
              <w:rPr>
                <w:sz w:val="18"/>
                <w:szCs w:val="18"/>
              </w:rPr>
              <w:t>.</w:t>
            </w:r>
            <w:r w:rsidRPr="00CB7E8A">
              <w:rPr>
                <w:sz w:val="18"/>
                <w:szCs w:val="18"/>
              </w:rPr>
              <w:t xml:space="preserve"> Addressing the needs of groups in vulnerable situations</w:t>
            </w:r>
          </w:p>
        </w:tc>
        <w:tc>
          <w:tcPr>
            <w:tcW w:w="1275" w:type="dxa"/>
            <w:noWrap/>
            <w:vAlign w:val="center"/>
            <w:hideMark/>
          </w:tcPr>
          <w:p w14:paraId="54FC0A41" w14:textId="77777777" w:rsidR="00312042" w:rsidRPr="00CB7E8A" w:rsidRDefault="00312042" w:rsidP="00CB7E8A">
            <w:pPr>
              <w:spacing w:before="40" w:after="40"/>
              <w:jc w:val="right"/>
              <w:rPr>
                <w:sz w:val="18"/>
                <w:szCs w:val="18"/>
              </w:rPr>
            </w:pPr>
          </w:p>
        </w:tc>
        <w:tc>
          <w:tcPr>
            <w:tcW w:w="1134" w:type="dxa"/>
            <w:noWrap/>
            <w:vAlign w:val="center"/>
            <w:hideMark/>
          </w:tcPr>
          <w:p w14:paraId="64223C73" w14:textId="77777777" w:rsidR="00312042" w:rsidRPr="00CB7E8A" w:rsidRDefault="00312042" w:rsidP="00CB7E8A">
            <w:pPr>
              <w:spacing w:before="40" w:after="40"/>
              <w:jc w:val="right"/>
              <w:rPr>
                <w:sz w:val="18"/>
                <w:szCs w:val="18"/>
              </w:rPr>
            </w:pPr>
          </w:p>
        </w:tc>
        <w:tc>
          <w:tcPr>
            <w:tcW w:w="1276" w:type="dxa"/>
            <w:noWrap/>
            <w:vAlign w:val="center"/>
            <w:hideMark/>
          </w:tcPr>
          <w:p w14:paraId="1075E3A5" w14:textId="77777777" w:rsidR="00312042" w:rsidRPr="00CB7E8A" w:rsidRDefault="00312042" w:rsidP="00CB7E8A">
            <w:pPr>
              <w:spacing w:before="40" w:after="40"/>
              <w:jc w:val="right"/>
              <w:rPr>
                <w:sz w:val="18"/>
                <w:szCs w:val="18"/>
              </w:rPr>
            </w:pPr>
          </w:p>
        </w:tc>
        <w:tc>
          <w:tcPr>
            <w:tcW w:w="1134" w:type="dxa"/>
            <w:noWrap/>
            <w:vAlign w:val="center"/>
            <w:hideMark/>
          </w:tcPr>
          <w:p w14:paraId="15AAD895" w14:textId="77777777" w:rsidR="00312042" w:rsidRPr="00CB7E8A" w:rsidRDefault="00312042" w:rsidP="00CB7E8A">
            <w:pPr>
              <w:spacing w:before="40" w:after="40"/>
              <w:jc w:val="right"/>
              <w:rPr>
                <w:sz w:val="18"/>
                <w:szCs w:val="18"/>
              </w:rPr>
            </w:pPr>
            <w:r w:rsidRPr="00CB7E8A">
              <w:rPr>
                <w:sz w:val="18"/>
                <w:szCs w:val="18"/>
              </w:rPr>
              <w:t>36 000</w:t>
            </w:r>
          </w:p>
        </w:tc>
        <w:tc>
          <w:tcPr>
            <w:tcW w:w="1134" w:type="dxa"/>
            <w:noWrap/>
            <w:vAlign w:val="center"/>
            <w:hideMark/>
          </w:tcPr>
          <w:p w14:paraId="564382FA" w14:textId="77777777" w:rsidR="00312042" w:rsidRPr="00CB7E8A" w:rsidRDefault="00312042" w:rsidP="00CB7E8A">
            <w:pPr>
              <w:spacing w:before="40" w:after="40"/>
              <w:jc w:val="right"/>
              <w:rPr>
                <w:sz w:val="18"/>
                <w:szCs w:val="18"/>
              </w:rPr>
            </w:pPr>
            <w:r w:rsidRPr="00CB7E8A">
              <w:rPr>
                <w:sz w:val="18"/>
                <w:szCs w:val="18"/>
              </w:rPr>
              <w:t>20 000</w:t>
            </w:r>
          </w:p>
        </w:tc>
        <w:tc>
          <w:tcPr>
            <w:tcW w:w="1245" w:type="dxa"/>
            <w:noWrap/>
            <w:vAlign w:val="center"/>
            <w:hideMark/>
          </w:tcPr>
          <w:p w14:paraId="77048928" w14:textId="77777777" w:rsidR="00312042" w:rsidRPr="00CB7E8A" w:rsidRDefault="00312042" w:rsidP="00CB7E8A">
            <w:pPr>
              <w:spacing w:before="40" w:after="40"/>
              <w:jc w:val="right"/>
              <w:rPr>
                <w:sz w:val="18"/>
                <w:szCs w:val="18"/>
              </w:rPr>
            </w:pPr>
            <w:r w:rsidRPr="00CB7E8A">
              <w:rPr>
                <w:sz w:val="18"/>
                <w:szCs w:val="18"/>
              </w:rPr>
              <w:t>56 000</w:t>
            </w:r>
          </w:p>
        </w:tc>
      </w:tr>
      <w:tr w:rsidR="00F234CD" w:rsidRPr="00631C1C" w14:paraId="412D6CA0" w14:textId="77777777" w:rsidTr="009A58EE">
        <w:trPr>
          <w:trHeight w:val="315"/>
          <w:jc w:val="right"/>
        </w:trPr>
        <w:tc>
          <w:tcPr>
            <w:tcW w:w="284" w:type="dxa"/>
            <w:noWrap/>
            <w:vAlign w:val="center"/>
            <w:hideMark/>
          </w:tcPr>
          <w:p w14:paraId="465AEAE7"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28F27497" w14:textId="4C5024A3" w:rsidR="00312042" w:rsidRPr="00CB7E8A" w:rsidRDefault="00312042" w:rsidP="00CB7E8A">
            <w:pPr>
              <w:spacing w:before="40" w:after="40"/>
              <w:rPr>
                <w:sz w:val="18"/>
                <w:szCs w:val="18"/>
              </w:rPr>
            </w:pPr>
            <w:r w:rsidRPr="00CB7E8A">
              <w:rPr>
                <w:sz w:val="18"/>
                <w:szCs w:val="18"/>
              </w:rPr>
              <w:t>14.5</w:t>
            </w:r>
            <w:r w:rsidR="006512CC" w:rsidRPr="00CB7E8A">
              <w:rPr>
                <w:sz w:val="18"/>
                <w:szCs w:val="18"/>
              </w:rPr>
              <w:t>.</w:t>
            </w:r>
            <w:r w:rsidRPr="00CB7E8A">
              <w:rPr>
                <w:sz w:val="18"/>
                <w:szCs w:val="18"/>
              </w:rPr>
              <w:t xml:space="preserve"> High-level event on the </w:t>
            </w:r>
            <w:r w:rsidR="008A4478" w:rsidRPr="00CB7E8A">
              <w:rPr>
                <w:sz w:val="18"/>
                <w:szCs w:val="18"/>
              </w:rPr>
              <w:t xml:space="preserve">tenth </w:t>
            </w:r>
            <w:r w:rsidRPr="00CB7E8A">
              <w:rPr>
                <w:sz w:val="18"/>
                <w:szCs w:val="18"/>
              </w:rPr>
              <w:t>anniversary of the Convention</w:t>
            </w:r>
          </w:p>
        </w:tc>
        <w:tc>
          <w:tcPr>
            <w:tcW w:w="1275" w:type="dxa"/>
            <w:noWrap/>
            <w:vAlign w:val="center"/>
            <w:hideMark/>
          </w:tcPr>
          <w:p w14:paraId="786F8212" w14:textId="77777777" w:rsidR="00312042" w:rsidRPr="00CB7E8A" w:rsidRDefault="00312042" w:rsidP="00CB7E8A">
            <w:pPr>
              <w:spacing w:before="40" w:after="40"/>
              <w:jc w:val="right"/>
              <w:rPr>
                <w:sz w:val="18"/>
                <w:szCs w:val="18"/>
              </w:rPr>
            </w:pPr>
          </w:p>
        </w:tc>
        <w:tc>
          <w:tcPr>
            <w:tcW w:w="1134" w:type="dxa"/>
            <w:noWrap/>
            <w:vAlign w:val="center"/>
            <w:hideMark/>
          </w:tcPr>
          <w:p w14:paraId="68DDD5BC" w14:textId="77777777" w:rsidR="00312042" w:rsidRPr="00CB7E8A" w:rsidRDefault="00312042" w:rsidP="00CB7E8A">
            <w:pPr>
              <w:spacing w:before="40" w:after="40"/>
              <w:jc w:val="right"/>
              <w:rPr>
                <w:sz w:val="18"/>
                <w:szCs w:val="18"/>
              </w:rPr>
            </w:pPr>
          </w:p>
        </w:tc>
        <w:tc>
          <w:tcPr>
            <w:tcW w:w="1276" w:type="dxa"/>
            <w:noWrap/>
            <w:vAlign w:val="center"/>
            <w:hideMark/>
          </w:tcPr>
          <w:p w14:paraId="215D8E67" w14:textId="77777777" w:rsidR="00312042" w:rsidRPr="00CB7E8A" w:rsidRDefault="00312042" w:rsidP="00CB7E8A">
            <w:pPr>
              <w:spacing w:before="40" w:after="40"/>
              <w:jc w:val="right"/>
              <w:rPr>
                <w:sz w:val="18"/>
                <w:szCs w:val="18"/>
              </w:rPr>
            </w:pPr>
          </w:p>
        </w:tc>
        <w:tc>
          <w:tcPr>
            <w:tcW w:w="1134" w:type="dxa"/>
            <w:noWrap/>
            <w:vAlign w:val="center"/>
            <w:hideMark/>
          </w:tcPr>
          <w:p w14:paraId="1D2CB79F" w14:textId="77777777" w:rsidR="00312042" w:rsidRPr="00CB7E8A" w:rsidRDefault="00312042" w:rsidP="00CB7E8A">
            <w:pPr>
              <w:spacing w:before="40" w:after="40"/>
              <w:jc w:val="right"/>
              <w:rPr>
                <w:sz w:val="18"/>
                <w:szCs w:val="18"/>
              </w:rPr>
            </w:pPr>
          </w:p>
        </w:tc>
        <w:tc>
          <w:tcPr>
            <w:tcW w:w="1134" w:type="dxa"/>
            <w:noWrap/>
            <w:vAlign w:val="center"/>
            <w:hideMark/>
          </w:tcPr>
          <w:p w14:paraId="578D1D10" w14:textId="77777777" w:rsidR="00312042" w:rsidRPr="00CB7E8A" w:rsidRDefault="00312042" w:rsidP="00CB7E8A">
            <w:pPr>
              <w:spacing w:before="40" w:after="40"/>
              <w:jc w:val="right"/>
              <w:rPr>
                <w:sz w:val="18"/>
                <w:szCs w:val="18"/>
              </w:rPr>
            </w:pPr>
            <w:r w:rsidRPr="00CB7E8A">
              <w:rPr>
                <w:sz w:val="18"/>
                <w:szCs w:val="18"/>
              </w:rPr>
              <w:t>40 000</w:t>
            </w:r>
          </w:p>
        </w:tc>
        <w:tc>
          <w:tcPr>
            <w:tcW w:w="1245" w:type="dxa"/>
            <w:noWrap/>
            <w:vAlign w:val="center"/>
            <w:hideMark/>
          </w:tcPr>
          <w:p w14:paraId="5BA0C188" w14:textId="77777777" w:rsidR="00312042" w:rsidRPr="00CB7E8A" w:rsidRDefault="00312042" w:rsidP="00CB7E8A">
            <w:pPr>
              <w:spacing w:before="40" w:after="40"/>
              <w:jc w:val="right"/>
              <w:rPr>
                <w:sz w:val="18"/>
                <w:szCs w:val="18"/>
              </w:rPr>
            </w:pPr>
            <w:r w:rsidRPr="00CB7E8A">
              <w:rPr>
                <w:sz w:val="18"/>
                <w:szCs w:val="18"/>
              </w:rPr>
              <w:t>40 000</w:t>
            </w:r>
          </w:p>
        </w:tc>
      </w:tr>
      <w:tr w:rsidR="00F234CD" w:rsidRPr="00631C1C"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CB7E8A" w:rsidRDefault="00312042" w:rsidP="00CB7E8A">
            <w:pPr>
              <w:spacing w:before="40" w:after="40"/>
              <w:rPr>
                <w:b/>
                <w:bCs/>
                <w:sz w:val="18"/>
                <w:szCs w:val="18"/>
              </w:rPr>
            </w:pPr>
            <w:r w:rsidRPr="00CB7E8A">
              <w:rPr>
                <w:b/>
                <w:bCs/>
                <w:sz w:val="18"/>
                <w:szCs w:val="18"/>
              </w:rPr>
              <w:t xml:space="preserve">14. Legal and policy activities </w:t>
            </w:r>
          </w:p>
        </w:tc>
        <w:tc>
          <w:tcPr>
            <w:tcW w:w="1275" w:type="dxa"/>
            <w:tcBorders>
              <w:bottom w:val="single" w:sz="4" w:space="0" w:color="auto"/>
            </w:tcBorders>
            <w:shd w:val="clear" w:color="000000" w:fill="B4C6E7"/>
            <w:noWrap/>
            <w:vAlign w:val="center"/>
            <w:hideMark/>
          </w:tcPr>
          <w:p w14:paraId="3966DB9A"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A0363FC"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F1F8780"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79E01E1" w14:textId="77777777" w:rsidR="00312042" w:rsidRPr="00CB7E8A" w:rsidRDefault="00312042" w:rsidP="00CB7E8A">
            <w:pPr>
              <w:spacing w:before="40" w:after="40"/>
              <w:jc w:val="right"/>
              <w:rPr>
                <w:b/>
                <w:bCs/>
                <w:sz w:val="18"/>
                <w:szCs w:val="18"/>
              </w:rPr>
            </w:pPr>
            <w:r w:rsidRPr="00CB7E8A">
              <w:rPr>
                <w:b/>
                <w:bCs/>
                <w:sz w:val="18"/>
                <w:szCs w:val="18"/>
              </w:rPr>
              <w:t>36 000</w:t>
            </w:r>
          </w:p>
        </w:tc>
        <w:tc>
          <w:tcPr>
            <w:tcW w:w="1134" w:type="dxa"/>
            <w:tcBorders>
              <w:bottom w:val="single" w:sz="4" w:space="0" w:color="auto"/>
            </w:tcBorders>
            <w:shd w:val="clear" w:color="000000" w:fill="B4C6E7"/>
            <w:noWrap/>
            <w:vAlign w:val="center"/>
            <w:hideMark/>
          </w:tcPr>
          <w:p w14:paraId="33BB0069" w14:textId="77777777" w:rsidR="00312042" w:rsidRPr="00CB7E8A" w:rsidRDefault="00312042" w:rsidP="00CB7E8A">
            <w:pPr>
              <w:spacing w:before="40" w:after="40"/>
              <w:jc w:val="right"/>
              <w:rPr>
                <w:b/>
                <w:bCs/>
                <w:sz w:val="18"/>
                <w:szCs w:val="18"/>
              </w:rPr>
            </w:pPr>
            <w:r w:rsidRPr="00CB7E8A">
              <w:rPr>
                <w:b/>
                <w:bCs/>
                <w:sz w:val="18"/>
                <w:szCs w:val="18"/>
              </w:rPr>
              <w:t>60 000</w:t>
            </w:r>
          </w:p>
        </w:tc>
        <w:tc>
          <w:tcPr>
            <w:tcW w:w="1245" w:type="dxa"/>
            <w:tcBorders>
              <w:bottom w:val="single" w:sz="4" w:space="0" w:color="auto"/>
            </w:tcBorders>
            <w:shd w:val="clear" w:color="000000" w:fill="B4C6E7"/>
            <w:noWrap/>
            <w:vAlign w:val="center"/>
            <w:hideMark/>
          </w:tcPr>
          <w:p w14:paraId="280B96A9" w14:textId="77777777" w:rsidR="00312042" w:rsidRPr="00CB7E8A" w:rsidRDefault="00312042" w:rsidP="00CB7E8A">
            <w:pPr>
              <w:spacing w:before="40" w:after="40"/>
              <w:jc w:val="right"/>
              <w:rPr>
                <w:b/>
                <w:bCs/>
                <w:sz w:val="18"/>
                <w:szCs w:val="18"/>
              </w:rPr>
            </w:pPr>
            <w:r w:rsidRPr="00CB7E8A">
              <w:rPr>
                <w:b/>
                <w:bCs/>
                <w:sz w:val="18"/>
                <w:szCs w:val="18"/>
              </w:rPr>
              <w:t>96 000</w:t>
            </w:r>
          </w:p>
        </w:tc>
      </w:tr>
      <w:tr w:rsidR="00F234CD" w:rsidRPr="00631C1C"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CB7E8A" w:rsidRDefault="00312042" w:rsidP="00CB7E8A">
            <w:pPr>
              <w:spacing w:before="40" w:after="40"/>
              <w:ind w:firstLineChars="100" w:firstLine="181"/>
              <w:rPr>
                <w:b/>
                <w:bCs/>
                <w:sz w:val="18"/>
                <w:szCs w:val="18"/>
              </w:rPr>
            </w:pPr>
            <w:r w:rsidRPr="00CB7E8A">
              <w:rPr>
                <w:b/>
                <w:bCs/>
                <w:sz w:val="18"/>
                <w:szCs w:val="18"/>
              </w:rPr>
              <w:t>Total (F)</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E782F40" w14:textId="77777777" w:rsidR="00312042" w:rsidRPr="00CB7E8A" w:rsidRDefault="00312042" w:rsidP="00CB7E8A">
            <w:pPr>
              <w:spacing w:before="40" w:after="40"/>
              <w:jc w:val="right"/>
              <w:rPr>
                <w:b/>
                <w:bCs/>
                <w:sz w:val="18"/>
                <w:szCs w:val="18"/>
              </w:rPr>
            </w:pPr>
            <w:r w:rsidRPr="00CB7E8A">
              <w:rPr>
                <w:b/>
                <w:bCs/>
                <w:sz w:val="18"/>
                <w:szCs w:val="18"/>
              </w:rPr>
              <w:t>36 000</w:t>
            </w:r>
          </w:p>
        </w:tc>
        <w:tc>
          <w:tcPr>
            <w:tcW w:w="1134" w:type="dxa"/>
            <w:tcBorders>
              <w:top w:val="single" w:sz="4" w:space="0" w:color="auto"/>
              <w:bottom w:val="single" w:sz="4" w:space="0" w:color="auto"/>
            </w:tcBorders>
            <w:shd w:val="clear" w:color="000000" w:fill="DBB731"/>
            <w:noWrap/>
            <w:vAlign w:val="center"/>
            <w:hideMark/>
          </w:tcPr>
          <w:p w14:paraId="33B95389" w14:textId="77777777" w:rsidR="00312042" w:rsidRPr="00CB7E8A" w:rsidRDefault="00312042" w:rsidP="00CB7E8A">
            <w:pPr>
              <w:spacing w:before="40" w:after="40"/>
              <w:jc w:val="right"/>
              <w:rPr>
                <w:b/>
                <w:bCs/>
                <w:sz w:val="18"/>
                <w:szCs w:val="18"/>
              </w:rPr>
            </w:pPr>
            <w:r w:rsidRPr="00CB7E8A">
              <w:rPr>
                <w:b/>
                <w:bCs/>
                <w:sz w:val="18"/>
                <w:szCs w:val="18"/>
              </w:rPr>
              <w:t>60 000</w:t>
            </w:r>
          </w:p>
        </w:tc>
        <w:tc>
          <w:tcPr>
            <w:tcW w:w="1245" w:type="dxa"/>
            <w:tcBorders>
              <w:top w:val="single" w:sz="4" w:space="0" w:color="auto"/>
              <w:bottom w:val="single" w:sz="4" w:space="0" w:color="auto"/>
            </w:tcBorders>
            <w:shd w:val="clear" w:color="000000" w:fill="DBB731"/>
            <w:noWrap/>
            <w:vAlign w:val="center"/>
            <w:hideMark/>
          </w:tcPr>
          <w:p w14:paraId="67C68BD4" w14:textId="77777777" w:rsidR="00312042" w:rsidRPr="00CB7E8A" w:rsidRDefault="00312042" w:rsidP="00CB7E8A">
            <w:pPr>
              <w:spacing w:before="40" w:after="40"/>
              <w:jc w:val="right"/>
              <w:rPr>
                <w:b/>
                <w:bCs/>
                <w:sz w:val="18"/>
                <w:szCs w:val="18"/>
              </w:rPr>
            </w:pPr>
            <w:r w:rsidRPr="00CB7E8A">
              <w:rPr>
                <w:b/>
                <w:bCs/>
                <w:sz w:val="18"/>
                <w:szCs w:val="18"/>
              </w:rPr>
              <w:t>96 000</w:t>
            </w:r>
          </w:p>
        </w:tc>
      </w:tr>
      <w:tr w:rsidR="00F234CD" w:rsidRPr="00631C1C"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CB7E8A" w:rsidRDefault="00312042" w:rsidP="00CB7E8A">
            <w:pPr>
              <w:spacing w:before="40" w:after="40"/>
              <w:rPr>
                <w:b/>
                <w:bCs/>
                <w:sz w:val="18"/>
                <w:szCs w:val="18"/>
              </w:rPr>
            </w:pPr>
            <w:r w:rsidRPr="00CB7E8A">
              <w:rPr>
                <w:b/>
                <w:bCs/>
                <w:sz w:val="18"/>
                <w:szCs w:val="18"/>
              </w:rPr>
              <w:t>G. Office maintenance and services</w:t>
            </w:r>
          </w:p>
        </w:tc>
        <w:tc>
          <w:tcPr>
            <w:tcW w:w="1275" w:type="dxa"/>
            <w:tcBorders>
              <w:top w:val="single" w:sz="4" w:space="0" w:color="auto"/>
            </w:tcBorders>
            <w:noWrap/>
            <w:vAlign w:val="center"/>
            <w:hideMark/>
          </w:tcPr>
          <w:p w14:paraId="6E2D3F5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8E4C6EC"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5BB03A8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2C325DE"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639065AD"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3599883F" w14:textId="77777777" w:rsidR="00312042" w:rsidRPr="00CB7E8A" w:rsidRDefault="00312042" w:rsidP="00CB7E8A">
            <w:pPr>
              <w:spacing w:before="40" w:after="40"/>
              <w:jc w:val="right"/>
              <w:rPr>
                <w:b/>
                <w:bCs/>
                <w:sz w:val="18"/>
                <w:szCs w:val="18"/>
              </w:rPr>
            </w:pPr>
          </w:p>
        </w:tc>
      </w:tr>
      <w:tr w:rsidR="00F234CD" w:rsidRPr="00631C1C" w14:paraId="066DCAAF" w14:textId="77777777" w:rsidTr="00276C83">
        <w:trPr>
          <w:trHeight w:val="52"/>
          <w:jc w:val="right"/>
        </w:trPr>
        <w:tc>
          <w:tcPr>
            <w:tcW w:w="7230" w:type="dxa"/>
            <w:gridSpan w:val="2"/>
            <w:noWrap/>
            <w:vAlign w:val="center"/>
            <w:hideMark/>
          </w:tcPr>
          <w:p w14:paraId="27C9DFE6" w14:textId="77777777" w:rsidR="00312042" w:rsidRPr="00CB7E8A" w:rsidRDefault="00312042" w:rsidP="00CB7E8A">
            <w:pPr>
              <w:spacing w:before="40" w:after="40"/>
              <w:rPr>
                <w:b/>
                <w:bCs/>
                <w:sz w:val="18"/>
                <w:szCs w:val="18"/>
              </w:rPr>
            </w:pPr>
            <w:r w:rsidRPr="00CB7E8A">
              <w:rPr>
                <w:b/>
                <w:bCs/>
                <w:sz w:val="18"/>
                <w:szCs w:val="18"/>
              </w:rPr>
              <w:t>15. Office maintenance and services</w:t>
            </w:r>
          </w:p>
        </w:tc>
        <w:tc>
          <w:tcPr>
            <w:tcW w:w="1275" w:type="dxa"/>
            <w:noWrap/>
            <w:vAlign w:val="center"/>
            <w:hideMark/>
          </w:tcPr>
          <w:p w14:paraId="069F4EDA" w14:textId="77777777" w:rsidR="00312042" w:rsidRPr="00CB7E8A" w:rsidRDefault="00312042" w:rsidP="00CB7E8A">
            <w:pPr>
              <w:spacing w:before="40" w:after="40"/>
              <w:jc w:val="right"/>
              <w:rPr>
                <w:b/>
                <w:bCs/>
                <w:sz w:val="18"/>
                <w:szCs w:val="18"/>
              </w:rPr>
            </w:pPr>
          </w:p>
        </w:tc>
        <w:tc>
          <w:tcPr>
            <w:tcW w:w="1134" w:type="dxa"/>
            <w:noWrap/>
            <w:vAlign w:val="center"/>
            <w:hideMark/>
          </w:tcPr>
          <w:p w14:paraId="28A0C1EF" w14:textId="77777777" w:rsidR="00312042" w:rsidRPr="00CB7E8A" w:rsidRDefault="00312042" w:rsidP="00CB7E8A">
            <w:pPr>
              <w:spacing w:before="40" w:after="40"/>
              <w:jc w:val="right"/>
              <w:rPr>
                <w:b/>
                <w:bCs/>
                <w:sz w:val="18"/>
                <w:szCs w:val="18"/>
              </w:rPr>
            </w:pPr>
          </w:p>
        </w:tc>
        <w:tc>
          <w:tcPr>
            <w:tcW w:w="1276" w:type="dxa"/>
            <w:noWrap/>
            <w:vAlign w:val="center"/>
            <w:hideMark/>
          </w:tcPr>
          <w:p w14:paraId="3A3CC544" w14:textId="77777777" w:rsidR="00312042" w:rsidRPr="00CB7E8A" w:rsidRDefault="00312042" w:rsidP="00CB7E8A">
            <w:pPr>
              <w:spacing w:before="40" w:after="40"/>
              <w:jc w:val="right"/>
              <w:rPr>
                <w:sz w:val="18"/>
                <w:szCs w:val="18"/>
              </w:rPr>
            </w:pPr>
          </w:p>
        </w:tc>
        <w:tc>
          <w:tcPr>
            <w:tcW w:w="1134" w:type="dxa"/>
            <w:noWrap/>
            <w:vAlign w:val="center"/>
            <w:hideMark/>
          </w:tcPr>
          <w:p w14:paraId="48689A91" w14:textId="77777777" w:rsidR="00312042" w:rsidRPr="00CB7E8A" w:rsidRDefault="00312042" w:rsidP="00CB7E8A">
            <w:pPr>
              <w:spacing w:before="40" w:after="40"/>
              <w:jc w:val="right"/>
              <w:rPr>
                <w:b/>
                <w:bCs/>
                <w:sz w:val="18"/>
                <w:szCs w:val="18"/>
              </w:rPr>
            </w:pPr>
          </w:p>
        </w:tc>
        <w:tc>
          <w:tcPr>
            <w:tcW w:w="1134" w:type="dxa"/>
            <w:noWrap/>
            <w:vAlign w:val="center"/>
            <w:hideMark/>
          </w:tcPr>
          <w:p w14:paraId="6FFE96D9" w14:textId="77777777" w:rsidR="00312042" w:rsidRPr="00CB7E8A" w:rsidRDefault="00312042" w:rsidP="00CB7E8A">
            <w:pPr>
              <w:spacing w:before="40" w:after="40"/>
              <w:jc w:val="right"/>
              <w:rPr>
                <w:b/>
                <w:bCs/>
                <w:sz w:val="18"/>
                <w:szCs w:val="18"/>
              </w:rPr>
            </w:pPr>
          </w:p>
        </w:tc>
        <w:tc>
          <w:tcPr>
            <w:tcW w:w="1245" w:type="dxa"/>
            <w:noWrap/>
            <w:vAlign w:val="center"/>
            <w:hideMark/>
          </w:tcPr>
          <w:p w14:paraId="14EDEB6F" w14:textId="77777777" w:rsidR="00312042" w:rsidRPr="00CB7E8A" w:rsidRDefault="00312042" w:rsidP="00CB7E8A">
            <w:pPr>
              <w:spacing w:before="40" w:after="40"/>
              <w:jc w:val="right"/>
              <w:rPr>
                <w:sz w:val="18"/>
                <w:szCs w:val="18"/>
              </w:rPr>
            </w:pPr>
          </w:p>
        </w:tc>
      </w:tr>
      <w:tr w:rsidR="00F234CD" w:rsidRPr="00631C1C" w14:paraId="5F4D8F97" w14:textId="77777777" w:rsidTr="00276C83">
        <w:trPr>
          <w:trHeight w:val="71"/>
          <w:jc w:val="right"/>
        </w:trPr>
        <w:tc>
          <w:tcPr>
            <w:tcW w:w="284" w:type="dxa"/>
            <w:tcBorders>
              <w:top w:val="nil"/>
            </w:tcBorders>
            <w:noWrap/>
            <w:vAlign w:val="center"/>
            <w:hideMark/>
          </w:tcPr>
          <w:p w14:paraId="3D054862"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0EB6A2E8" w14:textId="77777777" w:rsidR="00312042" w:rsidRPr="00CB7E8A" w:rsidRDefault="00312042" w:rsidP="00CB7E8A">
            <w:pPr>
              <w:spacing w:before="40" w:after="40"/>
              <w:rPr>
                <w:sz w:val="18"/>
                <w:szCs w:val="18"/>
              </w:rPr>
            </w:pPr>
            <w:r w:rsidRPr="00CB7E8A">
              <w:rPr>
                <w:sz w:val="18"/>
                <w:szCs w:val="18"/>
              </w:rPr>
              <w:t>15.1. Office maintenance and services</w:t>
            </w:r>
          </w:p>
        </w:tc>
        <w:tc>
          <w:tcPr>
            <w:tcW w:w="1275" w:type="dxa"/>
            <w:tcBorders>
              <w:top w:val="nil"/>
            </w:tcBorders>
            <w:noWrap/>
            <w:vAlign w:val="center"/>
            <w:hideMark/>
          </w:tcPr>
          <w:p w14:paraId="0F9466D1" w14:textId="77777777" w:rsidR="00312042" w:rsidRPr="00CB7E8A" w:rsidRDefault="00312042" w:rsidP="00CB7E8A">
            <w:pPr>
              <w:spacing w:before="40" w:after="40"/>
              <w:jc w:val="right"/>
              <w:rPr>
                <w:sz w:val="18"/>
                <w:szCs w:val="18"/>
              </w:rPr>
            </w:pPr>
            <w:r w:rsidRPr="00CB7E8A">
              <w:rPr>
                <w:sz w:val="18"/>
                <w:szCs w:val="18"/>
              </w:rPr>
              <w:t>165 000</w:t>
            </w:r>
          </w:p>
        </w:tc>
        <w:tc>
          <w:tcPr>
            <w:tcW w:w="1134" w:type="dxa"/>
            <w:tcBorders>
              <w:top w:val="nil"/>
            </w:tcBorders>
            <w:noWrap/>
            <w:vAlign w:val="center"/>
            <w:hideMark/>
          </w:tcPr>
          <w:p w14:paraId="4B390CCF" w14:textId="77777777" w:rsidR="00312042" w:rsidRPr="00CB7E8A" w:rsidRDefault="00312042" w:rsidP="00CB7E8A">
            <w:pPr>
              <w:spacing w:before="40" w:after="40"/>
              <w:jc w:val="right"/>
              <w:rPr>
                <w:sz w:val="18"/>
                <w:szCs w:val="18"/>
              </w:rPr>
            </w:pPr>
            <w:r w:rsidRPr="00CB7E8A">
              <w:rPr>
                <w:sz w:val="18"/>
                <w:szCs w:val="18"/>
              </w:rPr>
              <w:t>165 000</w:t>
            </w:r>
          </w:p>
        </w:tc>
        <w:tc>
          <w:tcPr>
            <w:tcW w:w="1276" w:type="dxa"/>
            <w:tcBorders>
              <w:top w:val="nil"/>
            </w:tcBorders>
            <w:noWrap/>
            <w:vAlign w:val="center"/>
            <w:hideMark/>
          </w:tcPr>
          <w:p w14:paraId="66AD3378" w14:textId="77777777" w:rsidR="00312042" w:rsidRPr="00CB7E8A" w:rsidRDefault="00312042" w:rsidP="00CB7E8A">
            <w:pPr>
              <w:spacing w:before="40" w:after="40"/>
              <w:jc w:val="right"/>
              <w:rPr>
                <w:sz w:val="18"/>
                <w:szCs w:val="18"/>
              </w:rPr>
            </w:pPr>
            <w:r w:rsidRPr="00CB7E8A">
              <w:rPr>
                <w:sz w:val="18"/>
                <w:szCs w:val="18"/>
              </w:rPr>
              <w:t>330 000</w:t>
            </w:r>
          </w:p>
        </w:tc>
        <w:tc>
          <w:tcPr>
            <w:tcW w:w="1134" w:type="dxa"/>
            <w:tcBorders>
              <w:top w:val="nil"/>
            </w:tcBorders>
            <w:noWrap/>
            <w:vAlign w:val="center"/>
            <w:hideMark/>
          </w:tcPr>
          <w:p w14:paraId="1D9C6D5E"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51C82C5"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01D18E52" w14:textId="77777777" w:rsidR="00312042" w:rsidRPr="00CB7E8A" w:rsidRDefault="00312042" w:rsidP="00CB7E8A">
            <w:pPr>
              <w:spacing w:before="40" w:after="40"/>
              <w:jc w:val="right"/>
              <w:rPr>
                <w:sz w:val="18"/>
                <w:szCs w:val="18"/>
              </w:rPr>
            </w:pPr>
          </w:p>
        </w:tc>
      </w:tr>
      <w:tr w:rsidR="00F234CD" w:rsidRPr="00631C1C"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CB7E8A" w:rsidRDefault="00312042" w:rsidP="00CB7E8A">
            <w:pPr>
              <w:spacing w:before="40" w:after="40"/>
              <w:rPr>
                <w:b/>
                <w:bCs/>
                <w:sz w:val="18"/>
                <w:szCs w:val="18"/>
              </w:rPr>
            </w:pPr>
            <w:r w:rsidRPr="00CB7E8A">
              <w:rPr>
                <w:b/>
                <w:bCs/>
                <w:sz w:val="18"/>
                <w:szCs w:val="18"/>
              </w:rPr>
              <w:t>15. Office maintenance and services</w:t>
            </w:r>
          </w:p>
        </w:tc>
        <w:tc>
          <w:tcPr>
            <w:tcW w:w="1275" w:type="dxa"/>
            <w:shd w:val="clear" w:color="000000" w:fill="B4C6E7"/>
            <w:noWrap/>
            <w:vAlign w:val="center"/>
            <w:hideMark/>
          </w:tcPr>
          <w:p w14:paraId="07B833A1" w14:textId="77777777" w:rsidR="00312042" w:rsidRPr="00CB7E8A" w:rsidRDefault="00312042" w:rsidP="00CB7E8A">
            <w:pPr>
              <w:spacing w:before="40" w:after="40"/>
              <w:jc w:val="right"/>
              <w:rPr>
                <w:b/>
                <w:bCs/>
                <w:sz w:val="18"/>
                <w:szCs w:val="18"/>
              </w:rPr>
            </w:pPr>
            <w:r w:rsidRPr="00CB7E8A">
              <w:rPr>
                <w:b/>
                <w:bCs/>
                <w:sz w:val="18"/>
                <w:szCs w:val="18"/>
              </w:rPr>
              <w:t>165 000</w:t>
            </w:r>
          </w:p>
        </w:tc>
        <w:tc>
          <w:tcPr>
            <w:tcW w:w="1134" w:type="dxa"/>
            <w:shd w:val="clear" w:color="000000" w:fill="B4C6E7"/>
            <w:noWrap/>
            <w:vAlign w:val="center"/>
            <w:hideMark/>
          </w:tcPr>
          <w:p w14:paraId="40A15A4A" w14:textId="77777777" w:rsidR="00312042" w:rsidRPr="00CB7E8A" w:rsidRDefault="00312042" w:rsidP="00CB7E8A">
            <w:pPr>
              <w:spacing w:before="40" w:after="40"/>
              <w:jc w:val="right"/>
              <w:rPr>
                <w:b/>
                <w:bCs/>
                <w:sz w:val="18"/>
                <w:szCs w:val="18"/>
              </w:rPr>
            </w:pPr>
            <w:r w:rsidRPr="00CB7E8A">
              <w:rPr>
                <w:b/>
                <w:bCs/>
                <w:sz w:val="18"/>
                <w:szCs w:val="18"/>
              </w:rPr>
              <w:t>165 000</w:t>
            </w:r>
          </w:p>
        </w:tc>
        <w:tc>
          <w:tcPr>
            <w:tcW w:w="1276" w:type="dxa"/>
            <w:shd w:val="clear" w:color="000000" w:fill="B4C6E7"/>
            <w:noWrap/>
            <w:vAlign w:val="center"/>
            <w:hideMark/>
          </w:tcPr>
          <w:p w14:paraId="0911A892" w14:textId="77777777" w:rsidR="00312042" w:rsidRPr="00CB7E8A" w:rsidRDefault="00312042" w:rsidP="00CB7E8A">
            <w:pPr>
              <w:spacing w:before="40" w:after="40"/>
              <w:jc w:val="right"/>
              <w:rPr>
                <w:b/>
                <w:bCs/>
                <w:sz w:val="18"/>
                <w:szCs w:val="18"/>
              </w:rPr>
            </w:pPr>
            <w:r w:rsidRPr="00CB7E8A">
              <w:rPr>
                <w:b/>
                <w:bCs/>
                <w:sz w:val="18"/>
                <w:szCs w:val="18"/>
              </w:rPr>
              <w:t>330 000</w:t>
            </w:r>
          </w:p>
        </w:tc>
        <w:tc>
          <w:tcPr>
            <w:tcW w:w="1134" w:type="dxa"/>
            <w:shd w:val="clear" w:color="000000" w:fill="B4C6E7"/>
            <w:noWrap/>
            <w:vAlign w:val="center"/>
            <w:hideMark/>
          </w:tcPr>
          <w:p w14:paraId="057C9ACC"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84B289A"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16616108" w14:textId="77777777" w:rsidR="00312042" w:rsidRPr="00CB7E8A" w:rsidRDefault="00312042" w:rsidP="00CB7E8A">
            <w:pPr>
              <w:spacing w:before="40" w:after="40"/>
              <w:jc w:val="right"/>
              <w:rPr>
                <w:b/>
                <w:bCs/>
                <w:sz w:val="18"/>
                <w:szCs w:val="18"/>
              </w:rPr>
            </w:pPr>
          </w:p>
        </w:tc>
      </w:tr>
      <w:tr w:rsidR="00F234CD" w:rsidRPr="00631C1C" w14:paraId="5432F021" w14:textId="77777777" w:rsidTr="00276C83">
        <w:trPr>
          <w:trHeight w:val="93"/>
          <w:jc w:val="right"/>
        </w:trPr>
        <w:tc>
          <w:tcPr>
            <w:tcW w:w="7230" w:type="dxa"/>
            <w:gridSpan w:val="2"/>
            <w:noWrap/>
            <w:vAlign w:val="center"/>
            <w:hideMark/>
          </w:tcPr>
          <w:p w14:paraId="5815D8FA" w14:textId="77777777" w:rsidR="00312042" w:rsidRPr="00CB7E8A" w:rsidRDefault="00312042" w:rsidP="00CB7E8A">
            <w:pPr>
              <w:spacing w:before="40" w:after="40"/>
              <w:rPr>
                <w:b/>
                <w:bCs/>
                <w:sz w:val="18"/>
                <w:szCs w:val="18"/>
              </w:rPr>
            </w:pPr>
            <w:r w:rsidRPr="00CB7E8A">
              <w:rPr>
                <w:b/>
                <w:bCs/>
                <w:sz w:val="18"/>
                <w:szCs w:val="18"/>
              </w:rPr>
              <w:t>16. Information technology services</w:t>
            </w:r>
          </w:p>
        </w:tc>
        <w:tc>
          <w:tcPr>
            <w:tcW w:w="1275" w:type="dxa"/>
            <w:noWrap/>
            <w:vAlign w:val="center"/>
            <w:hideMark/>
          </w:tcPr>
          <w:p w14:paraId="5931C85C" w14:textId="77777777" w:rsidR="00312042" w:rsidRPr="00CB7E8A" w:rsidRDefault="00312042" w:rsidP="00CB7E8A">
            <w:pPr>
              <w:spacing w:before="40" w:after="40"/>
              <w:jc w:val="right"/>
              <w:rPr>
                <w:b/>
                <w:bCs/>
                <w:sz w:val="18"/>
                <w:szCs w:val="18"/>
              </w:rPr>
            </w:pPr>
          </w:p>
        </w:tc>
        <w:tc>
          <w:tcPr>
            <w:tcW w:w="1134" w:type="dxa"/>
            <w:noWrap/>
            <w:vAlign w:val="center"/>
            <w:hideMark/>
          </w:tcPr>
          <w:p w14:paraId="65E04D95" w14:textId="77777777" w:rsidR="00312042" w:rsidRPr="00CB7E8A" w:rsidRDefault="00312042" w:rsidP="00CB7E8A">
            <w:pPr>
              <w:spacing w:before="40" w:after="40"/>
              <w:jc w:val="right"/>
              <w:rPr>
                <w:b/>
                <w:bCs/>
                <w:sz w:val="18"/>
                <w:szCs w:val="18"/>
              </w:rPr>
            </w:pPr>
          </w:p>
        </w:tc>
        <w:tc>
          <w:tcPr>
            <w:tcW w:w="1276" w:type="dxa"/>
            <w:noWrap/>
            <w:vAlign w:val="center"/>
            <w:hideMark/>
          </w:tcPr>
          <w:p w14:paraId="690D3700" w14:textId="77777777" w:rsidR="00312042" w:rsidRPr="00CB7E8A" w:rsidRDefault="00312042" w:rsidP="00CB7E8A">
            <w:pPr>
              <w:spacing w:before="40" w:after="40"/>
              <w:jc w:val="right"/>
              <w:rPr>
                <w:b/>
                <w:bCs/>
                <w:sz w:val="18"/>
                <w:szCs w:val="18"/>
              </w:rPr>
            </w:pPr>
          </w:p>
        </w:tc>
        <w:tc>
          <w:tcPr>
            <w:tcW w:w="1134" w:type="dxa"/>
            <w:noWrap/>
            <w:vAlign w:val="center"/>
            <w:hideMark/>
          </w:tcPr>
          <w:p w14:paraId="3B03EE17" w14:textId="77777777" w:rsidR="00312042" w:rsidRPr="00CB7E8A" w:rsidRDefault="00312042" w:rsidP="00CB7E8A">
            <w:pPr>
              <w:spacing w:before="40" w:after="40"/>
              <w:jc w:val="right"/>
              <w:rPr>
                <w:b/>
                <w:bCs/>
                <w:sz w:val="18"/>
                <w:szCs w:val="18"/>
              </w:rPr>
            </w:pPr>
          </w:p>
        </w:tc>
        <w:tc>
          <w:tcPr>
            <w:tcW w:w="1134" w:type="dxa"/>
            <w:noWrap/>
            <w:vAlign w:val="center"/>
            <w:hideMark/>
          </w:tcPr>
          <w:p w14:paraId="20D1C232" w14:textId="77777777" w:rsidR="00312042" w:rsidRPr="00CB7E8A" w:rsidRDefault="00312042" w:rsidP="00CB7E8A">
            <w:pPr>
              <w:spacing w:before="40" w:after="40"/>
              <w:jc w:val="right"/>
              <w:rPr>
                <w:b/>
                <w:bCs/>
                <w:sz w:val="18"/>
                <w:szCs w:val="18"/>
              </w:rPr>
            </w:pPr>
          </w:p>
        </w:tc>
        <w:tc>
          <w:tcPr>
            <w:tcW w:w="1245" w:type="dxa"/>
            <w:noWrap/>
            <w:vAlign w:val="center"/>
            <w:hideMark/>
          </w:tcPr>
          <w:p w14:paraId="2A13C9D6" w14:textId="77777777" w:rsidR="00312042" w:rsidRPr="00CB7E8A" w:rsidRDefault="00312042" w:rsidP="00CB7E8A">
            <w:pPr>
              <w:spacing w:before="40" w:after="40"/>
              <w:jc w:val="right"/>
              <w:rPr>
                <w:b/>
                <w:bCs/>
                <w:sz w:val="18"/>
                <w:szCs w:val="18"/>
              </w:rPr>
            </w:pPr>
          </w:p>
        </w:tc>
      </w:tr>
      <w:tr w:rsidR="00F234CD" w:rsidRPr="00631C1C" w14:paraId="2C7751F3" w14:textId="77777777" w:rsidTr="00276C83">
        <w:trPr>
          <w:trHeight w:val="97"/>
          <w:jc w:val="right"/>
        </w:trPr>
        <w:tc>
          <w:tcPr>
            <w:tcW w:w="284" w:type="dxa"/>
            <w:tcBorders>
              <w:top w:val="nil"/>
            </w:tcBorders>
            <w:noWrap/>
            <w:vAlign w:val="center"/>
            <w:hideMark/>
          </w:tcPr>
          <w:p w14:paraId="41331694"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5FF5F784" w14:textId="1EBCFA1B" w:rsidR="00312042" w:rsidRPr="00CB7E8A" w:rsidRDefault="00312042" w:rsidP="00CB7E8A">
            <w:pPr>
              <w:spacing w:before="40" w:after="40"/>
              <w:rPr>
                <w:sz w:val="18"/>
                <w:szCs w:val="18"/>
              </w:rPr>
            </w:pPr>
            <w:r w:rsidRPr="00CB7E8A">
              <w:rPr>
                <w:sz w:val="18"/>
                <w:szCs w:val="18"/>
              </w:rPr>
              <w:t>16.1</w:t>
            </w:r>
            <w:r w:rsidR="006512CC" w:rsidRPr="00CB7E8A">
              <w:rPr>
                <w:sz w:val="18"/>
                <w:szCs w:val="18"/>
              </w:rPr>
              <w:t>.</w:t>
            </w:r>
            <w:r w:rsidRPr="00CB7E8A">
              <w:rPr>
                <w:sz w:val="18"/>
                <w:szCs w:val="18"/>
              </w:rPr>
              <w:t xml:space="preserve"> Information technology services</w:t>
            </w:r>
          </w:p>
        </w:tc>
        <w:tc>
          <w:tcPr>
            <w:tcW w:w="1275" w:type="dxa"/>
            <w:tcBorders>
              <w:top w:val="nil"/>
            </w:tcBorders>
            <w:noWrap/>
            <w:vAlign w:val="center"/>
            <w:hideMark/>
          </w:tcPr>
          <w:p w14:paraId="7A25754A" w14:textId="77777777" w:rsidR="00312042" w:rsidRPr="00CB7E8A" w:rsidRDefault="00312042" w:rsidP="00CB7E8A">
            <w:pPr>
              <w:spacing w:before="40" w:after="40"/>
              <w:jc w:val="right"/>
              <w:rPr>
                <w:sz w:val="18"/>
                <w:szCs w:val="18"/>
              </w:rPr>
            </w:pPr>
            <w:r w:rsidRPr="00CB7E8A">
              <w:rPr>
                <w:sz w:val="18"/>
                <w:szCs w:val="18"/>
              </w:rPr>
              <w:t>60 500</w:t>
            </w:r>
          </w:p>
        </w:tc>
        <w:tc>
          <w:tcPr>
            <w:tcW w:w="1134" w:type="dxa"/>
            <w:tcBorders>
              <w:top w:val="nil"/>
            </w:tcBorders>
            <w:noWrap/>
            <w:vAlign w:val="center"/>
            <w:hideMark/>
          </w:tcPr>
          <w:p w14:paraId="0A119F22" w14:textId="77777777" w:rsidR="00312042" w:rsidRPr="00CB7E8A" w:rsidRDefault="00312042" w:rsidP="00CB7E8A">
            <w:pPr>
              <w:spacing w:before="40" w:after="40"/>
              <w:jc w:val="right"/>
              <w:rPr>
                <w:sz w:val="18"/>
                <w:szCs w:val="18"/>
              </w:rPr>
            </w:pPr>
            <w:r w:rsidRPr="00CB7E8A">
              <w:rPr>
                <w:sz w:val="18"/>
                <w:szCs w:val="18"/>
              </w:rPr>
              <w:t>60 500</w:t>
            </w:r>
          </w:p>
        </w:tc>
        <w:tc>
          <w:tcPr>
            <w:tcW w:w="1276" w:type="dxa"/>
            <w:tcBorders>
              <w:top w:val="nil"/>
            </w:tcBorders>
            <w:noWrap/>
            <w:vAlign w:val="center"/>
            <w:hideMark/>
          </w:tcPr>
          <w:p w14:paraId="61128995" w14:textId="77777777" w:rsidR="00312042" w:rsidRPr="00CB7E8A" w:rsidRDefault="00312042" w:rsidP="00CB7E8A">
            <w:pPr>
              <w:spacing w:before="40" w:after="40"/>
              <w:jc w:val="right"/>
              <w:rPr>
                <w:sz w:val="18"/>
                <w:szCs w:val="18"/>
              </w:rPr>
            </w:pPr>
            <w:r w:rsidRPr="00CB7E8A">
              <w:rPr>
                <w:sz w:val="18"/>
                <w:szCs w:val="18"/>
              </w:rPr>
              <w:t>121 000</w:t>
            </w:r>
          </w:p>
        </w:tc>
        <w:tc>
          <w:tcPr>
            <w:tcW w:w="1134" w:type="dxa"/>
            <w:tcBorders>
              <w:top w:val="nil"/>
            </w:tcBorders>
            <w:noWrap/>
            <w:vAlign w:val="center"/>
            <w:hideMark/>
          </w:tcPr>
          <w:p w14:paraId="1F34F5BE"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DC440FB"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7CFDB78B" w14:textId="77777777" w:rsidR="00312042" w:rsidRPr="00CB7E8A" w:rsidRDefault="00312042" w:rsidP="00CB7E8A">
            <w:pPr>
              <w:spacing w:before="40" w:after="40"/>
              <w:jc w:val="right"/>
              <w:rPr>
                <w:sz w:val="18"/>
                <w:szCs w:val="18"/>
              </w:rPr>
            </w:pPr>
          </w:p>
        </w:tc>
      </w:tr>
      <w:tr w:rsidR="00F234CD" w:rsidRPr="00631C1C" w14:paraId="188086DC" w14:textId="77777777" w:rsidTr="004E3497">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CB7E8A" w:rsidRDefault="00312042" w:rsidP="00CB7E8A">
            <w:pPr>
              <w:spacing w:before="40" w:after="40"/>
              <w:rPr>
                <w:b/>
                <w:bCs/>
                <w:sz w:val="18"/>
                <w:szCs w:val="18"/>
              </w:rPr>
            </w:pPr>
            <w:r w:rsidRPr="00CB7E8A">
              <w:rPr>
                <w:b/>
                <w:bCs/>
                <w:sz w:val="18"/>
                <w:szCs w:val="18"/>
              </w:rPr>
              <w:t>16. Information technology services</w:t>
            </w:r>
          </w:p>
        </w:tc>
        <w:tc>
          <w:tcPr>
            <w:tcW w:w="1275" w:type="dxa"/>
            <w:tcBorders>
              <w:bottom w:val="single" w:sz="4" w:space="0" w:color="auto"/>
            </w:tcBorders>
            <w:shd w:val="clear" w:color="000000" w:fill="B4C6E7"/>
            <w:noWrap/>
            <w:vAlign w:val="center"/>
            <w:hideMark/>
          </w:tcPr>
          <w:p w14:paraId="37299002" w14:textId="77777777" w:rsidR="00312042" w:rsidRPr="00CB7E8A" w:rsidRDefault="00312042" w:rsidP="00CB7E8A">
            <w:pPr>
              <w:spacing w:before="40" w:after="40"/>
              <w:jc w:val="right"/>
              <w:rPr>
                <w:b/>
                <w:bCs/>
                <w:sz w:val="18"/>
                <w:szCs w:val="18"/>
              </w:rPr>
            </w:pPr>
            <w:r w:rsidRPr="00CB7E8A">
              <w:rPr>
                <w:b/>
                <w:bCs/>
                <w:sz w:val="18"/>
                <w:szCs w:val="18"/>
              </w:rPr>
              <w:t>60 500</w:t>
            </w:r>
          </w:p>
        </w:tc>
        <w:tc>
          <w:tcPr>
            <w:tcW w:w="1134" w:type="dxa"/>
            <w:tcBorders>
              <w:bottom w:val="single" w:sz="4" w:space="0" w:color="auto"/>
            </w:tcBorders>
            <w:shd w:val="clear" w:color="000000" w:fill="B4C6E7"/>
            <w:noWrap/>
            <w:vAlign w:val="center"/>
            <w:hideMark/>
          </w:tcPr>
          <w:p w14:paraId="50867212" w14:textId="77777777" w:rsidR="00312042" w:rsidRPr="00CB7E8A" w:rsidRDefault="00312042" w:rsidP="00CB7E8A">
            <w:pPr>
              <w:spacing w:before="40" w:after="40"/>
              <w:jc w:val="right"/>
              <w:rPr>
                <w:b/>
                <w:bCs/>
                <w:sz w:val="18"/>
                <w:szCs w:val="18"/>
              </w:rPr>
            </w:pPr>
            <w:r w:rsidRPr="00CB7E8A">
              <w:rPr>
                <w:b/>
                <w:bCs/>
                <w:sz w:val="18"/>
                <w:szCs w:val="18"/>
              </w:rPr>
              <w:t>60 500</w:t>
            </w:r>
          </w:p>
        </w:tc>
        <w:tc>
          <w:tcPr>
            <w:tcW w:w="1276" w:type="dxa"/>
            <w:tcBorders>
              <w:bottom w:val="single" w:sz="4" w:space="0" w:color="auto"/>
            </w:tcBorders>
            <w:shd w:val="clear" w:color="000000" w:fill="B4C6E7"/>
            <w:noWrap/>
            <w:vAlign w:val="center"/>
            <w:hideMark/>
          </w:tcPr>
          <w:p w14:paraId="50D2F21B" w14:textId="77777777" w:rsidR="00312042" w:rsidRPr="00CB7E8A" w:rsidRDefault="00312042" w:rsidP="00CB7E8A">
            <w:pPr>
              <w:spacing w:before="40" w:after="40"/>
              <w:jc w:val="right"/>
              <w:rPr>
                <w:b/>
                <w:bCs/>
                <w:sz w:val="18"/>
                <w:szCs w:val="18"/>
              </w:rPr>
            </w:pPr>
            <w:r w:rsidRPr="00CB7E8A">
              <w:rPr>
                <w:b/>
                <w:bCs/>
                <w:sz w:val="18"/>
                <w:szCs w:val="18"/>
              </w:rPr>
              <w:t>121 000</w:t>
            </w:r>
          </w:p>
        </w:tc>
        <w:tc>
          <w:tcPr>
            <w:tcW w:w="1134" w:type="dxa"/>
            <w:tcBorders>
              <w:bottom w:val="single" w:sz="4" w:space="0" w:color="auto"/>
            </w:tcBorders>
            <w:shd w:val="clear" w:color="000000" w:fill="B4C6E7"/>
            <w:noWrap/>
            <w:vAlign w:val="center"/>
            <w:hideMark/>
          </w:tcPr>
          <w:p w14:paraId="479EE048"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50F0844"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1CBCF7F1" w14:textId="77777777" w:rsidR="00312042" w:rsidRPr="00CB7E8A" w:rsidRDefault="00312042" w:rsidP="00CB7E8A">
            <w:pPr>
              <w:spacing w:before="40" w:after="40"/>
              <w:jc w:val="right"/>
              <w:rPr>
                <w:b/>
                <w:bCs/>
                <w:sz w:val="18"/>
                <w:szCs w:val="18"/>
              </w:rPr>
            </w:pPr>
          </w:p>
        </w:tc>
      </w:tr>
      <w:tr w:rsidR="00F234CD" w:rsidRPr="00631C1C" w14:paraId="436DCCC7"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CB7E8A" w:rsidRDefault="00312042" w:rsidP="00CB7E8A">
            <w:pPr>
              <w:spacing w:before="40" w:after="40"/>
              <w:ind w:firstLineChars="100" w:firstLine="181"/>
              <w:rPr>
                <w:b/>
                <w:bCs/>
                <w:sz w:val="18"/>
                <w:szCs w:val="18"/>
              </w:rPr>
            </w:pPr>
            <w:r w:rsidRPr="00CB7E8A">
              <w:rPr>
                <w:b/>
                <w:bCs/>
                <w:sz w:val="18"/>
                <w:szCs w:val="18"/>
              </w:rPr>
              <w:t>Total (G)</w:t>
            </w:r>
          </w:p>
        </w:tc>
        <w:tc>
          <w:tcPr>
            <w:tcW w:w="1275" w:type="dxa"/>
            <w:tcBorders>
              <w:top w:val="single" w:sz="4" w:space="0" w:color="auto"/>
              <w:bottom w:val="single" w:sz="4" w:space="0" w:color="auto"/>
            </w:tcBorders>
            <w:shd w:val="clear" w:color="000000" w:fill="DBB731"/>
            <w:noWrap/>
            <w:vAlign w:val="center"/>
            <w:hideMark/>
          </w:tcPr>
          <w:p w14:paraId="5D621EEA" w14:textId="77777777" w:rsidR="00312042" w:rsidRPr="00CB7E8A" w:rsidRDefault="00312042" w:rsidP="00CB7E8A">
            <w:pPr>
              <w:spacing w:before="40" w:after="40"/>
              <w:jc w:val="right"/>
              <w:rPr>
                <w:b/>
                <w:bCs/>
                <w:sz w:val="18"/>
                <w:szCs w:val="18"/>
              </w:rPr>
            </w:pPr>
            <w:r w:rsidRPr="00CB7E8A">
              <w:rPr>
                <w:b/>
                <w:bCs/>
                <w:sz w:val="18"/>
                <w:szCs w:val="18"/>
              </w:rPr>
              <w:t>225 500</w:t>
            </w:r>
          </w:p>
        </w:tc>
        <w:tc>
          <w:tcPr>
            <w:tcW w:w="1134" w:type="dxa"/>
            <w:tcBorders>
              <w:top w:val="single" w:sz="4" w:space="0" w:color="auto"/>
              <w:bottom w:val="single" w:sz="4" w:space="0" w:color="auto"/>
            </w:tcBorders>
            <w:shd w:val="clear" w:color="000000" w:fill="DBB731"/>
            <w:noWrap/>
            <w:vAlign w:val="center"/>
            <w:hideMark/>
          </w:tcPr>
          <w:p w14:paraId="1848D1C0" w14:textId="77777777" w:rsidR="00312042" w:rsidRPr="00CB7E8A" w:rsidRDefault="00312042" w:rsidP="00CB7E8A">
            <w:pPr>
              <w:spacing w:before="40" w:after="40"/>
              <w:jc w:val="right"/>
              <w:rPr>
                <w:b/>
                <w:bCs/>
                <w:sz w:val="18"/>
                <w:szCs w:val="18"/>
              </w:rPr>
            </w:pPr>
            <w:r w:rsidRPr="00CB7E8A">
              <w:rPr>
                <w:b/>
                <w:bCs/>
                <w:sz w:val="18"/>
                <w:szCs w:val="18"/>
              </w:rPr>
              <w:t>225 500</w:t>
            </w:r>
          </w:p>
        </w:tc>
        <w:tc>
          <w:tcPr>
            <w:tcW w:w="1276" w:type="dxa"/>
            <w:tcBorders>
              <w:top w:val="single" w:sz="4" w:space="0" w:color="auto"/>
              <w:bottom w:val="single" w:sz="4" w:space="0" w:color="auto"/>
            </w:tcBorders>
            <w:shd w:val="clear" w:color="000000" w:fill="DBB731"/>
            <w:noWrap/>
            <w:vAlign w:val="center"/>
            <w:hideMark/>
          </w:tcPr>
          <w:p w14:paraId="3CA364F4" w14:textId="77777777" w:rsidR="00312042" w:rsidRPr="00CB7E8A" w:rsidRDefault="00312042" w:rsidP="00CB7E8A">
            <w:pPr>
              <w:spacing w:before="40" w:after="40"/>
              <w:jc w:val="right"/>
              <w:rPr>
                <w:b/>
                <w:bCs/>
                <w:sz w:val="18"/>
                <w:szCs w:val="18"/>
              </w:rPr>
            </w:pPr>
            <w:r w:rsidRPr="00CB7E8A">
              <w:rPr>
                <w:b/>
                <w:bCs/>
                <w:sz w:val="18"/>
                <w:szCs w:val="18"/>
              </w:rPr>
              <w:t>451 000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CB7E8A" w:rsidRDefault="00312042" w:rsidP="00CB7E8A">
            <w:pPr>
              <w:spacing w:before="40" w:after="40"/>
              <w:jc w:val="right"/>
              <w:rPr>
                <w:b/>
                <w:bCs/>
                <w:sz w:val="18"/>
                <w:szCs w:val="18"/>
              </w:rPr>
            </w:pPr>
          </w:p>
        </w:tc>
        <w:tc>
          <w:tcPr>
            <w:tcW w:w="1245" w:type="dxa"/>
            <w:tcBorders>
              <w:top w:val="nil"/>
            </w:tcBorders>
            <w:shd w:val="clear" w:color="000000" w:fill="DBB731"/>
            <w:noWrap/>
            <w:vAlign w:val="center"/>
            <w:hideMark/>
          </w:tcPr>
          <w:p w14:paraId="6EF83749" w14:textId="77777777" w:rsidR="00312042" w:rsidRPr="00CB7E8A" w:rsidRDefault="00312042" w:rsidP="00CB7E8A">
            <w:pPr>
              <w:spacing w:before="40" w:after="40"/>
              <w:jc w:val="right"/>
              <w:rPr>
                <w:b/>
                <w:bCs/>
                <w:sz w:val="18"/>
                <w:szCs w:val="18"/>
              </w:rPr>
            </w:pPr>
          </w:p>
        </w:tc>
      </w:tr>
      <w:tr w:rsidR="00F234CD" w:rsidRPr="00631C1C" w14:paraId="3264D794" w14:textId="77777777" w:rsidTr="00276C83">
        <w:trPr>
          <w:trHeight w:val="57"/>
          <w:jc w:val="right"/>
        </w:trPr>
        <w:tc>
          <w:tcPr>
            <w:tcW w:w="7230" w:type="dxa"/>
            <w:gridSpan w:val="2"/>
            <w:tcBorders>
              <w:top w:val="single" w:sz="4" w:space="0" w:color="auto"/>
            </w:tcBorders>
            <w:noWrap/>
            <w:vAlign w:val="center"/>
            <w:hideMark/>
          </w:tcPr>
          <w:p w14:paraId="6655BF70" w14:textId="77777777" w:rsidR="00312042" w:rsidRPr="00CB7E8A" w:rsidRDefault="00312042" w:rsidP="00DB0ECC">
            <w:pPr>
              <w:keepNext/>
              <w:keepLines/>
              <w:spacing w:before="40" w:after="40"/>
              <w:rPr>
                <w:b/>
                <w:bCs/>
                <w:sz w:val="18"/>
                <w:szCs w:val="18"/>
              </w:rPr>
            </w:pPr>
            <w:r w:rsidRPr="00CB7E8A">
              <w:rPr>
                <w:b/>
                <w:bCs/>
                <w:sz w:val="18"/>
                <w:szCs w:val="18"/>
              </w:rPr>
              <w:lastRenderedPageBreak/>
              <w:t>Resources required for all activities</w:t>
            </w:r>
          </w:p>
        </w:tc>
        <w:tc>
          <w:tcPr>
            <w:tcW w:w="1275" w:type="dxa"/>
            <w:tcBorders>
              <w:top w:val="single" w:sz="4" w:space="0" w:color="auto"/>
            </w:tcBorders>
            <w:noWrap/>
            <w:vAlign w:val="center"/>
            <w:hideMark/>
          </w:tcPr>
          <w:p w14:paraId="029E2107"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0765CE42" w14:textId="77777777" w:rsidR="00312042" w:rsidRPr="00CB7E8A" w:rsidRDefault="00312042" w:rsidP="00DB0ECC">
            <w:pPr>
              <w:keepNext/>
              <w:keepLines/>
              <w:spacing w:before="40" w:after="40"/>
              <w:jc w:val="right"/>
              <w:rPr>
                <w:b/>
                <w:bCs/>
                <w:sz w:val="18"/>
                <w:szCs w:val="18"/>
              </w:rPr>
            </w:pPr>
          </w:p>
        </w:tc>
        <w:tc>
          <w:tcPr>
            <w:tcW w:w="1276" w:type="dxa"/>
            <w:tcBorders>
              <w:top w:val="single" w:sz="4" w:space="0" w:color="auto"/>
            </w:tcBorders>
            <w:noWrap/>
            <w:vAlign w:val="center"/>
            <w:hideMark/>
          </w:tcPr>
          <w:p w14:paraId="67A65CBE"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7440E0A5"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77F6FF9E" w14:textId="77777777" w:rsidR="00312042" w:rsidRPr="00CB7E8A" w:rsidRDefault="00312042" w:rsidP="00DB0ECC">
            <w:pPr>
              <w:keepNext/>
              <w:keepLines/>
              <w:spacing w:before="40" w:after="40"/>
              <w:jc w:val="right"/>
              <w:rPr>
                <w:b/>
                <w:bCs/>
                <w:sz w:val="18"/>
                <w:szCs w:val="18"/>
              </w:rPr>
            </w:pPr>
          </w:p>
        </w:tc>
        <w:tc>
          <w:tcPr>
            <w:tcW w:w="1245" w:type="dxa"/>
            <w:noWrap/>
            <w:vAlign w:val="center"/>
            <w:hideMark/>
          </w:tcPr>
          <w:p w14:paraId="59B93CF8" w14:textId="77777777" w:rsidR="00312042" w:rsidRPr="00CB7E8A" w:rsidRDefault="00312042" w:rsidP="00DB0ECC">
            <w:pPr>
              <w:keepNext/>
              <w:keepLines/>
              <w:spacing w:before="40" w:after="40"/>
              <w:jc w:val="right"/>
              <w:rPr>
                <w:b/>
                <w:bCs/>
                <w:sz w:val="18"/>
                <w:szCs w:val="18"/>
              </w:rPr>
            </w:pPr>
          </w:p>
        </w:tc>
      </w:tr>
      <w:tr w:rsidR="00F234CD" w:rsidRPr="00631C1C" w14:paraId="224A1151" w14:textId="77777777" w:rsidTr="00276C83">
        <w:trPr>
          <w:trHeight w:val="58"/>
          <w:jc w:val="right"/>
        </w:trPr>
        <w:tc>
          <w:tcPr>
            <w:tcW w:w="7230" w:type="dxa"/>
            <w:gridSpan w:val="2"/>
            <w:noWrap/>
            <w:vAlign w:val="center"/>
            <w:hideMark/>
          </w:tcPr>
          <w:p w14:paraId="61AF084E" w14:textId="6C105B10" w:rsidR="00312042" w:rsidRPr="00CB7E8A" w:rsidRDefault="00312042" w:rsidP="00DB0ECC">
            <w:pPr>
              <w:keepNext/>
              <w:keepLines/>
              <w:spacing w:before="40" w:after="40"/>
              <w:ind w:firstLineChars="100" w:firstLine="181"/>
              <w:rPr>
                <w:b/>
                <w:bCs/>
                <w:sz w:val="18"/>
                <w:szCs w:val="18"/>
              </w:rPr>
            </w:pPr>
            <w:r w:rsidRPr="00CB7E8A">
              <w:rPr>
                <w:b/>
                <w:bCs/>
                <w:sz w:val="18"/>
                <w:szCs w:val="18"/>
              </w:rPr>
              <w:t>Total (A</w:t>
            </w:r>
            <w:r w:rsidR="008A4478" w:rsidRPr="00CB7E8A">
              <w:rPr>
                <w:b/>
                <w:bCs/>
                <w:sz w:val="18"/>
                <w:szCs w:val="18"/>
              </w:rPr>
              <w:t>–</w:t>
            </w:r>
            <w:r w:rsidRPr="00CB7E8A">
              <w:rPr>
                <w:b/>
                <w:bCs/>
                <w:sz w:val="18"/>
                <w:szCs w:val="18"/>
              </w:rPr>
              <w:t>G), excluding programme support costs</w:t>
            </w:r>
          </w:p>
        </w:tc>
        <w:tc>
          <w:tcPr>
            <w:tcW w:w="1275" w:type="dxa"/>
            <w:noWrap/>
            <w:vAlign w:val="center"/>
            <w:hideMark/>
          </w:tcPr>
          <w:p w14:paraId="12DE7360" w14:textId="77777777" w:rsidR="00312042" w:rsidRPr="00CB7E8A" w:rsidRDefault="00312042" w:rsidP="00DB0ECC">
            <w:pPr>
              <w:keepNext/>
              <w:keepLines/>
              <w:spacing w:before="40" w:after="40"/>
              <w:jc w:val="right"/>
              <w:rPr>
                <w:sz w:val="18"/>
                <w:szCs w:val="18"/>
              </w:rPr>
            </w:pPr>
            <w:r w:rsidRPr="00CB7E8A">
              <w:rPr>
                <w:sz w:val="18"/>
                <w:szCs w:val="18"/>
              </w:rPr>
              <w:t>3 384 057</w:t>
            </w:r>
          </w:p>
        </w:tc>
        <w:tc>
          <w:tcPr>
            <w:tcW w:w="1134" w:type="dxa"/>
            <w:noWrap/>
            <w:vAlign w:val="center"/>
            <w:hideMark/>
          </w:tcPr>
          <w:p w14:paraId="7AFCF7F2" w14:textId="77777777" w:rsidR="00312042" w:rsidRPr="00CB7E8A" w:rsidRDefault="00312042" w:rsidP="00DB0ECC">
            <w:pPr>
              <w:keepNext/>
              <w:keepLines/>
              <w:spacing w:before="40" w:after="40"/>
              <w:jc w:val="right"/>
              <w:rPr>
                <w:sz w:val="18"/>
                <w:szCs w:val="18"/>
              </w:rPr>
            </w:pPr>
            <w:r w:rsidRPr="00CB7E8A">
              <w:rPr>
                <w:sz w:val="18"/>
                <w:szCs w:val="18"/>
              </w:rPr>
              <w:t>4 162 495</w:t>
            </w:r>
          </w:p>
        </w:tc>
        <w:tc>
          <w:tcPr>
            <w:tcW w:w="1276" w:type="dxa"/>
            <w:noWrap/>
            <w:vAlign w:val="center"/>
            <w:hideMark/>
          </w:tcPr>
          <w:p w14:paraId="55C10975" w14:textId="77777777" w:rsidR="00312042" w:rsidRPr="00CB7E8A" w:rsidRDefault="00312042" w:rsidP="00DB0ECC">
            <w:pPr>
              <w:keepNext/>
              <w:keepLines/>
              <w:spacing w:before="40" w:after="40"/>
              <w:jc w:val="right"/>
              <w:rPr>
                <w:sz w:val="18"/>
                <w:szCs w:val="18"/>
              </w:rPr>
            </w:pPr>
            <w:r w:rsidRPr="00CB7E8A">
              <w:rPr>
                <w:sz w:val="18"/>
                <w:szCs w:val="18"/>
              </w:rPr>
              <w:t>7 546 552</w:t>
            </w:r>
          </w:p>
        </w:tc>
        <w:tc>
          <w:tcPr>
            <w:tcW w:w="1134" w:type="dxa"/>
            <w:noWrap/>
            <w:vAlign w:val="center"/>
            <w:hideMark/>
          </w:tcPr>
          <w:p w14:paraId="6994A1CC" w14:textId="77777777" w:rsidR="00312042" w:rsidRPr="00CB7E8A" w:rsidRDefault="00312042" w:rsidP="00DB0ECC">
            <w:pPr>
              <w:keepNext/>
              <w:keepLines/>
              <w:spacing w:before="40" w:after="40"/>
              <w:jc w:val="right"/>
              <w:rPr>
                <w:sz w:val="18"/>
                <w:szCs w:val="18"/>
              </w:rPr>
            </w:pPr>
            <w:r w:rsidRPr="00CB7E8A">
              <w:rPr>
                <w:sz w:val="18"/>
                <w:szCs w:val="18"/>
              </w:rPr>
              <w:t>1 839 500</w:t>
            </w:r>
          </w:p>
        </w:tc>
        <w:tc>
          <w:tcPr>
            <w:tcW w:w="1134" w:type="dxa"/>
            <w:noWrap/>
            <w:vAlign w:val="center"/>
            <w:hideMark/>
          </w:tcPr>
          <w:p w14:paraId="060FF637" w14:textId="77777777" w:rsidR="00312042" w:rsidRPr="00CB7E8A" w:rsidRDefault="00312042" w:rsidP="00DB0ECC">
            <w:pPr>
              <w:keepNext/>
              <w:keepLines/>
              <w:spacing w:before="40" w:after="40"/>
              <w:jc w:val="right"/>
              <w:rPr>
                <w:sz w:val="18"/>
                <w:szCs w:val="18"/>
              </w:rPr>
            </w:pPr>
            <w:r w:rsidRPr="00CB7E8A">
              <w:rPr>
                <w:sz w:val="18"/>
                <w:szCs w:val="18"/>
              </w:rPr>
              <w:t>2 489 500</w:t>
            </w:r>
          </w:p>
        </w:tc>
        <w:tc>
          <w:tcPr>
            <w:tcW w:w="1245" w:type="dxa"/>
            <w:noWrap/>
            <w:vAlign w:val="center"/>
            <w:hideMark/>
          </w:tcPr>
          <w:p w14:paraId="2D654D0F" w14:textId="77777777" w:rsidR="00312042" w:rsidRPr="00CB7E8A" w:rsidRDefault="00312042" w:rsidP="00DB0ECC">
            <w:pPr>
              <w:keepNext/>
              <w:keepLines/>
              <w:spacing w:before="40" w:after="40"/>
              <w:jc w:val="right"/>
              <w:rPr>
                <w:sz w:val="18"/>
                <w:szCs w:val="18"/>
              </w:rPr>
            </w:pPr>
            <w:r w:rsidRPr="00CB7E8A">
              <w:rPr>
                <w:sz w:val="18"/>
                <w:szCs w:val="18"/>
              </w:rPr>
              <w:t>4 329 000</w:t>
            </w:r>
          </w:p>
        </w:tc>
      </w:tr>
      <w:tr w:rsidR="00F234CD" w:rsidRPr="00631C1C" w14:paraId="763EB4BD" w14:textId="77777777" w:rsidTr="00DD753D">
        <w:trPr>
          <w:trHeight w:val="315"/>
          <w:jc w:val="right"/>
        </w:trPr>
        <w:tc>
          <w:tcPr>
            <w:tcW w:w="7230" w:type="dxa"/>
            <w:gridSpan w:val="2"/>
            <w:tcBorders>
              <w:bottom w:val="single" w:sz="4" w:space="0" w:color="auto"/>
            </w:tcBorders>
            <w:noWrap/>
            <w:vAlign w:val="center"/>
            <w:hideMark/>
          </w:tcPr>
          <w:p w14:paraId="0E87143D" w14:textId="3DC633EF" w:rsidR="00312042" w:rsidRPr="00CB7E8A" w:rsidRDefault="00312042" w:rsidP="00DB0ECC">
            <w:pPr>
              <w:keepNext/>
              <w:keepLines/>
              <w:spacing w:before="40" w:after="40"/>
              <w:rPr>
                <w:sz w:val="18"/>
                <w:szCs w:val="18"/>
              </w:rPr>
            </w:pPr>
            <w:r w:rsidRPr="00CB7E8A">
              <w:rPr>
                <w:sz w:val="18"/>
                <w:szCs w:val="18"/>
              </w:rPr>
              <w:t>Programme support costs</w:t>
            </w:r>
          </w:p>
        </w:tc>
        <w:tc>
          <w:tcPr>
            <w:tcW w:w="1275" w:type="dxa"/>
            <w:tcBorders>
              <w:bottom w:val="single" w:sz="4" w:space="0" w:color="auto"/>
            </w:tcBorders>
            <w:noWrap/>
            <w:vAlign w:val="center"/>
            <w:hideMark/>
          </w:tcPr>
          <w:p w14:paraId="6F202A65" w14:textId="77777777" w:rsidR="00312042" w:rsidRPr="00CB7E8A" w:rsidRDefault="00312042" w:rsidP="00DB0ECC">
            <w:pPr>
              <w:keepNext/>
              <w:keepLines/>
              <w:spacing w:before="40" w:after="40"/>
              <w:jc w:val="right"/>
              <w:rPr>
                <w:sz w:val="18"/>
                <w:szCs w:val="18"/>
              </w:rPr>
            </w:pPr>
            <w:r w:rsidRPr="00CB7E8A">
              <w:rPr>
                <w:sz w:val="18"/>
                <w:szCs w:val="18"/>
              </w:rPr>
              <w:t>439 927</w:t>
            </w:r>
          </w:p>
        </w:tc>
        <w:tc>
          <w:tcPr>
            <w:tcW w:w="1134" w:type="dxa"/>
            <w:tcBorders>
              <w:bottom w:val="single" w:sz="4" w:space="0" w:color="auto"/>
            </w:tcBorders>
            <w:noWrap/>
            <w:vAlign w:val="center"/>
            <w:hideMark/>
          </w:tcPr>
          <w:p w14:paraId="40075469" w14:textId="77777777" w:rsidR="00312042" w:rsidRPr="00CB7E8A" w:rsidRDefault="00312042" w:rsidP="00DB0ECC">
            <w:pPr>
              <w:keepNext/>
              <w:keepLines/>
              <w:spacing w:before="40" w:after="40"/>
              <w:jc w:val="right"/>
              <w:rPr>
                <w:sz w:val="18"/>
                <w:szCs w:val="18"/>
              </w:rPr>
            </w:pPr>
            <w:r w:rsidRPr="00CB7E8A">
              <w:rPr>
                <w:sz w:val="18"/>
                <w:szCs w:val="18"/>
              </w:rPr>
              <w:t>541 124</w:t>
            </w:r>
          </w:p>
        </w:tc>
        <w:tc>
          <w:tcPr>
            <w:tcW w:w="1276" w:type="dxa"/>
            <w:tcBorders>
              <w:bottom w:val="single" w:sz="4" w:space="0" w:color="auto"/>
            </w:tcBorders>
            <w:noWrap/>
            <w:vAlign w:val="center"/>
            <w:hideMark/>
          </w:tcPr>
          <w:p w14:paraId="743E1363" w14:textId="77777777" w:rsidR="00312042" w:rsidRPr="00CB7E8A" w:rsidRDefault="00312042" w:rsidP="00DB0ECC">
            <w:pPr>
              <w:keepNext/>
              <w:keepLines/>
              <w:spacing w:before="40" w:after="40"/>
              <w:jc w:val="right"/>
              <w:rPr>
                <w:sz w:val="18"/>
                <w:szCs w:val="18"/>
              </w:rPr>
            </w:pPr>
            <w:r w:rsidRPr="00CB7E8A">
              <w:rPr>
                <w:sz w:val="18"/>
                <w:szCs w:val="18"/>
              </w:rPr>
              <w:t>981 052</w:t>
            </w:r>
          </w:p>
        </w:tc>
        <w:tc>
          <w:tcPr>
            <w:tcW w:w="1134" w:type="dxa"/>
            <w:tcBorders>
              <w:bottom w:val="single" w:sz="4" w:space="0" w:color="auto"/>
            </w:tcBorders>
            <w:noWrap/>
            <w:vAlign w:val="center"/>
            <w:hideMark/>
          </w:tcPr>
          <w:p w14:paraId="0C7AB59A" w14:textId="77777777" w:rsidR="00312042" w:rsidRPr="00CB7E8A" w:rsidRDefault="00312042" w:rsidP="00DB0ECC">
            <w:pPr>
              <w:keepNext/>
              <w:keepLines/>
              <w:spacing w:before="40" w:after="40"/>
              <w:jc w:val="right"/>
              <w:rPr>
                <w:sz w:val="18"/>
                <w:szCs w:val="18"/>
              </w:rPr>
            </w:pPr>
            <w:r w:rsidRPr="00CB7E8A">
              <w:rPr>
                <w:sz w:val="18"/>
                <w:szCs w:val="18"/>
              </w:rPr>
              <w:t>239 135</w:t>
            </w:r>
          </w:p>
        </w:tc>
        <w:tc>
          <w:tcPr>
            <w:tcW w:w="1134" w:type="dxa"/>
            <w:tcBorders>
              <w:bottom w:val="single" w:sz="4" w:space="0" w:color="auto"/>
            </w:tcBorders>
            <w:noWrap/>
            <w:vAlign w:val="center"/>
            <w:hideMark/>
          </w:tcPr>
          <w:p w14:paraId="5A959981" w14:textId="77777777" w:rsidR="00312042" w:rsidRPr="00CB7E8A" w:rsidRDefault="00312042" w:rsidP="00DB0ECC">
            <w:pPr>
              <w:keepNext/>
              <w:keepLines/>
              <w:spacing w:before="40" w:after="40"/>
              <w:jc w:val="right"/>
              <w:rPr>
                <w:sz w:val="18"/>
                <w:szCs w:val="18"/>
              </w:rPr>
            </w:pPr>
            <w:r w:rsidRPr="00CB7E8A">
              <w:rPr>
                <w:sz w:val="18"/>
                <w:szCs w:val="18"/>
              </w:rPr>
              <w:t>323 635</w:t>
            </w:r>
          </w:p>
        </w:tc>
        <w:tc>
          <w:tcPr>
            <w:tcW w:w="1245" w:type="dxa"/>
            <w:noWrap/>
            <w:vAlign w:val="center"/>
            <w:hideMark/>
          </w:tcPr>
          <w:p w14:paraId="382ECB6C" w14:textId="77777777" w:rsidR="00312042" w:rsidRPr="00CB7E8A" w:rsidRDefault="00312042" w:rsidP="00DB0ECC">
            <w:pPr>
              <w:keepNext/>
              <w:keepLines/>
              <w:spacing w:before="40" w:after="40"/>
              <w:jc w:val="right"/>
              <w:rPr>
                <w:sz w:val="18"/>
                <w:szCs w:val="18"/>
              </w:rPr>
            </w:pPr>
            <w:r w:rsidRPr="00CB7E8A">
              <w:rPr>
                <w:sz w:val="18"/>
                <w:szCs w:val="18"/>
              </w:rPr>
              <w:t>562 770</w:t>
            </w:r>
          </w:p>
        </w:tc>
      </w:tr>
      <w:tr w:rsidR="00F234CD" w:rsidRPr="00631C1C" w14:paraId="1252088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CB7E8A" w:rsidRDefault="00312042" w:rsidP="00DB0ECC">
            <w:pPr>
              <w:keepNext/>
              <w:keepLines/>
              <w:spacing w:before="40" w:after="40"/>
              <w:ind w:firstLineChars="100" w:firstLine="181"/>
              <w:rPr>
                <w:b/>
                <w:bCs/>
                <w:sz w:val="18"/>
                <w:szCs w:val="18"/>
              </w:rPr>
            </w:pPr>
            <w:r w:rsidRPr="00CB7E8A">
              <w:rPr>
                <w:b/>
                <w:bCs/>
                <w:sz w:val="18"/>
                <w:szCs w:val="18"/>
              </w:rPr>
              <w:t>Grand total (A</w:t>
            </w:r>
            <w:r w:rsidR="008A4478" w:rsidRPr="00CB7E8A">
              <w:rPr>
                <w:b/>
                <w:bCs/>
                <w:sz w:val="18"/>
                <w:szCs w:val="18"/>
              </w:rPr>
              <w:t>–</w:t>
            </w:r>
            <w:r w:rsidRPr="00CB7E8A">
              <w:rPr>
                <w:b/>
                <w:bCs/>
                <w:sz w:val="18"/>
                <w:szCs w:val="18"/>
              </w:rPr>
              <w:t>G), including programme support costs</w:t>
            </w:r>
          </w:p>
        </w:tc>
        <w:tc>
          <w:tcPr>
            <w:tcW w:w="1275" w:type="dxa"/>
            <w:tcBorders>
              <w:top w:val="single" w:sz="4" w:space="0" w:color="auto"/>
              <w:bottom w:val="single" w:sz="4" w:space="0" w:color="auto"/>
            </w:tcBorders>
            <w:shd w:val="clear" w:color="000000" w:fill="DBB731"/>
            <w:noWrap/>
            <w:vAlign w:val="center"/>
            <w:hideMark/>
          </w:tcPr>
          <w:p w14:paraId="090BF301" w14:textId="77777777" w:rsidR="00312042" w:rsidRPr="00CB7E8A" w:rsidRDefault="00312042" w:rsidP="00DB0ECC">
            <w:pPr>
              <w:keepNext/>
              <w:keepLines/>
              <w:spacing w:before="40" w:after="40"/>
              <w:jc w:val="right"/>
              <w:rPr>
                <w:b/>
                <w:bCs/>
                <w:sz w:val="18"/>
                <w:szCs w:val="18"/>
              </w:rPr>
            </w:pPr>
            <w:r w:rsidRPr="00CB7E8A">
              <w:rPr>
                <w:b/>
                <w:bCs/>
                <w:sz w:val="18"/>
                <w:szCs w:val="18"/>
              </w:rPr>
              <w:t>3 823 984</w:t>
            </w:r>
          </w:p>
        </w:tc>
        <w:tc>
          <w:tcPr>
            <w:tcW w:w="1134" w:type="dxa"/>
            <w:tcBorders>
              <w:top w:val="single" w:sz="4" w:space="0" w:color="auto"/>
              <w:bottom w:val="single" w:sz="4" w:space="0" w:color="auto"/>
            </w:tcBorders>
            <w:shd w:val="clear" w:color="000000" w:fill="DBB731"/>
            <w:noWrap/>
            <w:vAlign w:val="center"/>
            <w:hideMark/>
          </w:tcPr>
          <w:p w14:paraId="2A7627A9" w14:textId="77777777" w:rsidR="00312042" w:rsidRPr="00CB7E8A" w:rsidRDefault="00312042" w:rsidP="00DB0ECC">
            <w:pPr>
              <w:keepNext/>
              <w:keepLines/>
              <w:spacing w:before="40" w:after="40"/>
              <w:jc w:val="right"/>
              <w:rPr>
                <w:b/>
                <w:bCs/>
                <w:sz w:val="18"/>
                <w:szCs w:val="18"/>
              </w:rPr>
            </w:pPr>
            <w:r w:rsidRPr="00CB7E8A">
              <w:rPr>
                <w:b/>
                <w:bCs/>
                <w:sz w:val="18"/>
                <w:szCs w:val="18"/>
              </w:rPr>
              <w:t>4 703 619</w:t>
            </w:r>
          </w:p>
        </w:tc>
        <w:tc>
          <w:tcPr>
            <w:tcW w:w="1276" w:type="dxa"/>
            <w:tcBorders>
              <w:top w:val="single" w:sz="4" w:space="0" w:color="auto"/>
              <w:bottom w:val="single" w:sz="4" w:space="0" w:color="auto"/>
            </w:tcBorders>
            <w:shd w:val="clear" w:color="000000" w:fill="DBB731"/>
            <w:noWrap/>
            <w:vAlign w:val="center"/>
            <w:hideMark/>
          </w:tcPr>
          <w:p w14:paraId="11DC3E03" w14:textId="77777777" w:rsidR="00312042" w:rsidRPr="00CB7E8A" w:rsidRDefault="00312042" w:rsidP="00DB0ECC">
            <w:pPr>
              <w:keepNext/>
              <w:keepLines/>
              <w:spacing w:before="40" w:after="40"/>
              <w:jc w:val="right"/>
              <w:rPr>
                <w:b/>
                <w:bCs/>
                <w:sz w:val="18"/>
                <w:szCs w:val="18"/>
              </w:rPr>
            </w:pPr>
            <w:r w:rsidRPr="00CB7E8A">
              <w:rPr>
                <w:b/>
                <w:bCs/>
                <w:sz w:val="18"/>
                <w:szCs w:val="18"/>
              </w:rPr>
              <w:t>8 527 603</w:t>
            </w:r>
          </w:p>
        </w:tc>
        <w:tc>
          <w:tcPr>
            <w:tcW w:w="1134" w:type="dxa"/>
            <w:tcBorders>
              <w:top w:val="single" w:sz="4" w:space="0" w:color="auto"/>
              <w:bottom w:val="single" w:sz="4" w:space="0" w:color="auto"/>
            </w:tcBorders>
            <w:shd w:val="clear" w:color="000000" w:fill="DBB731"/>
            <w:noWrap/>
            <w:vAlign w:val="center"/>
            <w:hideMark/>
          </w:tcPr>
          <w:p w14:paraId="4943B4BC" w14:textId="77777777" w:rsidR="00312042" w:rsidRPr="00CB7E8A" w:rsidRDefault="00312042" w:rsidP="00DB0ECC">
            <w:pPr>
              <w:keepNext/>
              <w:keepLines/>
              <w:spacing w:before="40" w:after="40"/>
              <w:jc w:val="right"/>
              <w:rPr>
                <w:b/>
                <w:bCs/>
                <w:sz w:val="18"/>
                <w:szCs w:val="18"/>
              </w:rPr>
            </w:pPr>
            <w:r w:rsidRPr="00CB7E8A">
              <w:rPr>
                <w:b/>
                <w:bCs/>
                <w:sz w:val="18"/>
                <w:szCs w:val="18"/>
              </w:rPr>
              <w:t>2 078 635</w:t>
            </w:r>
          </w:p>
        </w:tc>
        <w:tc>
          <w:tcPr>
            <w:tcW w:w="1134" w:type="dxa"/>
            <w:tcBorders>
              <w:top w:val="single" w:sz="4" w:space="0" w:color="auto"/>
              <w:bottom w:val="single" w:sz="4" w:space="0" w:color="auto"/>
            </w:tcBorders>
            <w:shd w:val="clear" w:color="000000" w:fill="DBB731"/>
            <w:noWrap/>
            <w:vAlign w:val="center"/>
            <w:hideMark/>
          </w:tcPr>
          <w:p w14:paraId="45795A40" w14:textId="77777777" w:rsidR="00312042" w:rsidRPr="00CB7E8A" w:rsidRDefault="00312042" w:rsidP="00DB0ECC">
            <w:pPr>
              <w:keepNext/>
              <w:keepLines/>
              <w:spacing w:before="40" w:after="40"/>
              <w:jc w:val="right"/>
              <w:rPr>
                <w:b/>
                <w:bCs/>
                <w:sz w:val="18"/>
                <w:szCs w:val="18"/>
              </w:rPr>
            </w:pPr>
            <w:r w:rsidRPr="00CB7E8A">
              <w:rPr>
                <w:b/>
                <w:bCs/>
                <w:sz w:val="18"/>
                <w:szCs w:val="18"/>
              </w:rPr>
              <w:t>2 813 135</w:t>
            </w:r>
          </w:p>
        </w:tc>
        <w:tc>
          <w:tcPr>
            <w:tcW w:w="1245" w:type="dxa"/>
            <w:tcBorders>
              <w:bottom w:val="single" w:sz="4" w:space="0" w:color="auto"/>
            </w:tcBorders>
            <w:shd w:val="clear" w:color="000000" w:fill="DBB731"/>
            <w:noWrap/>
            <w:vAlign w:val="center"/>
            <w:hideMark/>
          </w:tcPr>
          <w:p w14:paraId="5B882DCD" w14:textId="77777777" w:rsidR="00312042" w:rsidRPr="00CB7E8A" w:rsidRDefault="00312042" w:rsidP="00DB0ECC">
            <w:pPr>
              <w:keepNext/>
              <w:keepLines/>
              <w:spacing w:before="40" w:after="40"/>
              <w:jc w:val="right"/>
              <w:rPr>
                <w:b/>
                <w:bCs/>
                <w:sz w:val="18"/>
                <w:szCs w:val="18"/>
              </w:rPr>
            </w:pPr>
            <w:r w:rsidRPr="00CB7E8A">
              <w:rPr>
                <w:b/>
                <w:bCs/>
                <w:sz w:val="18"/>
                <w:szCs w:val="18"/>
              </w:rPr>
              <w:t>4 891 770</w:t>
            </w:r>
          </w:p>
        </w:tc>
      </w:tr>
      <w:tr w:rsidR="00F234CD" w:rsidRPr="00631C1C" w14:paraId="7D75F9F1" w14:textId="77777777" w:rsidTr="00CC4172">
        <w:trPr>
          <w:trHeight w:val="465"/>
          <w:jc w:val="right"/>
        </w:trPr>
        <w:tc>
          <w:tcPr>
            <w:tcW w:w="7230" w:type="dxa"/>
            <w:gridSpan w:val="2"/>
            <w:tcBorders>
              <w:top w:val="single" w:sz="4" w:space="0" w:color="auto"/>
            </w:tcBorders>
            <w:hideMark/>
          </w:tcPr>
          <w:p w14:paraId="701E3B4B" w14:textId="3305E293" w:rsidR="00312042" w:rsidRPr="00CB7E8A" w:rsidRDefault="008A4478" w:rsidP="00DB0ECC">
            <w:pPr>
              <w:keepNext/>
              <w:keepLines/>
              <w:spacing w:before="40" w:after="40"/>
              <w:rPr>
                <w:b/>
                <w:bCs/>
                <w:sz w:val="18"/>
                <w:szCs w:val="18"/>
              </w:rPr>
            </w:pPr>
            <w:r w:rsidRPr="00CB7E8A">
              <w:rPr>
                <w:b/>
                <w:bCs/>
                <w:sz w:val="18"/>
                <w:szCs w:val="18"/>
              </w:rPr>
              <w:t xml:space="preserve">Effectiveness Evaluation Group </w:t>
            </w:r>
            <w:r w:rsidR="00312042" w:rsidRPr="00CB7E8A">
              <w:rPr>
                <w:b/>
                <w:bCs/>
                <w:sz w:val="18"/>
                <w:szCs w:val="18"/>
              </w:rPr>
              <w:t>meeting</w:t>
            </w:r>
            <w:r w:rsidRPr="00CB7E8A">
              <w:rPr>
                <w:b/>
                <w:bCs/>
                <w:sz w:val="18"/>
                <w:szCs w:val="18"/>
              </w:rPr>
              <w:t>,</w:t>
            </w:r>
            <w:r w:rsidR="00312042" w:rsidRPr="00CB7E8A">
              <w:rPr>
                <w:b/>
                <w:bCs/>
                <w:sz w:val="18"/>
                <w:szCs w:val="18"/>
              </w:rPr>
              <w:t xml:space="preserve"> including programme support costs funded from 2024 budget (</w:t>
            </w:r>
            <w:r w:rsidRPr="00CB7E8A">
              <w:rPr>
                <w:b/>
                <w:bCs/>
                <w:sz w:val="18"/>
                <w:szCs w:val="18"/>
              </w:rPr>
              <w:t xml:space="preserve">meeting </w:t>
            </w:r>
            <w:r w:rsidR="00312042" w:rsidRPr="00CB7E8A">
              <w:rPr>
                <w:b/>
                <w:bCs/>
                <w:sz w:val="18"/>
                <w:szCs w:val="18"/>
              </w:rPr>
              <w:t xml:space="preserve">not </w:t>
            </w:r>
            <w:r w:rsidRPr="00CB7E8A">
              <w:rPr>
                <w:b/>
                <w:bCs/>
                <w:sz w:val="18"/>
                <w:szCs w:val="18"/>
              </w:rPr>
              <w:t>held</w:t>
            </w:r>
            <w:r w:rsidR="00312042" w:rsidRPr="00CB7E8A">
              <w:rPr>
                <w:b/>
                <w:bCs/>
                <w:sz w:val="18"/>
                <w:szCs w:val="18"/>
              </w:rPr>
              <w:t xml:space="preserve"> in 2024)</w:t>
            </w:r>
          </w:p>
        </w:tc>
        <w:tc>
          <w:tcPr>
            <w:tcW w:w="1275" w:type="dxa"/>
            <w:tcBorders>
              <w:top w:val="single" w:sz="4" w:space="0" w:color="auto"/>
            </w:tcBorders>
            <w:noWrap/>
            <w:vAlign w:val="bottom"/>
            <w:hideMark/>
          </w:tcPr>
          <w:p w14:paraId="52D5B00B" w14:textId="77777777" w:rsidR="00312042" w:rsidRPr="00CB7E8A" w:rsidRDefault="00312042" w:rsidP="00DB0ECC">
            <w:pPr>
              <w:keepNext/>
              <w:keepLines/>
              <w:spacing w:before="40" w:after="40"/>
              <w:jc w:val="right"/>
              <w:rPr>
                <w:b/>
                <w:bCs/>
                <w:sz w:val="18"/>
                <w:szCs w:val="18"/>
              </w:rPr>
            </w:pPr>
            <w:r w:rsidRPr="00CB7E8A">
              <w:rPr>
                <w:b/>
                <w:bCs/>
                <w:sz w:val="18"/>
                <w:szCs w:val="18"/>
              </w:rPr>
              <w:t>(96 050)</w:t>
            </w:r>
          </w:p>
        </w:tc>
        <w:tc>
          <w:tcPr>
            <w:tcW w:w="1134" w:type="dxa"/>
            <w:tcBorders>
              <w:top w:val="single" w:sz="4" w:space="0" w:color="auto"/>
            </w:tcBorders>
            <w:noWrap/>
            <w:vAlign w:val="bottom"/>
            <w:hideMark/>
          </w:tcPr>
          <w:p w14:paraId="6ACF8350" w14:textId="77777777" w:rsidR="00312042" w:rsidRPr="00CB7E8A" w:rsidRDefault="00312042" w:rsidP="00DB0ECC">
            <w:pPr>
              <w:keepNext/>
              <w:keepLines/>
              <w:spacing w:before="40" w:after="40"/>
              <w:jc w:val="right"/>
              <w:rPr>
                <w:b/>
                <w:bCs/>
                <w:sz w:val="18"/>
                <w:szCs w:val="18"/>
              </w:rPr>
            </w:pPr>
          </w:p>
        </w:tc>
        <w:tc>
          <w:tcPr>
            <w:tcW w:w="1276" w:type="dxa"/>
            <w:tcBorders>
              <w:top w:val="single" w:sz="4" w:space="0" w:color="auto"/>
            </w:tcBorders>
            <w:noWrap/>
            <w:vAlign w:val="bottom"/>
            <w:hideMark/>
          </w:tcPr>
          <w:p w14:paraId="35ED94CA" w14:textId="77777777" w:rsidR="00312042" w:rsidRPr="00CB7E8A" w:rsidRDefault="00312042" w:rsidP="00DB0ECC">
            <w:pPr>
              <w:keepNext/>
              <w:keepLines/>
              <w:spacing w:before="40" w:after="40"/>
              <w:jc w:val="right"/>
              <w:rPr>
                <w:b/>
                <w:bCs/>
                <w:sz w:val="18"/>
                <w:szCs w:val="18"/>
              </w:rPr>
            </w:pPr>
            <w:r w:rsidRPr="00CB7E8A">
              <w:rPr>
                <w:b/>
                <w:bCs/>
                <w:sz w:val="18"/>
                <w:szCs w:val="18"/>
              </w:rPr>
              <w:t>(96 050)</w:t>
            </w:r>
          </w:p>
        </w:tc>
        <w:tc>
          <w:tcPr>
            <w:tcW w:w="1134" w:type="dxa"/>
            <w:tcBorders>
              <w:top w:val="single" w:sz="4" w:space="0" w:color="auto"/>
            </w:tcBorders>
            <w:noWrap/>
            <w:vAlign w:val="bottom"/>
            <w:hideMark/>
          </w:tcPr>
          <w:p w14:paraId="7671E59E"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bottom"/>
            <w:hideMark/>
          </w:tcPr>
          <w:p w14:paraId="0A82CF3E" w14:textId="77777777" w:rsidR="00312042" w:rsidRPr="00CB7E8A" w:rsidRDefault="00312042" w:rsidP="00DB0ECC">
            <w:pPr>
              <w:keepNext/>
              <w:keepLines/>
              <w:spacing w:before="40" w:after="40"/>
              <w:jc w:val="right"/>
              <w:rPr>
                <w:b/>
                <w:bCs/>
                <w:sz w:val="18"/>
                <w:szCs w:val="18"/>
              </w:rPr>
            </w:pPr>
          </w:p>
        </w:tc>
        <w:tc>
          <w:tcPr>
            <w:tcW w:w="1245" w:type="dxa"/>
            <w:tcBorders>
              <w:top w:val="single" w:sz="4" w:space="0" w:color="auto"/>
            </w:tcBorders>
            <w:noWrap/>
            <w:vAlign w:val="bottom"/>
            <w:hideMark/>
          </w:tcPr>
          <w:p w14:paraId="57554647" w14:textId="77777777" w:rsidR="00312042" w:rsidRPr="00CB7E8A" w:rsidRDefault="00312042" w:rsidP="00DB0ECC">
            <w:pPr>
              <w:keepNext/>
              <w:keepLines/>
              <w:spacing w:before="40" w:after="40"/>
              <w:jc w:val="right"/>
              <w:rPr>
                <w:b/>
                <w:bCs/>
                <w:sz w:val="18"/>
                <w:szCs w:val="18"/>
              </w:rPr>
            </w:pPr>
          </w:p>
        </w:tc>
      </w:tr>
      <w:tr w:rsidR="00F234CD" w:rsidRPr="00631C1C"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CB7E8A" w:rsidRDefault="00312042" w:rsidP="00CB7E8A">
            <w:pPr>
              <w:spacing w:before="40" w:after="40"/>
              <w:ind w:firstLineChars="100" w:firstLine="181"/>
              <w:rPr>
                <w:b/>
                <w:bCs/>
                <w:sz w:val="18"/>
                <w:szCs w:val="18"/>
              </w:rPr>
            </w:pPr>
            <w:r w:rsidRPr="00CB7E8A">
              <w:rPr>
                <w:b/>
                <w:bCs/>
                <w:sz w:val="18"/>
                <w:szCs w:val="18"/>
              </w:rPr>
              <w:t>Grand total (after deducti</w:t>
            </w:r>
            <w:r w:rsidR="003B216F" w:rsidRPr="00CB7E8A">
              <w:rPr>
                <w:b/>
                <w:bCs/>
                <w:sz w:val="18"/>
                <w:szCs w:val="18"/>
              </w:rPr>
              <w:t>o</w:t>
            </w:r>
            <w:r w:rsidRPr="00CB7E8A">
              <w:rPr>
                <w:b/>
                <w:bCs/>
                <w:sz w:val="18"/>
                <w:szCs w:val="18"/>
              </w:rPr>
              <w:t xml:space="preserve">n </w:t>
            </w:r>
            <w:r w:rsidR="003B216F" w:rsidRPr="00CB7E8A">
              <w:rPr>
                <w:b/>
                <w:bCs/>
                <w:sz w:val="18"/>
                <w:szCs w:val="18"/>
              </w:rPr>
              <w:t xml:space="preserve">for </w:t>
            </w:r>
            <w:r w:rsidR="008A4478" w:rsidRPr="00CB7E8A">
              <w:rPr>
                <w:b/>
                <w:bCs/>
                <w:sz w:val="18"/>
                <w:szCs w:val="18"/>
              </w:rPr>
              <w:t xml:space="preserve">Effectiveness Evaluation Group </w:t>
            </w:r>
            <w:r w:rsidRPr="00CB7E8A">
              <w:rPr>
                <w:b/>
                <w:bCs/>
                <w:sz w:val="18"/>
                <w:szCs w:val="18"/>
              </w:rPr>
              <w:t>meeting)</w:t>
            </w:r>
          </w:p>
        </w:tc>
        <w:tc>
          <w:tcPr>
            <w:tcW w:w="1275" w:type="dxa"/>
            <w:tcBorders>
              <w:bottom w:val="single" w:sz="12" w:space="0" w:color="auto"/>
            </w:tcBorders>
            <w:shd w:val="clear" w:color="000000" w:fill="DBB731"/>
            <w:noWrap/>
            <w:vAlign w:val="center"/>
            <w:hideMark/>
          </w:tcPr>
          <w:p w14:paraId="24C82A43" w14:textId="77777777" w:rsidR="00312042" w:rsidRPr="00CB7E8A" w:rsidRDefault="00312042" w:rsidP="00CB7E8A">
            <w:pPr>
              <w:spacing w:before="40" w:after="40"/>
              <w:jc w:val="right"/>
              <w:rPr>
                <w:b/>
                <w:bCs/>
                <w:sz w:val="18"/>
                <w:szCs w:val="18"/>
              </w:rPr>
            </w:pPr>
            <w:r w:rsidRPr="00CB7E8A">
              <w:rPr>
                <w:b/>
                <w:bCs/>
                <w:sz w:val="18"/>
                <w:szCs w:val="18"/>
              </w:rPr>
              <w:t>3 727 934</w:t>
            </w:r>
          </w:p>
        </w:tc>
        <w:tc>
          <w:tcPr>
            <w:tcW w:w="1134" w:type="dxa"/>
            <w:tcBorders>
              <w:bottom w:val="single" w:sz="12" w:space="0" w:color="auto"/>
            </w:tcBorders>
            <w:shd w:val="clear" w:color="000000" w:fill="DBB731"/>
            <w:noWrap/>
            <w:vAlign w:val="center"/>
            <w:hideMark/>
          </w:tcPr>
          <w:p w14:paraId="2E0A1C5D" w14:textId="77777777" w:rsidR="00312042" w:rsidRPr="00CB7E8A" w:rsidRDefault="00312042" w:rsidP="00CB7E8A">
            <w:pPr>
              <w:spacing w:before="40" w:after="40"/>
              <w:jc w:val="right"/>
              <w:rPr>
                <w:b/>
                <w:bCs/>
                <w:sz w:val="18"/>
                <w:szCs w:val="18"/>
              </w:rPr>
            </w:pPr>
            <w:r w:rsidRPr="00CB7E8A">
              <w:rPr>
                <w:b/>
                <w:bCs/>
                <w:sz w:val="18"/>
                <w:szCs w:val="18"/>
              </w:rPr>
              <w:t>4 703 619</w:t>
            </w:r>
          </w:p>
        </w:tc>
        <w:tc>
          <w:tcPr>
            <w:tcW w:w="1276" w:type="dxa"/>
            <w:tcBorders>
              <w:bottom w:val="single" w:sz="12" w:space="0" w:color="auto"/>
            </w:tcBorders>
            <w:shd w:val="clear" w:color="000000" w:fill="DBB731"/>
            <w:noWrap/>
            <w:vAlign w:val="center"/>
            <w:hideMark/>
          </w:tcPr>
          <w:p w14:paraId="54EEF553" w14:textId="77777777" w:rsidR="00312042" w:rsidRPr="00CB7E8A" w:rsidRDefault="00312042" w:rsidP="00CB7E8A">
            <w:pPr>
              <w:spacing w:before="40" w:after="40"/>
              <w:jc w:val="right"/>
              <w:rPr>
                <w:b/>
                <w:bCs/>
                <w:sz w:val="18"/>
                <w:szCs w:val="18"/>
              </w:rPr>
            </w:pPr>
            <w:r w:rsidRPr="00CB7E8A">
              <w:rPr>
                <w:b/>
                <w:bCs/>
                <w:sz w:val="18"/>
                <w:szCs w:val="18"/>
              </w:rPr>
              <w:t>8 431 553</w:t>
            </w:r>
          </w:p>
        </w:tc>
        <w:tc>
          <w:tcPr>
            <w:tcW w:w="1134" w:type="dxa"/>
            <w:tcBorders>
              <w:bottom w:val="single" w:sz="12" w:space="0" w:color="auto"/>
            </w:tcBorders>
            <w:shd w:val="clear" w:color="000000" w:fill="DBB731"/>
            <w:noWrap/>
            <w:vAlign w:val="center"/>
            <w:hideMark/>
          </w:tcPr>
          <w:p w14:paraId="6E464D50" w14:textId="77777777" w:rsidR="00312042" w:rsidRPr="00CB7E8A" w:rsidRDefault="00312042" w:rsidP="00CB7E8A">
            <w:pPr>
              <w:spacing w:before="40" w:after="40"/>
              <w:jc w:val="right"/>
              <w:rPr>
                <w:b/>
                <w:bCs/>
                <w:sz w:val="18"/>
                <w:szCs w:val="18"/>
              </w:rPr>
            </w:pPr>
            <w:r w:rsidRPr="00CB7E8A">
              <w:rPr>
                <w:b/>
                <w:bCs/>
                <w:sz w:val="18"/>
                <w:szCs w:val="18"/>
              </w:rPr>
              <w:t>2 078 635</w:t>
            </w:r>
          </w:p>
        </w:tc>
        <w:tc>
          <w:tcPr>
            <w:tcW w:w="1134" w:type="dxa"/>
            <w:tcBorders>
              <w:bottom w:val="single" w:sz="12" w:space="0" w:color="auto"/>
            </w:tcBorders>
            <w:shd w:val="clear" w:color="000000" w:fill="DBB731"/>
            <w:noWrap/>
            <w:vAlign w:val="center"/>
            <w:hideMark/>
          </w:tcPr>
          <w:p w14:paraId="1A10DFF0" w14:textId="77777777" w:rsidR="00312042" w:rsidRPr="00CB7E8A" w:rsidRDefault="00312042" w:rsidP="00CB7E8A">
            <w:pPr>
              <w:spacing w:before="40" w:after="40"/>
              <w:jc w:val="right"/>
              <w:rPr>
                <w:b/>
                <w:bCs/>
                <w:sz w:val="18"/>
                <w:szCs w:val="18"/>
              </w:rPr>
            </w:pPr>
            <w:r w:rsidRPr="00CB7E8A">
              <w:rPr>
                <w:b/>
                <w:bCs/>
                <w:sz w:val="18"/>
                <w:szCs w:val="18"/>
              </w:rPr>
              <w:t>2 813 135</w:t>
            </w:r>
          </w:p>
        </w:tc>
        <w:tc>
          <w:tcPr>
            <w:tcW w:w="1245" w:type="dxa"/>
            <w:tcBorders>
              <w:bottom w:val="single" w:sz="12" w:space="0" w:color="auto"/>
            </w:tcBorders>
            <w:shd w:val="clear" w:color="000000" w:fill="DBB731"/>
            <w:noWrap/>
            <w:vAlign w:val="center"/>
            <w:hideMark/>
          </w:tcPr>
          <w:p w14:paraId="146BC6FE" w14:textId="77777777" w:rsidR="00312042" w:rsidRPr="00CB7E8A" w:rsidRDefault="00312042" w:rsidP="00CB7E8A">
            <w:pPr>
              <w:spacing w:before="40" w:after="40"/>
              <w:jc w:val="right"/>
              <w:rPr>
                <w:b/>
                <w:bCs/>
                <w:sz w:val="18"/>
                <w:szCs w:val="18"/>
              </w:rPr>
            </w:pPr>
            <w:r w:rsidRPr="00CB7E8A">
              <w:rPr>
                <w:b/>
                <w:bCs/>
                <w:sz w:val="18"/>
                <w:szCs w:val="18"/>
              </w:rPr>
              <w:t>4 891 770</w:t>
            </w:r>
          </w:p>
        </w:tc>
      </w:tr>
    </w:tbl>
    <w:p w14:paraId="5A643865" w14:textId="4C770C19" w:rsidR="00312042" w:rsidRPr="00631C1C" w:rsidRDefault="00312042" w:rsidP="00312042">
      <w:pPr>
        <w:spacing w:before="60"/>
        <w:ind w:left="1247"/>
        <w:rPr>
          <w:rFonts w:asciiTheme="majorBidi" w:hAnsiTheme="majorBidi" w:cstheme="majorBidi"/>
          <w:sz w:val="17"/>
          <w:szCs w:val="17"/>
        </w:rPr>
        <w:sectPr w:rsidR="00312042" w:rsidRPr="00631C1C" w:rsidSect="00E84D8D">
          <w:footnotePr>
            <w:numRestart w:val="eachSect"/>
          </w:footnotePr>
          <w:pgSz w:w="16838" w:h="11906" w:orient="landscape" w:code="9"/>
          <w:pgMar w:top="907" w:right="992" w:bottom="1418" w:left="1418" w:header="539" w:footer="975" w:gutter="0"/>
          <w:cols w:space="539"/>
          <w:docGrid w:linePitch="360"/>
        </w:sectPr>
      </w:pPr>
      <w:r w:rsidRPr="00631C1C">
        <w:rPr>
          <w:rFonts w:asciiTheme="majorBidi" w:hAnsiTheme="majorBidi" w:cstheme="majorBidi"/>
          <w:sz w:val="17"/>
          <w:szCs w:val="17"/>
        </w:rPr>
        <w:t>*</w:t>
      </w:r>
      <w:r w:rsidR="006512CC">
        <w:rPr>
          <w:rFonts w:asciiTheme="majorBidi" w:hAnsiTheme="majorBidi" w:cstheme="majorBidi"/>
          <w:sz w:val="17"/>
          <w:szCs w:val="17"/>
        </w:rPr>
        <w:t xml:space="preserve"> </w:t>
      </w:r>
      <w:r w:rsidRPr="00631C1C">
        <w:rPr>
          <w:rFonts w:asciiTheme="majorBidi" w:hAnsiTheme="majorBidi" w:cstheme="majorBidi"/>
          <w:sz w:val="17"/>
          <w:szCs w:val="17"/>
        </w:rPr>
        <w:t xml:space="preserve">On an exceptional basis, the Executive Secretary is authorized to draw additional funds, not exceeding 541,749 United States dollars, from the net balance of the general trust fund to cover any shortfall in the approved staffing table for the biennium </w:t>
      </w:r>
      <w:r w:rsidRPr="00B2067F">
        <w:rPr>
          <w:rFonts w:asciiTheme="majorBidi" w:hAnsiTheme="majorBidi" w:cstheme="majorBidi"/>
          <w:sz w:val="17"/>
          <w:szCs w:val="17"/>
        </w:rPr>
        <w:t>2026</w:t>
      </w:r>
      <w:r w:rsidR="007B487B" w:rsidRPr="00B2067F">
        <w:rPr>
          <w:rFonts w:asciiTheme="majorBidi" w:hAnsiTheme="majorBidi" w:cstheme="majorBidi"/>
          <w:sz w:val="17"/>
          <w:szCs w:val="17"/>
        </w:rPr>
        <w:t>–</w:t>
      </w:r>
      <w:r w:rsidRPr="00B2067F">
        <w:rPr>
          <w:rFonts w:asciiTheme="majorBidi" w:hAnsiTheme="majorBidi" w:cstheme="majorBidi"/>
          <w:sz w:val="17"/>
          <w:szCs w:val="17"/>
        </w:rPr>
        <w:t>2027</w:t>
      </w:r>
      <w:r w:rsidR="007B487B" w:rsidRPr="00B2067F">
        <w:rPr>
          <w:rFonts w:asciiTheme="majorBidi" w:hAnsiTheme="majorBidi" w:cstheme="majorBidi"/>
          <w:sz w:val="17"/>
          <w:szCs w:val="17"/>
        </w:rPr>
        <w:t>.</w:t>
      </w:r>
    </w:p>
    <w:p w14:paraId="51D45474" w14:textId="3E9CC358" w:rsidR="00312042" w:rsidRPr="00631C1C" w:rsidRDefault="00312042" w:rsidP="00312042">
      <w:pPr>
        <w:pStyle w:val="Titletable"/>
        <w:spacing w:after="0"/>
        <w:rPr>
          <w:rFonts w:asciiTheme="majorBidi" w:hAnsiTheme="majorBidi" w:cstheme="majorBidi"/>
        </w:rPr>
      </w:pPr>
      <w:r w:rsidRPr="00631C1C">
        <w:rPr>
          <w:rFonts w:asciiTheme="majorBidi" w:hAnsiTheme="majorBidi" w:cstheme="majorBidi"/>
          <w:b w:val="0"/>
          <w:bCs w:val="0"/>
        </w:rPr>
        <w:lastRenderedPageBreak/>
        <w:t>Table 2</w:t>
      </w:r>
      <w:r w:rsidRPr="00631C1C">
        <w:rPr>
          <w:rFonts w:asciiTheme="majorBidi" w:hAnsiTheme="majorBidi" w:cstheme="majorBidi"/>
          <w:b w:val="0"/>
          <w:bCs w:val="0"/>
        </w:rPr>
        <w:br/>
      </w:r>
      <w:r w:rsidRPr="00631C1C">
        <w:rPr>
          <w:rFonts w:asciiTheme="majorBidi" w:hAnsiTheme="majorBidi" w:cstheme="majorBidi"/>
        </w:rPr>
        <w:t>Overview of the indicative scale of assessmen</w:t>
      </w:r>
      <w:r w:rsidRPr="007B1491">
        <w:rPr>
          <w:rFonts w:asciiTheme="majorBidi" w:hAnsiTheme="majorBidi" w:cstheme="majorBidi"/>
        </w:rPr>
        <w:t>t</w:t>
      </w:r>
      <w:r w:rsidR="005D12FE">
        <w:rPr>
          <w:rFonts w:asciiTheme="majorBidi" w:hAnsiTheme="majorBidi" w:cstheme="majorBidi"/>
        </w:rPr>
        <w:t>s</w:t>
      </w:r>
      <w:r w:rsidRPr="00631C1C">
        <w:rPr>
          <w:rFonts w:asciiTheme="majorBidi" w:hAnsiTheme="majorBidi" w:cstheme="majorBidi"/>
        </w:rPr>
        <w:t xml:space="preserve"> and contributions to the general trust fund for the biennium 2026</w:t>
      </w:r>
      <w:r w:rsidR="000A19B4">
        <w:rPr>
          <w:rFonts w:asciiTheme="majorBidi" w:hAnsiTheme="majorBidi" w:cstheme="majorBidi"/>
        </w:rPr>
        <w:t>–</w:t>
      </w:r>
      <w:r w:rsidRPr="00631C1C">
        <w:rPr>
          <w:rFonts w:asciiTheme="majorBidi" w:hAnsiTheme="majorBidi" w:cstheme="majorBidi"/>
        </w:rPr>
        <w:t>2027</w:t>
      </w:r>
    </w:p>
    <w:p w14:paraId="59B8D735" w14:textId="0E17F5D3" w:rsidR="00312042" w:rsidRPr="00631C1C" w:rsidRDefault="00312042" w:rsidP="00312042">
      <w:pPr>
        <w:pStyle w:val="Titletable"/>
        <w:spacing w:after="120"/>
        <w:rPr>
          <w:rFonts w:asciiTheme="majorBidi" w:hAnsiTheme="majorBidi" w:cstheme="majorBidi"/>
        </w:rPr>
      </w:pPr>
      <w:r w:rsidRPr="00631C1C">
        <w:rPr>
          <w:rFonts w:asciiTheme="majorBidi" w:hAnsiTheme="majorBidi" w:cstheme="majorBidi"/>
          <w:b w:val="0"/>
          <w:bCs w:val="0"/>
        </w:rPr>
        <w:t>(United States dollars)</w:t>
      </w:r>
    </w:p>
    <w:tbl>
      <w:tblPr>
        <w:tblW w:w="5000" w:type="pct"/>
        <w:jc w:val="right"/>
        <w:tblLook w:val="04A0" w:firstRow="1" w:lastRow="0" w:firstColumn="1" w:lastColumn="0" w:noHBand="0" w:noVBand="1"/>
      </w:tblPr>
      <w:tblGrid>
        <w:gridCol w:w="542"/>
        <w:gridCol w:w="2573"/>
        <w:gridCol w:w="1400"/>
        <w:gridCol w:w="1073"/>
        <w:gridCol w:w="1293"/>
        <w:gridCol w:w="1293"/>
        <w:gridCol w:w="1313"/>
      </w:tblGrid>
      <w:tr w:rsidR="00F234CD" w:rsidRPr="00631C1C"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841D9B" w:rsidRDefault="00312042" w:rsidP="009A58EE">
            <w:pPr>
              <w:pStyle w:val="Normal-pool-Table"/>
              <w:rPr>
                <w:i/>
                <w:iCs/>
                <w:szCs w:val="18"/>
              </w:rPr>
            </w:pPr>
            <w:r w:rsidRPr="00841D9B">
              <w:rPr>
                <w:i/>
                <w:iCs/>
                <w:szCs w:val="18"/>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841D9B" w:rsidRDefault="00312042" w:rsidP="009A58EE">
            <w:pPr>
              <w:pStyle w:val="Normal-pool-Table"/>
              <w:rPr>
                <w:i/>
                <w:iCs/>
                <w:szCs w:val="18"/>
              </w:rPr>
            </w:pPr>
            <w:r w:rsidRPr="00841D9B">
              <w:rPr>
                <w:i/>
                <w:iCs/>
                <w:szCs w:val="18"/>
              </w:rPr>
              <w:t>Party</w:t>
            </w:r>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77777777" w:rsidR="00312042" w:rsidRPr="00841D9B" w:rsidRDefault="00312042" w:rsidP="009A58EE">
            <w:pPr>
              <w:pStyle w:val="Normal-pool-Table"/>
              <w:jc w:val="right"/>
              <w:rPr>
                <w:i/>
                <w:iCs/>
                <w:szCs w:val="18"/>
              </w:rPr>
            </w:pPr>
            <w:r w:rsidRPr="00841D9B">
              <w:rPr>
                <w:i/>
                <w:iCs/>
                <w:szCs w:val="18"/>
              </w:rPr>
              <w:t>United Nations scale of assessment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841D9B" w:rsidRDefault="00312042" w:rsidP="009A58EE">
            <w:pPr>
              <w:pStyle w:val="Normal-pool-Table"/>
              <w:jc w:val="right"/>
              <w:rPr>
                <w:i/>
                <w:iCs/>
                <w:szCs w:val="18"/>
              </w:rPr>
            </w:pPr>
            <w:r w:rsidRPr="00841D9B">
              <w:rPr>
                <w:i/>
                <w:iCs/>
                <w:szCs w:val="18"/>
              </w:rPr>
              <w:t>Minamata scale of assessment (%)</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841D9B" w:rsidRDefault="00312042" w:rsidP="009A58EE">
            <w:pPr>
              <w:pStyle w:val="Normal-pool-Table"/>
              <w:jc w:val="right"/>
              <w:rPr>
                <w:i/>
                <w:iCs/>
                <w:szCs w:val="18"/>
              </w:rPr>
            </w:pPr>
            <w:r w:rsidRPr="00841D9B">
              <w:rPr>
                <w:i/>
                <w:iCs/>
                <w:sz w:val="17"/>
                <w:szCs w:val="17"/>
              </w:rPr>
              <w:t>Contributions</w:t>
            </w:r>
            <w:r w:rsidRPr="00841D9B">
              <w:rPr>
                <w:i/>
                <w:iCs/>
                <w:szCs w:val="18"/>
              </w:rPr>
              <w:t xml:space="preserve"> for 2026</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841D9B" w:rsidRDefault="00312042" w:rsidP="009A58EE">
            <w:pPr>
              <w:pStyle w:val="Normal-pool-Table"/>
              <w:jc w:val="right"/>
              <w:rPr>
                <w:i/>
                <w:iCs/>
                <w:szCs w:val="18"/>
              </w:rPr>
            </w:pPr>
            <w:r w:rsidRPr="00841D9B">
              <w:rPr>
                <w:i/>
                <w:iCs/>
                <w:sz w:val="17"/>
                <w:szCs w:val="17"/>
              </w:rPr>
              <w:t xml:space="preserve">Contributions </w:t>
            </w:r>
            <w:r w:rsidRPr="00841D9B">
              <w:rPr>
                <w:i/>
                <w:iCs/>
                <w:szCs w:val="18"/>
              </w:rPr>
              <w:t>for 2027</w:t>
            </w:r>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1EFEEEF9" w:rsidR="00312042" w:rsidRPr="00841D9B" w:rsidRDefault="00312042" w:rsidP="009A58EE">
            <w:pPr>
              <w:pStyle w:val="Normal-pool-Table"/>
              <w:jc w:val="right"/>
              <w:rPr>
                <w:i/>
                <w:iCs/>
                <w:szCs w:val="18"/>
              </w:rPr>
            </w:pPr>
            <w:r w:rsidRPr="00841D9B">
              <w:rPr>
                <w:i/>
                <w:iCs/>
                <w:szCs w:val="18"/>
              </w:rPr>
              <w:t>Total contributions to the general trust fund for 2026</w:t>
            </w:r>
            <w:r w:rsidR="000A19B4">
              <w:rPr>
                <w:i/>
                <w:iCs/>
                <w:szCs w:val="18"/>
              </w:rPr>
              <w:t>–</w:t>
            </w:r>
            <w:r w:rsidRPr="00841D9B">
              <w:rPr>
                <w:i/>
                <w:iCs/>
                <w:szCs w:val="18"/>
              </w:rPr>
              <w:t>2027</w:t>
            </w:r>
          </w:p>
        </w:tc>
      </w:tr>
      <w:tr w:rsidR="00F234CD" w:rsidRPr="00631C1C"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631C1C" w:rsidRDefault="00312042" w:rsidP="009A58EE">
            <w:pPr>
              <w:pStyle w:val="Normal-pool-Table"/>
              <w:rPr>
                <w:b/>
                <w:bCs/>
                <w:szCs w:val="18"/>
              </w:rPr>
            </w:pPr>
            <w:r w:rsidRPr="00631C1C">
              <w:rPr>
                <w:b/>
                <w:bCs/>
                <w:szCs w:val="18"/>
              </w:rPr>
              <w:t>African States (44)</w:t>
            </w:r>
          </w:p>
        </w:tc>
      </w:tr>
      <w:tr w:rsidR="00F234CD" w:rsidRPr="00631C1C" w14:paraId="2C284ED8"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0F573C24" w14:textId="77777777" w:rsidR="00312042" w:rsidRPr="00631C1C" w:rsidRDefault="00312042" w:rsidP="009A58EE">
            <w:pPr>
              <w:pStyle w:val="Normal-pool-Table"/>
              <w:rPr>
                <w:szCs w:val="18"/>
              </w:rPr>
            </w:pPr>
            <w:r w:rsidRPr="00631C1C">
              <w:rPr>
                <w:szCs w:val="18"/>
              </w:rPr>
              <w:t>1</w:t>
            </w:r>
          </w:p>
        </w:tc>
        <w:tc>
          <w:tcPr>
            <w:tcW w:w="2573" w:type="dxa"/>
            <w:tcBorders>
              <w:top w:val="nil"/>
              <w:left w:val="nil"/>
              <w:bottom w:val="single" w:sz="4" w:space="0" w:color="auto"/>
              <w:right w:val="single" w:sz="4" w:space="0" w:color="auto"/>
            </w:tcBorders>
            <w:noWrap/>
            <w:hideMark/>
          </w:tcPr>
          <w:p w14:paraId="20AADA4A" w14:textId="77777777" w:rsidR="00312042" w:rsidRPr="00631C1C" w:rsidRDefault="00312042" w:rsidP="009A58EE">
            <w:pPr>
              <w:pStyle w:val="Normal-pool-Table"/>
              <w:rPr>
                <w:szCs w:val="18"/>
              </w:rPr>
            </w:pPr>
            <w:r w:rsidRPr="00631C1C">
              <w:rPr>
                <w:szCs w:val="18"/>
              </w:rPr>
              <w:t>Algeria</w:t>
            </w:r>
          </w:p>
        </w:tc>
        <w:tc>
          <w:tcPr>
            <w:tcW w:w="1400" w:type="dxa"/>
            <w:tcBorders>
              <w:top w:val="nil"/>
              <w:left w:val="nil"/>
              <w:bottom w:val="single" w:sz="4" w:space="0" w:color="auto"/>
              <w:right w:val="single" w:sz="4" w:space="0" w:color="auto"/>
            </w:tcBorders>
            <w:noWrap/>
            <w:hideMark/>
          </w:tcPr>
          <w:p w14:paraId="55851EF9" w14:textId="483E51DB" w:rsidR="00312042" w:rsidRPr="0083122C" w:rsidRDefault="00312042" w:rsidP="009A58EE">
            <w:pPr>
              <w:pStyle w:val="Normal-pool-Table"/>
              <w:jc w:val="right"/>
              <w:rPr>
                <w:szCs w:val="18"/>
              </w:rPr>
            </w:pPr>
            <w:r w:rsidRPr="0083122C">
              <w:rPr>
                <w:szCs w:val="18"/>
              </w:rPr>
              <w:t>0</w:t>
            </w:r>
            <w:r w:rsidR="005D12FE" w:rsidRPr="0083122C">
              <w:rPr>
                <w:szCs w:val="18"/>
              </w:rPr>
              <w:t>.</w:t>
            </w:r>
            <w:r w:rsidRPr="0083122C">
              <w:rPr>
                <w:szCs w:val="18"/>
              </w:rPr>
              <w:t>087</w:t>
            </w:r>
          </w:p>
        </w:tc>
        <w:tc>
          <w:tcPr>
            <w:tcW w:w="1073" w:type="dxa"/>
            <w:tcBorders>
              <w:top w:val="nil"/>
              <w:left w:val="nil"/>
              <w:bottom w:val="single" w:sz="4" w:space="0" w:color="auto"/>
              <w:right w:val="single" w:sz="4" w:space="0" w:color="auto"/>
            </w:tcBorders>
            <w:noWrap/>
            <w:hideMark/>
          </w:tcPr>
          <w:p w14:paraId="6F022B58" w14:textId="19D70CDC" w:rsidR="00312042" w:rsidRPr="0083122C" w:rsidRDefault="00312042" w:rsidP="009A58EE">
            <w:pPr>
              <w:pStyle w:val="Normal-pool-Table"/>
              <w:jc w:val="right"/>
              <w:rPr>
                <w:szCs w:val="18"/>
              </w:rPr>
            </w:pPr>
            <w:r w:rsidRPr="0083122C">
              <w:rPr>
                <w:szCs w:val="18"/>
              </w:rPr>
              <w:t>0</w:t>
            </w:r>
            <w:r w:rsidR="005D12FE" w:rsidRPr="0083122C">
              <w:rPr>
                <w:szCs w:val="18"/>
              </w:rPr>
              <w:t>.</w:t>
            </w:r>
            <w:r w:rsidRPr="0083122C">
              <w:rPr>
                <w:szCs w:val="18"/>
              </w:rPr>
              <w:t>0878</w:t>
            </w:r>
          </w:p>
        </w:tc>
        <w:tc>
          <w:tcPr>
            <w:tcW w:w="1293" w:type="dxa"/>
            <w:tcBorders>
              <w:top w:val="nil"/>
              <w:left w:val="nil"/>
              <w:bottom w:val="single" w:sz="4" w:space="0" w:color="auto"/>
              <w:right w:val="single" w:sz="4" w:space="0" w:color="auto"/>
            </w:tcBorders>
            <w:noWrap/>
            <w:hideMark/>
          </w:tcPr>
          <w:p w14:paraId="4145B698" w14:textId="77777777" w:rsidR="00312042" w:rsidRPr="00631C1C" w:rsidRDefault="00312042" w:rsidP="009A58EE">
            <w:pPr>
              <w:pStyle w:val="Normal-pool-Table"/>
              <w:jc w:val="right"/>
              <w:rPr>
                <w:szCs w:val="18"/>
              </w:rPr>
            </w:pPr>
            <w:r w:rsidRPr="00631C1C">
              <w:rPr>
                <w:szCs w:val="18"/>
              </w:rPr>
              <w:t>2 707</w:t>
            </w:r>
          </w:p>
        </w:tc>
        <w:tc>
          <w:tcPr>
            <w:tcW w:w="1293" w:type="dxa"/>
            <w:tcBorders>
              <w:top w:val="nil"/>
              <w:left w:val="nil"/>
              <w:bottom w:val="single" w:sz="4" w:space="0" w:color="auto"/>
              <w:right w:val="single" w:sz="4" w:space="0" w:color="auto"/>
            </w:tcBorders>
            <w:noWrap/>
            <w:hideMark/>
          </w:tcPr>
          <w:p w14:paraId="2A7AC727" w14:textId="77777777" w:rsidR="00312042" w:rsidRPr="00631C1C" w:rsidRDefault="00312042" w:rsidP="009A58EE">
            <w:pPr>
              <w:pStyle w:val="Normal-pool-Table"/>
              <w:jc w:val="right"/>
              <w:rPr>
                <w:szCs w:val="18"/>
              </w:rPr>
            </w:pPr>
            <w:r w:rsidRPr="00631C1C">
              <w:rPr>
                <w:szCs w:val="18"/>
              </w:rPr>
              <w:t>3 573</w:t>
            </w:r>
          </w:p>
        </w:tc>
        <w:tc>
          <w:tcPr>
            <w:tcW w:w="1313" w:type="dxa"/>
            <w:tcBorders>
              <w:top w:val="nil"/>
              <w:left w:val="nil"/>
              <w:bottom w:val="single" w:sz="4" w:space="0" w:color="auto"/>
              <w:right w:val="single" w:sz="4" w:space="0" w:color="auto"/>
            </w:tcBorders>
            <w:noWrap/>
            <w:hideMark/>
          </w:tcPr>
          <w:p w14:paraId="4336E627" w14:textId="77777777" w:rsidR="00312042" w:rsidRPr="00631C1C" w:rsidRDefault="00312042" w:rsidP="009A58EE">
            <w:pPr>
              <w:pStyle w:val="Normal-pool-Table"/>
              <w:jc w:val="right"/>
              <w:rPr>
                <w:szCs w:val="18"/>
              </w:rPr>
            </w:pPr>
            <w:r w:rsidRPr="00631C1C">
              <w:rPr>
                <w:szCs w:val="18"/>
              </w:rPr>
              <w:t>6 281</w:t>
            </w:r>
          </w:p>
        </w:tc>
      </w:tr>
      <w:tr w:rsidR="00F234CD" w:rsidRPr="00631C1C" w14:paraId="7FE871A6"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16584CB" w14:textId="77777777" w:rsidR="00312042" w:rsidRPr="00631C1C" w:rsidRDefault="00312042" w:rsidP="009A58EE">
            <w:pPr>
              <w:pStyle w:val="Normal-pool-Table"/>
              <w:rPr>
                <w:szCs w:val="18"/>
              </w:rPr>
            </w:pPr>
            <w:r w:rsidRPr="00631C1C">
              <w:rPr>
                <w:szCs w:val="18"/>
              </w:rPr>
              <w:t>2</w:t>
            </w:r>
          </w:p>
        </w:tc>
        <w:tc>
          <w:tcPr>
            <w:tcW w:w="2573" w:type="dxa"/>
            <w:tcBorders>
              <w:top w:val="nil"/>
              <w:left w:val="nil"/>
              <w:bottom w:val="single" w:sz="4" w:space="0" w:color="auto"/>
              <w:right w:val="single" w:sz="4" w:space="0" w:color="auto"/>
            </w:tcBorders>
            <w:noWrap/>
            <w:hideMark/>
          </w:tcPr>
          <w:p w14:paraId="4EA42ECB" w14:textId="77777777" w:rsidR="00312042" w:rsidRPr="00631C1C" w:rsidRDefault="00312042" w:rsidP="009A58EE">
            <w:pPr>
              <w:pStyle w:val="Normal-pool-Table"/>
              <w:rPr>
                <w:szCs w:val="18"/>
              </w:rPr>
            </w:pPr>
            <w:r w:rsidRPr="00631C1C">
              <w:rPr>
                <w:szCs w:val="18"/>
              </w:rPr>
              <w:t>Benin</w:t>
            </w:r>
          </w:p>
        </w:tc>
        <w:tc>
          <w:tcPr>
            <w:tcW w:w="1400" w:type="dxa"/>
            <w:tcBorders>
              <w:top w:val="nil"/>
              <w:left w:val="nil"/>
              <w:bottom w:val="single" w:sz="4" w:space="0" w:color="auto"/>
              <w:right w:val="single" w:sz="4" w:space="0" w:color="auto"/>
            </w:tcBorders>
            <w:noWrap/>
            <w:hideMark/>
          </w:tcPr>
          <w:p w14:paraId="0BA413CA" w14:textId="6A1526A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3097F165" w14:textId="48784FC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0146E55"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AD9870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61DCA58" w14:textId="77777777" w:rsidR="00312042" w:rsidRPr="00631C1C" w:rsidRDefault="00312042" w:rsidP="009A58EE">
            <w:pPr>
              <w:pStyle w:val="Normal-pool-Table"/>
              <w:jc w:val="right"/>
              <w:rPr>
                <w:szCs w:val="18"/>
              </w:rPr>
            </w:pPr>
            <w:r w:rsidRPr="00631C1C">
              <w:rPr>
                <w:szCs w:val="18"/>
              </w:rPr>
              <w:t>715</w:t>
            </w:r>
          </w:p>
        </w:tc>
      </w:tr>
      <w:tr w:rsidR="00F234CD" w:rsidRPr="00631C1C" w14:paraId="03003CC9"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35CEBC9" w14:textId="77777777" w:rsidR="00312042" w:rsidRPr="00631C1C" w:rsidRDefault="00312042" w:rsidP="009A58EE">
            <w:pPr>
              <w:pStyle w:val="Normal-pool-Table"/>
              <w:rPr>
                <w:szCs w:val="18"/>
              </w:rPr>
            </w:pPr>
            <w:r w:rsidRPr="00631C1C">
              <w:rPr>
                <w:szCs w:val="18"/>
              </w:rPr>
              <w:t>3</w:t>
            </w:r>
          </w:p>
        </w:tc>
        <w:tc>
          <w:tcPr>
            <w:tcW w:w="2573" w:type="dxa"/>
            <w:tcBorders>
              <w:top w:val="nil"/>
              <w:left w:val="nil"/>
              <w:bottom w:val="single" w:sz="4" w:space="0" w:color="auto"/>
              <w:right w:val="single" w:sz="4" w:space="0" w:color="auto"/>
            </w:tcBorders>
            <w:noWrap/>
            <w:hideMark/>
          </w:tcPr>
          <w:p w14:paraId="6ECE48DF" w14:textId="77777777" w:rsidR="00312042" w:rsidRPr="00631C1C" w:rsidRDefault="00312042" w:rsidP="009A58EE">
            <w:pPr>
              <w:pStyle w:val="Normal-pool-Table"/>
              <w:rPr>
                <w:szCs w:val="18"/>
              </w:rPr>
            </w:pPr>
            <w:r w:rsidRPr="00631C1C">
              <w:rPr>
                <w:szCs w:val="18"/>
              </w:rPr>
              <w:t>Botswana</w:t>
            </w:r>
          </w:p>
        </w:tc>
        <w:tc>
          <w:tcPr>
            <w:tcW w:w="1400" w:type="dxa"/>
            <w:tcBorders>
              <w:top w:val="nil"/>
              <w:left w:val="nil"/>
              <w:bottom w:val="single" w:sz="4" w:space="0" w:color="auto"/>
              <w:right w:val="single" w:sz="4" w:space="0" w:color="auto"/>
            </w:tcBorders>
            <w:noWrap/>
            <w:hideMark/>
          </w:tcPr>
          <w:p w14:paraId="7ACE7E75" w14:textId="4A9A265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w:t>
            </w:r>
          </w:p>
        </w:tc>
        <w:tc>
          <w:tcPr>
            <w:tcW w:w="1073" w:type="dxa"/>
            <w:tcBorders>
              <w:top w:val="nil"/>
              <w:left w:val="nil"/>
              <w:bottom w:val="single" w:sz="4" w:space="0" w:color="auto"/>
              <w:right w:val="single" w:sz="4" w:space="0" w:color="auto"/>
            </w:tcBorders>
            <w:noWrap/>
            <w:hideMark/>
          </w:tcPr>
          <w:p w14:paraId="5ED63AA0" w14:textId="16BEB52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0131</w:t>
            </w:r>
          </w:p>
        </w:tc>
        <w:tc>
          <w:tcPr>
            <w:tcW w:w="1293" w:type="dxa"/>
            <w:tcBorders>
              <w:top w:val="nil"/>
              <w:left w:val="nil"/>
              <w:bottom w:val="single" w:sz="4" w:space="0" w:color="auto"/>
              <w:right w:val="single" w:sz="4" w:space="0" w:color="auto"/>
            </w:tcBorders>
            <w:noWrap/>
            <w:hideMark/>
          </w:tcPr>
          <w:p w14:paraId="5B93EA29" w14:textId="77777777" w:rsidR="00312042" w:rsidRPr="00631C1C" w:rsidRDefault="00312042" w:rsidP="009A58EE">
            <w:pPr>
              <w:pStyle w:val="Normal-pool-Table"/>
              <w:jc w:val="right"/>
              <w:rPr>
                <w:szCs w:val="18"/>
              </w:rPr>
            </w:pPr>
            <w:r w:rsidRPr="00631C1C">
              <w:rPr>
                <w:szCs w:val="18"/>
              </w:rPr>
              <w:t>405</w:t>
            </w:r>
          </w:p>
        </w:tc>
        <w:tc>
          <w:tcPr>
            <w:tcW w:w="1293" w:type="dxa"/>
            <w:tcBorders>
              <w:top w:val="nil"/>
              <w:left w:val="nil"/>
              <w:bottom w:val="single" w:sz="4" w:space="0" w:color="auto"/>
              <w:right w:val="single" w:sz="4" w:space="0" w:color="auto"/>
            </w:tcBorders>
            <w:noWrap/>
            <w:hideMark/>
          </w:tcPr>
          <w:p w14:paraId="548AFF29" w14:textId="77777777" w:rsidR="00312042" w:rsidRPr="00631C1C" w:rsidRDefault="00312042" w:rsidP="009A58EE">
            <w:pPr>
              <w:pStyle w:val="Normal-pool-Table"/>
              <w:jc w:val="right"/>
              <w:rPr>
                <w:szCs w:val="18"/>
              </w:rPr>
            </w:pPr>
            <w:r w:rsidRPr="00631C1C">
              <w:rPr>
                <w:szCs w:val="18"/>
              </w:rPr>
              <w:t>534</w:t>
            </w:r>
          </w:p>
        </w:tc>
        <w:tc>
          <w:tcPr>
            <w:tcW w:w="1313" w:type="dxa"/>
            <w:tcBorders>
              <w:top w:val="nil"/>
              <w:left w:val="nil"/>
              <w:bottom w:val="single" w:sz="4" w:space="0" w:color="auto"/>
              <w:right w:val="single" w:sz="4" w:space="0" w:color="auto"/>
            </w:tcBorders>
            <w:noWrap/>
            <w:hideMark/>
          </w:tcPr>
          <w:p w14:paraId="736BA0AF" w14:textId="77777777" w:rsidR="00312042" w:rsidRPr="00631C1C" w:rsidRDefault="00312042" w:rsidP="009A58EE">
            <w:pPr>
              <w:pStyle w:val="Normal-pool-Table"/>
              <w:jc w:val="right"/>
              <w:rPr>
                <w:szCs w:val="18"/>
              </w:rPr>
            </w:pPr>
            <w:r w:rsidRPr="00631C1C">
              <w:rPr>
                <w:szCs w:val="18"/>
              </w:rPr>
              <w:t>938</w:t>
            </w:r>
          </w:p>
        </w:tc>
      </w:tr>
      <w:tr w:rsidR="00F234CD" w:rsidRPr="00631C1C" w14:paraId="171C616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288B04" w14:textId="77777777" w:rsidR="00312042" w:rsidRPr="00631C1C" w:rsidRDefault="00312042" w:rsidP="009A58EE">
            <w:pPr>
              <w:pStyle w:val="Normal-pool-Table"/>
              <w:rPr>
                <w:szCs w:val="18"/>
              </w:rPr>
            </w:pPr>
            <w:r w:rsidRPr="00631C1C">
              <w:rPr>
                <w:szCs w:val="18"/>
              </w:rPr>
              <w:t>4</w:t>
            </w:r>
          </w:p>
        </w:tc>
        <w:tc>
          <w:tcPr>
            <w:tcW w:w="2573" w:type="dxa"/>
            <w:tcBorders>
              <w:top w:val="nil"/>
              <w:left w:val="nil"/>
              <w:bottom w:val="single" w:sz="4" w:space="0" w:color="auto"/>
              <w:right w:val="single" w:sz="4" w:space="0" w:color="auto"/>
            </w:tcBorders>
            <w:noWrap/>
            <w:hideMark/>
          </w:tcPr>
          <w:p w14:paraId="1D69E170" w14:textId="77777777" w:rsidR="00312042" w:rsidRPr="00631C1C" w:rsidRDefault="00312042" w:rsidP="009A58EE">
            <w:pPr>
              <w:pStyle w:val="Normal-pool-Table"/>
              <w:rPr>
                <w:szCs w:val="18"/>
              </w:rPr>
            </w:pPr>
            <w:r w:rsidRPr="00631C1C">
              <w:rPr>
                <w:szCs w:val="18"/>
              </w:rPr>
              <w:t>Burkina Faso</w:t>
            </w:r>
          </w:p>
        </w:tc>
        <w:tc>
          <w:tcPr>
            <w:tcW w:w="1400" w:type="dxa"/>
            <w:tcBorders>
              <w:top w:val="nil"/>
              <w:left w:val="nil"/>
              <w:bottom w:val="single" w:sz="4" w:space="0" w:color="auto"/>
              <w:right w:val="single" w:sz="4" w:space="0" w:color="auto"/>
            </w:tcBorders>
            <w:noWrap/>
            <w:hideMark/>
          </w:tcPr>
          <w:p w14:paraId="01FA4D06" w14:textId="2D3833D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7A698FA8" w14:textId="6029B26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EB90DE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C56463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D128EF" w14:textId="77777777" w:rsidR="00312042" w:rsidRPr="00631C1C" w:rsidRDefault="00312042" w:rsidP="009A58EE">
            <w:pPr>
              <w:pStyle w:val="Normal-pool-Table"/>
              <w:jc w:val="right"/>
              <w:rPr>
                <w:szCs w:val="18"/>
              </w:rPr>
            </w:pPr>
            <w:r w:rsidRPr="00631C1C">
              <w:rPr>
                <w:szCs w:val="18"/>
              </w:rPr>
              <w:t>715</w:t>
            </w:r>
          </w:p>
        </w:tc>
      </w:tr>
      <w:tr w:rsidR="00F234CD" w:rsidRPr="00631C1C" w14:paraId="221FE02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6D224CE" w14:textId="77777777" w:rsidR="00312042" w:rsidRPr="00631C1C" w:rsidRDefault="00312042" w:rsidP="009A58EE">
            <w:pPr>
              <w:pStyle w:val="Normal-pool-Table"/>
              <w:rPr>
                <w:szCs w:val="18"/>
              </w:rPr>
            </w:pPr>
            <w:r w:rsidRPr="00631C1C">
              <w:rPr>
                <w:szCs w:val="18"/>
              </w:rPr>
              <w:t>5</w:t>
            </w:r>
          </w:p>
        </w:tc>
        <w:tc>
          <w:tcPr>
            <w:tcW w:w="2573" w:type="dxa"/>
            <w:tcBorders>
              <w:top w:val="nil"/>
              <w:left w:val="nil"/>
              <w:bottom w:val="single" w:sz="4" w:space="0" w:color="auto"/>
              <w:right w:val="single" w:sz="4" w:space="0" w:color="auto"/>
            </w:tcBorders>
            <w:noWrap/>
            <w:hideMark/>
          </w:tcPr>
          <w:p w14:paraId="36DAD1FF" w14:textId="77777777" w:rsidR="00312042" w:rsidRPr="00631C1C" w:rsidRDefault="00312042" w:rsidP="009A58EE">
            <w:pPr>
              <w:pStyle w:val="Normal-pool-Table"/>
              <w:rPr>
                <w:szCs w:val="18"/>
              </w:rPr>
            </w:pPr>
            <w:r w:rsidRPr="00631C1C">
              <w:rPr>
                <w:szCs w:val="18"/>
              </w:rPr>
              <w:t>Burundi</w:t>
            </w:r>
          </w:p>
        </w:tc>
        <w:tc>
          <w:tcPr>
            <w:tcW w:w="1400" w:type="dxa"/>
            <w:tcBorders>
              <w:top w:val="nil"/>
              <w:left w:val="nil"/>
              <w:bottom w:val="single" w:sz="4" w:space="0" w:color="auto"/>
              <w:right w:val="single" w:sz="4" w:space="0" w:color="auto"/>
            </w:tcBorders>
            <w:noWrap/>
            <w:hideMark/>
          </w:tcPr>
          <w:p w14:paraId="03B6F157" w14:textId="3AAEA19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1C5557F2" w14:textId="587AEFB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11BA16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0ABE2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32D0B85" w14:textId="77777777" w:rsidR="00312042" w:rsidRPr="00631C1C" w:rsidRDefault="00312042" w:rsidP="009A58EE">
            <w:pPr>
              <w:pStyle w:val="Normal-pool-Table"/>
              <w:jc w:val="right"/>
              <w:rPr>
                <w:szCs w:val="18"/>
              </w:rPr>
            </w:pPr>
            <w:r w:rsidRPr="00631C1C">
              <w:rPr>
                <w:szCs w:val="18"/>
              </w:rPr>
              <w:t>715</w:t>
            </w:r>
          </w:p>
        </w:tc>
      </w:tr>
      <w:tr w:rsidR="00F234CD" w:rsidRPr="00631C1C" w14:paraId="5D3C41F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E83015" w14:textId="77777777" w:rsidR="00312042" w:rsidRPr="00631C1C" w:rsidRDefault="00312042" w:rsidP="009A58EE">
            <w:pPr>
              <w:pStyle w:val="Normal-pool-Table"/>
              <w:rPr>
                <w:szCs w:val="18"/>
              </w:rPr>
            </w:pPr>
            <w:r w:rsidRPr="00631C1C">
              <w:rPr>
                <w:szCs w:val="18"/>
              </w:rPr>
              <w:t>6</w:t>
            </w:r>
          </w:p>
        </w:tc>
        <w:tc>
          <w:tcPr>
            <w:tcW w:w="2573" w:type="dxa"/>
            <w:tcBorders>
              <w:top w:val="nil"/>
              <w:left w:val="nil"/>
              <w:bottom w:val="single" w:sz="4" w:space="0" w:color="auto"/>
              <w:right w:val="single" w:sz="4" w:space="0" w:color="auto"/>
            </w:tcBorders>
            <w:noWrap/>
            <w:hideMark/>
          </w:tcPr>
          <w:p w14:paraId="55897AA2" w14:textId="77777777" w:rsidR="00312042" w:rsidRPr="00631C1C" w:rsidRDefault="00312042" w:rsidP="009A58EE">
            <w:pPr>
              <w:pStyle w:val="Normal-pool-Table"/>
              <w:rPr>
                <w:szCs w:val="18"/>
              </w:rPr>
            </w:pPr>
            <w:r w:rsidRPr="00631C1C">
              <w:rPr>
                <w:szCs w:val="18"/>
              </w:rPr>
              <w:t>Cameroon</w:t>
            </w:r>
          </w:p>
        </w:tc>
        <w:tc>
          <w:tcPr>
            <w:tcW w:w="1400" w:type="dxa"/>
            <w:tcBorders>
              <w:top w:val="nil"/>
              <w:left w:val="nil"/>
              <w:bottom w:val="single" w:sz="4" w:space="0" w:color="auto"/>
              <w:right w:val="single" w:sz="4" w:space="0" w:color="auto"/>
            </w:tcBorders>
            <w:noWrap/>
            <w:hideMark/>
          </w:tcPr>
          <w:p w14:paraId="16326D00" w14:textId="7F4ACD4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014</w:t>
            </w:r>
          </w:p>
        </w:tc>
        <w:tc>
          <w:tcPr>
            <w:tcW w:w="1073" w:type="dxa"/>
            <w:tcBorders>
              <w:top w:val="nil"/>
              <w:left w:val="nil"/>
              <w:bottom w:val="single" w:sz="4" w:space="0" w:color="auto"/>
              <w:right w:val="single" w:sz="4" w:space="0" w:color="auto"/>
            </w:tcBorders>
            <w:noWrap/>
            <w:hideMark/>
          </w:tcPr>
          <w:p w14:paraId="278C4BCE" w14:textId="73B193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0141</w:t>
            </w:r>
          </w:p>
        </w:tc>
        <w:tc>
          <w:tcPr>
            <w:tcW w:w="1293" w:type="dxa"/>
            <w:tcBorders>
              <w:top w:val="nil"/>
              <w:left w:val="nil"/>
              <w:bottom w:val="single" w:sz="4" w:space="0" w:color="auto"/>
              <w:right w:val="single" w:sz="4" w:space="0" w:color="auto"/>
            </w:tcBorders>
            <w:noWrap/>
            <w:hideMark/>
          </w:tcPr>
          <w:p w14:paraId="4C44D728" w14:textId="77777777" w:rsidR="00312042" w:rsidRPr="00631C1C" w:rsidRDefault="00312042" w:rsidP="009A58EE">
            <w:pPr>
              <w:pStyle w:val="Normal-pool-Table"/>
              <w:jc w:val="right"/>
              <w:rPr>
                <w:szCs w:val="18"/>
              </w:rPr>
            </w:pPr>
            <w:r w:rsidRPr="00631C1C">
              <w:rPr>
                <w:szCs w:val="18"/>
              </w:rPr>
              <w:t>436</w:t>
            </w:r>
          </w:p>
        </w:tc>
        <w:tc>
          <w:tcPr>
            <w:tcW w:w="1293" w:type="dxa"/>
            <w:tcBorders>
              <w:top w:val="nil"/>
              <w:left w:val="nil"/>
              <w:bottom w:val="single" w:sz="4" w:space="0" w:color="auto"/>
              <w:right w:val="single" w:sz="4" w:space="0" w:color="auto"/>
            </w:tcBorders>
            <w:noWrap/>
            <w:hideMark/>
          </w:tcPr>
          <w:p w14:paraId="07FEF1A7" w14:textId="77777777" w:rsidR="00312042" w:rsidRPr="00631C1C" w:rsidRDefault="00312042" w:rsidP="009A58EE">
            <w:pPr>
              <w:pStyle w:val="Normal-pool-Table"/>
              <w:jc w:val="right"/>
              <w:rPr>
                <w:szCs w:val="18"/>
              </w:rPr>
            </w:pPr>
            <w:r w:rsidRPr="00631C1C">
              <w:rPr>
                <w:szCs w:val="18"/>
              </w:rPr>
              <w:t>575</w:t>
            </w:r>
          </w:p>
        </w:tc>
        <w:tc>
          <w:tcPr>
            <w:tcW w:w="1313" w:type="dxa"/>
            <w:tcBorders>
              <w:top w:val="nil"/>
              <w:left w:val="nil"/>
              <w:bottom w:val="single" w:sz="4" w:space="0" w:color="auto"/>
              <w:right w:val="single" w:sz="4" w:space="0" w:color="auto"/>
            </w:tcBorders>
            <w:noWrap/>
            <w:hideMark/>
          </w:tcPr>
          <w:p w14:paraId="5A893828" w14:textId="77777777" w:rsidR="00312042" w:rsidRPr="00631C1C" w:rsidRDefault="00312042" w:rsidP="009A58EE">
            <w:pPr>
              <w:pStyle w:val="Normal-pool-Table"/>
              <w:jc w:val="right"/>
              <w:rPr>
                <w:szCs w:val="18"/>
              </w:rPr>
            </w:pPr>
            <w:r w:rsidRPr="00631C1C">
              <w:rPr>
                <w:szCs w:val="18"/>
              </w:rPr>
              <w:t>1 011</w:t>
            </w:r>
          </w:p>
        </w:tc>
      </w:tr>
      <w:tr w:rsidR="00F234CD" w:rsidRPr="00631C1C" w14:paraId="09034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BBFFCA" w14:textId="77777777" w:rsidR="00312042" w:rsidRPr="00631C1C" w:rsidRDefault="00312042" w:rsidP="009A58EE">
            <w:pPr>
              <w:pStyle w:val="Normal-pool-Table"/>
              <w:rPr>
                <w:szCs w:val="18"/>
              </w:rPr>
            </w:pPr>
            <w:r w:rsidRPr="00631C1C">
              <w:rPr>
                <w:szCs w:val="18"/>
              </w:rPr>
              <w:t>7</w:t>
            </w:r>
          </w:p>
        </w:tc>
        <w:tc>
          <w:tcPr>
            <w:tcW w:w="2573" w:type="dxa"/>
            <w:tcBorders>
              <w:top w:val="nil"/>
              <w:left w:val="nil"/>
              <w:bottom w:val="single" w:sz="4" w:space="0" w:color="auto"/>
              <w:right w:val="single" w:sz="4" w:space="0" w:color="auto"/>
            </w:tcBorders>
            <w:noWrap/>
            <w:hideMark/>
          </w:tcPr>
          <w:p w14:paraId="2650DEC5" w14:textId="77777777" w:rsidR="00312042" w:rsidRPr="00631C1C" w:rsidRDefault="00312042" w:rsidP="009A58EE">
            <w:pPr>
              <w:pStyle w:val="Normal-pool-Table"/>
              <w:rPr>
                <w:szCs w:val="18"/>
              </w:rPr>
            </w:pPr>
            <w:r w:rsidRPr="00631C1C">
              <w:rPr>
                <w:szCs w:val="18"/>
              </w:rPr>
              <w:t>Central African Republic</w:t>
            </w:r>
          </w:p>
        </w:tc>
        <w:tc>
          <w:tcPr>
            <w:tcW w:w="1400" w:type="dxa"/>
            <w:tcBorders>
              <w:top w:val="nil"/>
              <w:left w:val="nil"/>
              <w:bottom w:val="single" w:sz="4" w:space="0" w:color="auto"/>
              <w:right w:val="single" w:sz="4" w:space="0" w:color="auto"/>
            </w:tcBorders>
            <w:noWrap/>
            <w:hideMark/>
          </w:tcPr>
          <w:p w14:paraId="077F051C" w14:textId="7E7D21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EF3B8F9" w14:textId="2173AC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70BEBF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F6855D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0B13320" w14:textId="77777777" w:rsidR="00312042" w:rsidRPr="00631C1C" w:rsidRDefault="00312042" w:rsidP="009A58EE">
            <w:pPr>
              <w:pStyle w:val="Normal-pool-Table"/>
              <w:jc w:val="right"/>
              <w:rPr>
                <w:szCs w:val="18"/>
              </w:rPr>
            </w:pPr>
            <w:r w:rsidRPr="00631C1C">
              <w:rPr>
                <w:szCs w:val="18"/>
              </w:rPr>
              <w:t>715</w:t>
            </w:r>
          </w:p>
        </w:tc>
      </w:tr>
      <w:tr w:rsidR="00F234CD" w:rsidRPr="00631C1C" w14:paraId="1AD419CB"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E56EEA7" w14:textId="77777777" w:rsidR="00312042" w:rsidRPr="00631C1C" w:rsidRDefault="00312042" w:rsidP="009A58EE">
            <w:pPr>
              <w:pStyle w:val="Normal-pool-Table"/>
              <w:rPr>
                <w:szCs w:val="18"/>
              </w:rPr>
            </w:pPr>
            <w:r w:rsidRPr="00631C1C">
              <w:rPr>
                <w:szCs w:val="18"/>
              </w:rPr>
              <w:t>8</w:t>
            </w:r>
          </w:p>
        </w:tc>
        <w:tc>
          <w:tcPr>
            <w:tcW w:w="2573" w:type="dxa"/>
            <w:tcBorders>
              <w:top w:val="nil"/>
              <w:left w:val="nil"/>
              <w:bottom w:val="single" w:sz="4" w:space="0" w:color="auto"/>
              <w:right w:val="single" w:sz="4" w:space="0" w:color="auto"/>
            </w:tcBorders>
            <w:noWrap/>
            <w:hideMark/>
          </w:tcPr>
          <w:p w14:paraId="480E6D23" w14:textId="77777777" w:rsidR="00312042" w:rsidRPr="00631C1C" w:rsidRDefault="00312042" w:rsidP="009A58EE">
            <w:pPr>
              <w:pStyle w:val="Normal-pool-Table"/>
              <w:rPr>
                <w:szCs w:val="18"/>
              </w:rPr>
            </w:pPr>
            <w:r w:rsidRPr="00631C1C">
              <w:rPr>
                <w:szCs w:val="18"/>
              </w:rPr>
              <w:t>Chad</w:t>
            </w:r>
          </w:p>
        </w:tc>
        <w:tc>
          <w:tcPr>
            <w:tcW w:w="1400" w:type="dxa"/>
            <w:tcBorders>
              <w:top w:val="nil"/>
              <w:left w:val="nil"/>
              <w:bottom w:val="single" w:sz="4" w:space="0" w:color="auto"/>
              <w:right w:val="single" w:sz="4" w:space="0" w:color="auto"/>
            </w:tcBorders>
            <w:noWrap/>
            <w:hideMark/>
          </w:tcPr>
          <w:p w14:paraId="6C7DA3D7" w14:textId="6DA75AF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2B035DED" w14:textId="4858F1D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B37197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BD82E2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F6EDAFE" w14:textId="77777777" w:rsidR="00312042" w:rsidRPr="00631C1C" w:rsidRDefault="00312042" w:rsidP="009A58EE">
            <w:pPr>
              <w:pStyle w:val="Normal-pool-Table"/>
              <w:jc w:val="right"/>
              <w:rPr>
                <w:szCs w:val="18"/>
              </w:rPr>
            </w:pPr>
            <w:r w:rsidRPr="00631C1C">
              <w:rPr>
                <w:szCs w:val="18"/>
              </w:rPr>
              <w:t>715</w:t>
            </w:r>
          </w:p>
        </w:tc>
      </w:tr>
      <w:tr w:rsidR="00F234CD" w:rsidRPr="00631C1C" w14:paraId="1AFE170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5EE3A37" w14:textId="77777777" w:rsidR="00312042" w:rsidRPr="00631C1C" w:rsidRDefault="00312042" w:rsidP="009A58EE">
            <w:pPr>
              <w:pStyle w:val="Normal-pool-Table"/>
              <w:rPr>
                <w:szCs w:val="18"/>
              </w:rPr>
            </w:pPr>
            <w:r w:rsidRPr="00631C1C">
              <w:rPr>
                <w:szCs w:val="18"/>
              </w:rPr>
              <w:t>9</w:t>
            </w:r>
          </w:p>
        </w:tc>
        <w:tc>
          <w:tcPr>
            <w:tcW w:w="2573" w:type="dxa"/>
            <w:tcBorders>
              <w:top w:val="nil"/>
              <w:left w:val="nil"/>
              <w:bottom w:val="single" w:sz="4" w:space="0" w:color="auto"/>
              <w:right w:val="single" w:sz="4" w:space="0" w:color="auto"/>
            </w:tcBorders>
            <w:noWrap/>
            <w:hideMark/>
          </w:tcPr>
          <w:p w14:paraId="2F3C3609" w14:textId="77777777" w:rsidR="00312042" w:rsidRPr="00631C1C" w:rsidRDefault="00312042" w:rsidP="009A58EE">
            <w:pPr>
              <w:pStyle w:val="Normal-pool-Table"/>
              <w:rPr>
                <w:szCs w:val="18"/>
              </w:rPr>
            </w:pPr>
            <w:r w:rsidRPr="00631C1C">
              <w:rPr>
                <w:szCs w:val="18"/>
              </w:rPr>
              <w:t>Comoros</w:t>
            </w:r>
          </w:p>
        </w:tc>
        <w:tc>
          <w:tcPr>
            <w:tcW w:w="1400" w:type="dxa"/>
            <w:tcBorders>
              <w:top w:val="nil"/>
              <w:left w:val="nil"/>
              <w:bottom w:val="single" w:sz="4" w:space="0" w:color="auto"/>
              <w:right w:val="single" w:sz="4" w:space="0" w:color="auto"/>
            </w:tcBorders>
            <w:noWrap/>
            <w:hideMark/>
          </w:tcPr>
          <w:p w14:paraId="33F1B9E2" w14:textId="1742D61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5B74D8EF" w14:textId="7A1C1C6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CB32DC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0EF124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9D7E2C" w14:textId="77777777" w:rsidR="00312042" w:rsidRPr="00631C1C" w:rsidRDefault="00312042" w:rsidP="009A58EE">
            <w:pPr>
              <w:pStyle w:val="Normal-pool-Table"/>
              <w:jc w:val="right"/>
              <w:rPr>
                <w:szCs w:val="18"/>
              </w:rPr>
            </w:pPr>
            <w:r w:rsidRPr="00631C1C">
              <w:rPr>
                <w:szCs w:val="18"/>
              </w:rPr>
              <w:t>715</w:t>
            </w:r>
          </w:p>
        </w:tc>
      </w:tr>
      <w:tr w:rsidR="00F234CD" w:rsidRPr="00631C1C" w14:paraId="2D6FBCD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C563F9" w14:textId="77777777" w:rsidR="00312042" w:rsidRPr="00631C1C" w:rsidRDefault="00312042" w:rsidP="009A58EE">
            <w:pPr>
              <w:pStyle w:val="Normal-pool-Table"/>
              <w:rPr>
                <w:szCs w:val="18"/>
              </w:rPr>
            </w:pPr>
            <w:r w:rsidRPr="00631C1C">
              <w:rPr>
                <w:szCs w:val="18"/>
              </w:rPr>
              <w:t>10</w:t>
            </w:r>
          </w:p>
        </w:tc>
        <w:tc>
          <w:tcPr>
            <w:tcW w:w="2573" w:type="dxa"/>
            <w:tcBorders>
              <w:top w:val="nil"/>
              <w:left w:val="nil"/>
              <w:bottom w:val="single" w:sz="4" w:space="0" w:color="auto"/>
              <w:right w:val="single" w:sz="4" w:space="0" w:color="auto"/>
            </w:tcBorders>
            <w:noWrap/>
            <w:hideMark/>
          </w:tcPr>
          <w:p w14:paraId="4F98FC6E" w14:textId="77777777" w:rsidR="00312042" w:rsidRPr="00631C1C" w:rsidRDefault="00312042" w:rsidP="009A58EE">
            <w:pPr>
              <w:pStyle w:val="Normal-pool-Table"/>
              <w:rPr>
                <w:szCs w:val="18"/>
              </w:rPr>
            </w:pPr>
            <w:r w:rsidRPr="00631C1C">
              <w:rPr>
                <w:szCs w:val="18"/>
              </w:rPr>
              <w:t>Congo</w:t>
            </w:r>
          </w:p>
        </w:tc>
        <w:tc>
          <w:tcPr>
            <w:tcW w:w="1400" w:type="dxa"/>
            <w:tcBorders>
              <w:top w:val="nil"/>
              <w:left w:val="nil"/>
              <w:bottom w:val="single" w:sz="4" w:space="0" w:color="auto"/>
              <w:right w:val="single" w:sz="4" w:space="0" w:color="auto"/>
            </w:tcBorders>
            <w:noWrap/>
            <w:hideMark/>
          </w:tcPr>
          <w:p w14:paraId="3B18F1E9" w14:textId="237A726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47054B57" w14:textId="2B83FBA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1281E5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B20283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BB30265" w14:textId="77777777" w:rsidR="00312042" w:rsidRPr="00631C1C" w:rsidRDefault="00312042" w:rsidP="009A58EE">
            <w:pPr>
              <w:pStyle w:val="Normal-pool-Table"/>
              <w:jc w:val="right"/>
              <w:rPr>
                <w:szCs w:val="18"/>
              </w:rPr>
            </w:pPr>
            <w:r w:rsidRPr="00631C1C">
              <w:rPr>
                <w:szCs w:val="18"/>
              </w:rPr>
              <w:t>715</w:t>
            </w:r>
          </w:p>
        </w:tc>
      </w:tr>
      <w:tr w:rsidR="00F234CD" w:rsidRPr="00631C1C" w14:paraId="2396E54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2ABC637" w14:textId="77777777" w:rsidR="00312042" w:rsidRPr="00631C1C" w:rsidRDefault="00312042" w:rsidP="009A58EE">
            <w:pPr>
              <w:pStyle w:val="Normal-pool-Table"/>
              <w:rPr>
                <w:szCs w:val="18"/>
              </w:rPr>
            </w:pPr>
            <w:r w:rsidRPr="00631C1C">
              <w:rPr>
                <w:szCs w:val="18"/>
              </w:rPr>
              <w:t>11</w:t>
            </w:r>
          </w:p>
        </w:tc>
        <w:tc>
          <w:tcPr>
            <w:tcW w:w="2573" w:type="dxa"/>
            <w:tcBorders>
              <w:top w:val="nil"/>
              <w:left w:val="nil"/>
              <w:bottom w:val="single" w:sz="4" w:space="0" w:color="auto"/>
              <w:right w:val="single" w:sz="4" w:space="0" w:color="auto"/>
            </w:tcBorders>
            <w:noWrap/>
            <w:hideMark/>
          </w:tcPr>
          <w:p w14:paraId="02E0047A" w14:textId="77777777" w:rsidR="00312042" w:rsidRPr="00631C1C" w:rsidRDefault="00312042" w:rsidP="009A58EE">
            <w:pPr>
              <w:pStyle w:val="Normal-pool-Table"/>
              <w:rPr>
                <w:szCs w:val="18"/>
              </w:rPr>
            </w:pPr>
            <w:r w:rsidRPr="00631C1C">
              <w:rPr>
                <w:szCs w:val="18"/>
              </w:rPr>
              <w:t>Côte d’Ivoire</w:t>
            </w:r>
          </w:p>
        </w:tc>
        <w:tc>
          <w:tcPr>
            <w:tcW w:w="1400" w:type="dxa"/>
            <w:tcBorders>
              <w:top w:val="nil"/>
              <w:left w:val="nil"/>
              <w:bottom w:val="single" w:sz="4" w:space="0" w:color="auto"/>
              <w:right w:val="single" w:sz="4" w:space="0" w:color="auto"/>
            </w:tcBorders>
            <w:noWrap/>
            <w:hideMark/>
          </w:tcPr>
          <w:p w14:paraId="67185D49" w14:textId="01597F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024</w:t>
            </w:r>
          </w:p>
        </w:tc>
        <w:tc>
          <w:tcPr>
            <w:tcW w:w="1073" w:type="dxa"/>
            <w:tcBorders>
              <w:top w:val="nil"/>
              <w:left w:val="nil"/>
              <w:bottom w:val="single" w:sz="4" w:space="0" w:color="auto"/>
              <w:right w:val="single" w:sz="4" w:space="0" w:color="auto"/>
            </w:tcBorders>
            <w:noWrap/>
            <w:hideMark/>
          </w:tcPr>
          <w:p w14:paraId="2CBFB6BB" w14:textId="6185981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0242</w:t>
            </w:r>
          </w:p>
        </w:tc>
        <w:tc>
          <w:tcPr>
            <w:tcW w:w="1293" w:type="dxa"/>
            <w:tcBorders>
              <w:top w:val="nil"/>
              <w:left w:val="nil"/>
              <w:bottom w:val="single" w:sz="4" w:space="0" w:color="auto"/>
              <w:right w:val="single" w:sz="4" w:space="0" w:color="auto"/>
            </w:tcBorders>
            <w:noWrap/>
            <w:hideMark/>
          </w:tcPr>
          <w:p w14:paraId="51D1DC0E" w14:textId="77777777" w:rsidR="00312042" w:rsidRPr="00631C1C" w:rsidRDefault="00312042" w:rsidP="009A58EE">
            <w:pPr>
              <w:pStyle w:val="Normal-pool-Table"/>
              <w:jc w:val="right"/>
              <w:rPr>
                <w:szCs w:val="18"/>
              </w:rPr>
            </w:pPr>
            <w:r w:rsidRPr="00631C1C">
              <w:rPr>
                <w:szCs w:val="18"/>
              </w:rPr>
              <w:t>747</w:t>
            </w:r>
          </w:p>
        </w:tc>
        <w:tc>
          <w:tcPr>
            <w:tcW w:w="1293" w:type="dxa"/>
            <w:tcBorders>
              <w:top w:val="nil"/>
              <w:left w:val="nil"/>
              <w:bottom w:val="single" w:sz="4" w:space="0" w:color="auto"/>
              <w:right w:val="single" w:sz="4" w:space="0" w:color="auto"/>
            </w:tcBorders>
            <w:noWrap/>
            <w:hideMark/>
          </w:tcPr>
          <w:p w14:paraId="7AF3E0CB" w14:textId="77777777" w:rsidR="00312042" w:rsidRPr="00631C1C" w:rsidRDefault="00312042" w:rsidP="009A58EE">
            <w:pPr>
              <w:pStyle w:val="Normal-pool-Table"/>
              <w:jc w:val="right"/>
              <w:rPr>
                <w:szCs w:val="18"/>
              </w:rPr>
            </w:pPr>
            <w:r w:rsidRPr="00631C1C">
              <w:rPr>
                <w:szCs w:val="18"/>
              </w:rPr>
              <w:t>986</w:t>
            </w:r>
          </w:p>
        </w:tc>
        <w:tc>
          <w:tcPr>
            <w:tcW w:w="1313" w:type="dxa"/>
            <w:tcBorders>
              <w:top w:val="nil"/>
              <w:left w:val="nil"/>
              <w:bottom w:val="single" w:sz="4" w:space="0" w:color="auto"/>
              <w:right w:val="single" w:sz="4" w:space="0" w:color="auto"/>
            </w:tcBorders>
            <w:noWrap/>
            <w:hideMark/>
          </w:tcPr>
          <w:p w14:paraId="7903D888" w14:textId="77777777" w:rsidR="00312042" w:rsidRPr="00631C1C" w:rsidRDefault="00312042" w:rsidP="009A58EE">
            <w:pPr>
              <w:pStyle w:val="Normal-pool-Table"/>
              <w:jc w:val="right"/>
              <w:rPr>
                <w:szCs w:val="18"/>
              </w:rPr>
            </w:pPr>
            <w:r w:rsidRPr="00631C1C">
              <w:rPr>
                <w:szCs w:val="18"/>
              </w:rPr>
              <w:t>1 733</w:t>
            </w:r>
          </w:p>
        </w:tc>
      </w:tr>
      <w:tr w:rsidR="00F234CD" w:rsidRPr="00631C1C" w14:paraId="5DD21B2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E7733E" w14:textId="77777777" w:rsidR="00312042" w:rsidRPr="00631C1C" w:rsidRDefault="00312042" w:rsidP="009A58EE">
            <w:pPr>
              <w:pStyle w:val="Normal-pool-Table"/>
              <w:rPr>
                <w:szCs w:val="18"/>
              </w:rPr>
            </w:pPr>
            <w:r w:rsidRPr="00631C1C">
              <w:rPr>
                <w:szCs w:val="18"/>
              </w:rPr>
              <w:t>12</w:t>
            </w:r>
          </w:p>
        </w:tc>
        <w:tc>
          <w:tcPr>
            <w:tcW w:w="2573" w:type="dxa"/>
            <w:tcBorders>
              <w:top w:val="nil"/>
              <w:left w:val="nil"/>
              <w:bottom w:val="single" w:sz="4" w:space="0" w:color="auto"/>
              <w:right w:val="single" w:sz="4" w:space="0" w:color="auto"/>
            </w:tcBorders>
            <w:noWrap/>
            <w:hideMark/>
          </w:tcPr>
          <w:p w14:paraId="403CFB2C" w14:textId="77777777" w:rsidR="00312042" w:rsidRPr="00631C1C" w:rsidRDefault="00312042" w:rsidP="009A58EE">
            <w:pPr>
              <w:pStyle w:val="Normal-pool-Table"/>
              <w:rPr>
                <w:szCs w:val="18"/>
              </w:rPr>
            </w:pPr>
            <w:r w:rsidRPr="00631C1C">
              <w:rPr>
                <w:szCs w:val="18"/>
              </w:rPr>
              <w:t>Djibouti</w:t>
            </w:r>
          </w:p>
        </w:tc>
        <w:tc>
          <w:tcPr>
            <w:tcW w:w="1400" w:type="dxa"/>
            <w:tcBorders>
              <w:top w:val="nil"/>
              <w:left w:val="nil"/>
              <w:bottom w:val="single" w:sz="4" w:space="0" w:color="auto"/>
              <w:right w:val="single" w:sz="4" w:space="0" w:color="auto"/>
            </w:tcBorders>
            <w:noWrap/>
            <w:hideMark/>
          </w:tcPr>
          <w:p w14:paraId="7E7CA551" w14:textId="5D27EFC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0EDF0891" w14:textId="6025EF7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D586B2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412C3A0"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EE7CDE2" w14:textId="77777777" w:rsidR="00312042" w:rsidRPr="00631C1C" w:rsidRDefault="00312042" w:rsidP="009A58EE">
            <w:pPr>
              <w:pStyle w:val="Normal-pool-Table"/>
              <w:jc w:val="right"/>
              <w:rPr>
                <w:szCs w:val="18"/>
              </w:rPr>
            </w:pPr>
            <w:r w:rsidRPr="00631C1C">
              <w:rPr>
                <w:szCs w:val="18"/>
              </w:rPr>
              <w:t>715</w:t>
            </w:r>
          </w:p>
        </w:tc>
      </w:tr>
      <w:tr w:rsidR="00F234CD" w:rsidRPr="00631C1C" w14:paraId="37FD16B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067E4DB" w14:textId="77777777" w:rsidR="00312042" w:rsidRPr="00631C1C" w:rsidRDefault="00312042" w:rsidP="009A58EE">
            <w:pPr>
              <w:pStyle w:val="Normal-pool-Table"/>
              <w:rPr>
                <w:szCs w:val="18"/>
              </w:rPr>
            </w:pPr>
            <w:r w:rsidRPr="00631C1C">
              <w:rPr>
                <w:szCs w:val="18"/>
              </w:rPr>
              <w:t>13</w:t>
            </w:r>
          </w:p>
        </w:tc>
        <w:tc>
          <w:tcPr>
            <w:tcW w:w="2573" w:type="dxa"/>
            <w:tcBorders>
              <w:top w:val="nil"/>
              <w:left w:val="nil"/>
              <w:bottom w:val="single" w:sz="4" w:space="0" w:color="auto"/>
              <w:right w:val="single" w:sz="4" w:space="0" w:color="auto"/>
            </w:tcBorders>
            <w:noWrap/>
            <w:hideMark/>
          </w:tcPr>
          <w:p w14:paraId="0CC388EB" w14:textId="77777777" w:rsidR="00312042" w:rsidRPr="00631C1C" w:rsidRDefault="00312042" w:rsidP="009A58EE">
            <w:pPr>
              <w:pStyle w:val="Normal-pool-Table"/>
              <w:rPr>
                <w:szCs w:val="18"/>
              </w:rPr>
            </w:pPr>
            <w:r w:rsidRPr="00631C1C">
              <w:rPr>
                <w:szCs w:val="18"/>
              </w:rPr>
              <w:t>Equatorial Guinea</w:t>
            </w:r>
          </w:p>
        </w:tc>
        <w:tc>
          <w:tcPr>
            <w:tcW w:w="1400" w:type="dxa"/>
            <w:tcBorders>
              <w:top w:val="nil"/>
              <w:left w:val="nil"/>
              <w:bottom w:val="single" w:sz="4" w:space="0" w:color="auto"/>
              <w:right w:val="single" w:sz="4" w:space="0" w:color="auto"/>
            </w:tcBorders>
            <w:noWrap/>
            <w:hideMark/>
          </w:tcPr>
          <w:p w14:paraId="44684D4D" w14:textId="2A61A4F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706A6A12" w14:textId="7F0188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D74325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DBC32E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7F9DF6D" w14:textId="77777777" w:rsidR="00312042" w:rsidRPr="00631C1C" w:rsidRDefault="00312042" w:rsidP="009A58EE">
            <w:pPr>
              <w:pStyle w:val="Normal-pool-Table"/>
              <w:jc w:val="right"/>
              <w:rPr>
                <w:szCs w:val="18"/>
              </w:rPr>
            </w:pPr>
            <w:r w:rsidRPr="00631C1C">
              <w:rPr>
                <w:szCs w:val="18"/>
              </w:rPr>
              <w:t>715</w:t>
            </w:r>
          </w:p>
        </w:tc>
      </w:tr>
      <w:tr w:rsidR="00F234CD" w:rsidRPr="00631C1C" w14:paraId="2981DBD1"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35D3437" w14:textId="77777777" w:rsidR="00312042" w:rsidRPr="00631C1C" w:rsidRDefault="00312042" w:rsidP="009A58EE">
            <w:pPr>
              <w:pStyle w:val="Normal-pool-Table"/>
              <w:rPr>
                <w:szCs w:val="18"/>
              </w:rPr>
            </w:pPr>
            <w:r w:rsidRPr="00631C1C">
              <w:rPr>
                <w:szCs w:val="18"/>
              </w:rPr>
              <w:t>14</w:t>
            </w:r>
          </w:p>
        </w:tc>
        <w:tc>
          <w:tcPr>
            <w:tcW w:w="2573" w:type="dxa"/>
            <w:tcBorders>
              <w:top w:val="nil"/>
              <w:left w:val="nil"/>
              <w:bottom w:val="single" w:sz="4" w:space="0" w:color="auto"/>
              <w:right w:val="single" w:sz="4" w:space="0" w:color="auto"/>
            </w:tcBorders>
            <w:noWrap/>
            <w:hideMark/>
          </w:tcPr>
          <w:p w14:paraId="29A8CB45" w14:textId="77777777" w:rsidR="00312042" w:rsidRPr="00631C1C" w:rsidRDefault="00312042" w:rsidP="009A58EE">
            <w:pPr>
              <w:pStyle w:val="Normal-pool-Table"/>
              <w:rPr>
                <w:szCs w:val="18"/>
              </w:rPr>
            </w:pPr>
            <w:r w:rsidRPr="00631C1C">
              <w:rPr>
                <w:szCs w:val="18"/>
              </w:rPr>
              <w:t>Eritrea</w:t>
            </w:r>
          </w:p>
        </w:tc>
        <w:tc>
          <w:tcPr>
            <w:tcW w:w="1400" w:type="dxa"/>
            <w:tcBorders>
              <w:top w:val="nil"/>
              <w:left w:val="nil"/>
              <w:bottom w:val="single" w:sz="4" w:space="0" w:color="auto"/>
              <w:right w:val="single" w:sz="4" w:space="0" w:color="auto"/>
            </w:tcBorders>
            <w:noWrap/>
            <w:hideMark/>
          </w:tcPr>
          <w:p w14:paraId="4B8ACCC4" w14:textId="78D1B28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6DE459C" w14:textId="1FBC092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821334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BA3C08"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F9DF30C" w14:textId="77777777" w:rsidR="00312042" w:rsidRPr="00631C1C" w:rsidRDefault="00312042" w:rsidP="009A58EE">
            <w:pPr>
              <w:pStyle w:val="Normal-pool-Table"/>
              <w:jc w:val="right"/>
              <w:rPr>
                <w:szCs w:val="18"/>
              </w:rPr>
            </w:pPr>
            <w:r w:rsidRPr="00631C1C">
              <w:rPr>
                <w:szCs w:val="18"/>
              </w:rPr>
              <w:t>715</w:t>
            </w:r>
          </w:p>
        </w:tc>
      </w:tr>
      <w:tr w:rsidR="00F234CD" w:rsidRPr="00631C1C" w14:paraId="00D4FB50"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5DAAD33" w14:textId="77777777" w:rsidR="00312042" w:rsidRPr="00631C1C" w:rsidRDefault="00312042" w:rsidP="009A58EE">
            <w:pPr>
              <w:pStyle w:val="Normal-pool-Table"/>
              <w:rPr>
                <w:szCs w:val="18"/>
              </w:rPr>
            </w:pPr>
            <w:r w:rsidRPr="00631C1C">
              <w:rPr>
                <w:szCs w:val="18"/>
              </w:rPr>
              <w:t>15</w:t>
            </w:r>
          </w:p>
        </w:tc>
        <w:tc>
          <w:tcPr>
            <w:tcW w:w="2573" w:type="dxa"/>
            <w:tcBorders>
              <w:top w:val="nil"/>
              <w:left w:val="nil"/>
              <w:bottom w:val="single" w:sz="4" w:space="0" w:color="auto"/>
              <w:right w:val="single" w:sz="4" w:space="0" w:color="auto"/>
            </w:tcBorders>
            <w:noWrap/>
            <w:hideMark/>
          </w:tcPr>
          <w:p w14:paraId="61337A48" w14:textId="77777777" w:rsidR="00312042" w:rsidRPr="00631C1C" w:rsidRDefault="00312042" w:rsidP="009A58EE">
            <w:pPr>
              <w:pStyle w:val="Normal-pool-Table"/>
              <w:rPr>
                <w:szCs w:val="18"/>
              </w:rPr>
            </w:pPr>
            <w:r w:rsidRPr="00631C1C">
              <w:rPr>
                <w:szCs w:val="18"/>
              </w:rPr>
              <w:t>Eswatini</w:t>
            </w:r>
          </w:p>
        </w:tc>
        <w:tc>
          <w:tcPr>
            <w:tcW w:w="1400" w:type="dxa"/>
            <w:tcBorders>
              <w:top w:val="nil"/>
              <w:left w:val="nil"/>
              <w:bottom w:val="single" w:sz="4" w:space="0" w:color="auto"/>
              <w:right w:val="single" w:sz="4" w:space="0" w:color="auto"/>
            </w:tcBorders>
            <w:noWrap/>
            <w:hideMark/>
          </w:tcPr>
          <w:p w14:paraId="0EE706A2" w14:textId="0BB87B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4FF62C99" w14:textId="3F71743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219C8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39CE9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B780CD" w14:textId="77777777" w:rsidR="00312042" w:rsidRPr="00631C1C" w:rsidRDefault="00312042" w:rsidP="009A58EE">
            <w:pPr>
              <w:pStyle w:val="Normal-pool-Table"/>
              <w:jc w:val="right"/>
              <w:rPr>
                <w:szCs w:val="18"/>
              </w:rPr>
            </w:pPr>
            <w:r w:rsidRPr="00631C1C">
              <w:rPr>
                <w:szCs w:val="18"/>
              </w:rPr>
              <w:t>715</w:t>
            </w:r>
          </w:p>
        </w:tc>
      </w:tr>
      <w:tr w:rsidR="00F234CD" w:rsidRPr="00631C1C" w14:paraId="18C432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9E071" w14:textId="77777777" w:rsidR="00312042" w:rsidRPr="00631C1C" w:rsidRDefault="00312042" w:rsidP="009A58EE">
            <w:pPr>
              <w:pStyle w:val="Normal-pool-Table"/>
              <w:rPr>
                <w:szCs w:val="18"/>
              </w:rPr>
            </w:pPr>
            <w:r w:rsidRPr="00631C1C">
              <w:rPr>
                <w:szCs w:val="18"/>
              </w:rPr>
              <w:t>16</w:t>
            </w:r>
          </w:p>
        </w:tc>
        <w:tc>
          <w:tcPr>
            <w:tcW w:w="2573" w:type="dxa"/>
            <w:tcBorders>
              <w:top w:val="nil"/>
              <w:left w:val="nil"/>
              <w:bottom w:val="single" w:sz="4" w:space="0" w:color="auto"/>
              <w:right w:val="single" w:sz="4" w:space="0" w:color="auto"/>
            </w:tcBorders>
            <w:noWrap/>
            <w:hideMark/>
          </w:tcPr>
          <w:p w14:paraId="46E40141" w14:textId="77777777" w:rsidR="00312042" w:rsidRPr="00631C1C" w:rsidRDefault="00312042" w:rsidP="009A58EE">
            <w:pPr>
              <w:pStyle w:val="Normal-pool-Table"/>
              <w:rPr>
                <w:szCs w:val="18"/>
              </w:rPr>
            </w:pPr>
            <w:r w:rsidRPr="00631C1C">
              <w:rPr>
                <w:szCs w:val="18"/>
              </w:rPr>
              <w:t>Ethiopia</w:t>
            </w:r>
          </w:p>
        </w:tc>
        <w:tc>
          <w:tcPr>
            <w:tcW w:w="1400" w:type="dxa"/>
            <w:tcBorders>
              <w:top w:val="nil"/>
              <w:left w:val="nil"/>
              <w:bottom w:val="single" w:sz="4" w:space="0" w:color="auto"/>
              <w:right w:val="single" w:sz="4" w:space="0" w:color="auto"/>
            </w:tcBorders>
            <w:noWrap/>
            <w:hideMark/>
          </w:tcPr>
          <w:p w14:paraId="3410F469" w14:textId="7E84EDB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097D39EA" w14:textId="4C9FC5F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24236A5A"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7DB3B5D7"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253ED51" w14:textId="77777777" w:rsidR="00312042" w:rsidRPr="00631C1C" w:rsidRDefault="00312042" w:rsidP="009A58EE">
            <w:pPr>
              <w:pStyle w:val="Normal-pool-Table"/>
              <w:jc w:val="right"/>
              <w:rPr>
                <w:szCs w:val="18"/>
              </w:rPr>
            </w:pPr>
            <w:r w:rsidRPr="00631C1C">
              <w:rPr>
                <w:szCs w:val="18"/>
              </w:rPr>
              <w:t>722</w:t>
            </w:r>
          </w:p>
        </w:tc>
      </w:tr>
      <w:tr w:rsidR="00F234CD" w:rsidRPr="00631C1C" w14:paraId="1FDD7EA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C45057" w14:textId="77777777" w:rsidR="00312042" w:rsidRPr="00631C1C" w:rsidRDefault="00312042" w:rsidP="009A58EE">
            <w:pPr>
              <w:pStyle w:val="Normal-pool-Table"/>
              <w:rPr>
                <w:szCs w:val="18"/>
              </w:rPr>
            </w:pPr>
            <w:r w:rsidRPr="00631C1C">
              <w:rPr>
                <w:szCs w:val="18"/>
              </w:rPr>
              <w:t>17</w:t>
            </w:r>
          </w:p>
        </w:tc>
        <w:tc>
          <w:tcPr>
            <w:tcW w:w="2573" w:type="dxa"/>
            <w:tcBorders>
              <w:top w:val="nil"/>
              <w:left w:val="nil"/>
              <w:bottom w:val="single" w:sz="4" w:space="0" w:color="auto"/>
              <w:right w:val="single" w:sz="4" w:space="0" w:color="auto"/>
            </w:tcBorders>
            <w:noWrap/>
            <w:hideMark/>
          </w:tcPr>
          <w:p w14:paraId="3B4AFB76" w14:textId="77777777" w:rsidR="00312042" w:rsidRPr="00631C1C" w:rsidRDefault="00312042" w:rsidP="009A58EE">
            <w:pPr>
              <w:pStyle w:val="Normal-pool-Table"/>
              <w:rPr>
                <w:szCs w:val="18"/>
              </w:rPr>
            </w:pPr>
            <w:r w:rsidRPr="00631C1C">
              <w:rPr>
                <w:szCs w:val="18"/>
              </w:rPr>
              <w:t>Gabon</w:t>
            </w:r>
          </w:p>
        </w:tc>
        <w:tc>
          <w:tcPr>
            <w:tcW w:w="1400" w:type="dxa"/>
            <w:tcBorders>
              <w:top w:val="nil"/>
              <w:left w:val="nil"/>
              <w:bottom w:val="single" w:sz="4" w:space="0" w:color="auto"/>
              <w:right w:val="single" w:sz="4" w:space="0" w:color="auto"/>
            </w:tcBorders>
            <w:noWrap/>
            <w:hideMark/>
          </w:tcPr>
          <w:p w14:paraId="469DC03F" w14:textId="2879873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2CE51DAF" w14:textId="594438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6CB09285"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4CF1F140"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8C104AE" w14:textId="77777777" w:rsidR="00312042" w:rsidRPr="00631C1C" w:rsidRDefault="00312042" w:rsidP="009A58EE">
            <w:pPr>
              <w:pStyle w:val="Normal-pool-Table"/>
              <w:jc w:val="right"/>
              <w:rPr>
                <w:szCs w:val="18"/>
              </w:rPr>
            </w:pPr>
            <w:r w:rsidRPr="00631C1C">
              <w:rPr>
                <w:szCs w:val="18"/>
              </w:rPr>
              <w:t>794</w:t>
            </w:r>
          </w:p>
        </w:tc>
      </w:tr>
      <w:tr w:rsidR="00F234CD" w:rsidRPr="00631C1C" w14:paraId="4028715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506E77" w14:textId="77777777" w:rsidR="00312042" w:rsidRPr="00631C1C" w:rsidRDefault="00312042" w:rsidP="009A58EE">
            <w:pPr>
              <w:pStyle w:val="Normal-pool-Table"/>
              <w:rPr>
                <w:szCs w:val="18"/>
              </w:rPr>
            </w:pPr>
            <w:r w:rsidRPr="00631C1C">
              <w:rPr>
                <w:szCs w:val="18"/>
              </w:rPr>
              <w:t>18</w:t>
            </w:r>
          </w:p>
        </w:tc>
        <w:tc>
          <w:tcPr>
            <w:tcW w:w="2573" w:type="dxa"/>
            <w:tcBorders>
              <w:top w:val="nil"/>
              <w:left w:val="nil"/>
              <w:bottom w:val="single" w:sz="4" w:space="0" w:color="auto"/>
              <w:right w:val="single" w:sz="4" w:space="0" w:color="auto"/>
            </w:tcBorders>
            <w:noWrap/>
            <w:hideMark/>
          </w:tcPr>
          <w:p w14:paraId="1BAA7BA3" w14:textId="77777777" w:rsidR="00312042" w:rsidRPr="00631C1C" w:rsidRDefault="00312042" w:rsidP="009A58EE">
            <w:pPr>
              <w:pStyle w:val="Normal-pool-Table"/>
              <w:rPr>
                <w:szCs w:val="18"/>
              </w:rPr>
            </w:pPr>
            <w:r w:rsidRPr="00631C1C">
              <w:rPr>
                <w:szCs w:val="18"/>
              </w:rPr>
              <w:t>Gambia</w:t>
            </w:r>
          </w:p>
        </w:tc>
        <w:tc>
          <w:tcPr>
            <w:tcW w:w="1400" w:type="dxa"/>
            <w:tcBorders>
              <w:top w:val="nil"/>
              <w:left w:val="nil"/>
              <w:bottom w:val="single" w:sz="4" w:space="0" w:color="auto"/>
              <w:right w:val="single" w:sz="4" w:space="0" w:color="auto"/>
            </w:tcBorders>
            <w:noWrap/>
            <w:hideMark/>
          </w:tcPr>
          <w:p w14:paraId="7655DCBA" w14:textId="2927D92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5701B478" w14:textId="78C202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77544D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8DE155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AE5778F" w14:textId="77777777" w:rsidR="00312042" w:rsidRPr="00631C1C" w:rsidRDefault="00312042" w:rsidP="009A58EE">
            <w:pPr>
              <w:pStyle w:val="Normal-pool-Table"/>
              <w:jc w:val="right"/>
              <w:rPr>
                <w:szCs w:val="18"/>
              </w:rPr>
            </w:pPr>
            <w:r w:rsidRPr="00631C1C">
              <w:rPr>
                <w:szCs w:val="18"/>
              </w:rPr>
              <w:t>715</w:t>
            </w:r>
          </w:p>
        </w:tc>
      </w:tr>
      <w:tr w:rsidR="00F234CD" w:rsidRPr="00631C1C" w14:paraId="7C2E6B9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08F2F" w14:textId="77777777" w:rsidR="00312042" w:rsidRPr="00631C1C" w:rsidRDefault="00312042" w:rsidP="009A58EE">
            <w:pPr>
              <w:pStyle w:val="Normal-pool-Table"/>
              <w:rPr>
                <w:szCs w:val="18"/>
              </w:rPr>
            </w:pPr>
            <w:r w:rsidRPr="00631C1C">
              <w:rPr>
                <w:szCs w:val="18"/>
              </w:rPr>
              <w:t>19</w:t>
            </w:r>
          </w:p>
        </w:tc>
        <w:tc>
          <w:tcPr>
            <w:tcW w:w="2573" w:type="dxa"/>
            <w:tcBorders>
              <w:top w:val="nil"/>
              <w:left w:val="nil"/>
              <w:bottom w:val="single" w:sz="4" w:space="0" w:color="auto"/>
              <w:right w:val="single" w:sz="4" w:space="0" w:color="auto"/>
            </w:tcBorders>
            <w:noWrap/>
            <w:hideMark/>
          </w:tcPr>
          <w:p w14:paraId="46D1FEF3" w14:textId="77777777" w:rsidR="00312042" w:rsidRPr="00631C1C" w:rsidRDefault="00312042" w:rsidP="009A58EE">
            <w:pPr>
              <w:pStyle w:val="Normal-pool-Table"/>
              <w:rPr>
                <w:szCs w:val="18"/>
              </w:rPr>
            </w:pPr>
            <w:r w:rsidRPr="00631C1C">
              <w:rPr>
                <w:szCs w:val="18"/>
              </w:rPr>
              <w:t>Ghana</w:t>
            </w:r>
          </w:p>
        </w:tc>
        <w:tc>
          <w:tcPr>
            <w:tcW w:w="1400" w:type="dxa"/>
            <w:tcBorders>
              <w:top w:val="nil"/>
              <w:left w:val="nil"/>
              <w:bottom w:val="single" w:sz="4" w:space="0" w:color="auto"/>
              <w:right w:val="single" w:sz="4" w:space="0" w:color="auto"/>
            </w:tcBorders>
            <w:noWrap/>
            <w:hideMark/>
          </w:tcPr>
          <w:p w14:paraId="012E9A4E" w14:textId="45DF6E6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025</w:t>
            </w:r>
          </w:p>
        </w:tc>
        <w:tc>
          <w:tcPr>
            <w:tcW w:w="1073" w:type="dxa"/>
            <w:tcBorders>
              <w:top w:val="nil"/>
              <w:left w:val="nil"/>
              <w:bottom w:val="single" w:sz="4" w:space="0" w:color="auto"/>
              <w:right w:val="single" w:sz="4" w:space="0" w:color="auto"/>
            </w:tcBorders>
            <w:noWrap/>
            <w:hideMark/>
          </w:tcPr>
          <w:p w14:paraId="73E256A2" w14:textId="279C7B2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0252</w:t>
            </w:r>
          </w:p>
        </w:tc>
        <w:tc>
          <w:tcPr>
            <w:tcW w:w="1293" w:type="dxa"/>
            <w:tcBorders>
              <w:top w:val="nil"/>
              <w:left w:val="nil"/>
              <w:bottom w:val="single" w:sz="4" w:space="0" w:color="auto"/>
              <w:right w:val="single" w:sz="4" w:space="0" w:color="auto"/>
            </w:tcBorders>
            <w:noWrap/>
            <w:hideMark/>
          </w:tcPr>
          <w:p w14:paraId="4D227CD0" w14:textId="77777777" w:rsidR="00312042" w:rsidRPr="00631C1C" w:rsidRDefault="00312042" w:rsidP="009A58EE">
            <w:pPr>
              <w:pStyle w:val="Normal-pool-Table"/>
              <w:jc w:val="right"/>
              <w:rPr>
                <w:szCs w:val="18"/>
              </w:rPr>
            </w:pPr>
            <w:r w:rsidRPr="00631C1C">
              <w:rPr>
                <w:szCs w:val="18"/>
              </w:rPr>
              <w:t>778</w:t>
            </w:r>
          </w:p>
        </w:tc>
        <w:tc>
          <w:tcPr>
            <w:tcW w:w="1293" w:type="dxa"/>
            <w:tcBorders>
              <w:top w:val="nil"/>
              <w:left w:val="nil"/>
              <w:bottom w:val="single" w:sz="4" w:space="0" w:color="auto"/>
              <w:right w:val="single" w:sz="4" w:space="0" w:color="auto"/>
            </w:tcBorders>
            <w:noWrap/>
            <w:hideMark/>
          </w:tcPr>
          <w:p w14:paraId="3F1B1599" w14:textId="77777777" w:rsidR="00312042" w:rsidRPr="00631C1C" w:rsidRDefault="00312042" w:rsidP="009A58EE">
            <w:pPr>
              <w:pStyle w:val="Normal-pool-Table"/>
              <w:jc w:val="right"/>
              <w:rPr>
                <w:szCs w:val="18"/>
              </w:rPr>
            </w:pPr>
            <w:r w:rsidRPr="00631C1C">
              <w:rPr>
                <w:szCs w:val="18"/>
              </w:rPr>
              <w:t>1 027</w:t>
            </w:r>
          </w:p>
        </w:tc>
        <w:tc>
          <w:tcPr>
            <w:tcW w:w="1313" w:type="dxa"/>
            <w:tcBorders>
              <w:top w:val="nil"/>
              <w:left w:val="nil"/>
              <w:bottom w:val="single" w:sz="4" w:space="0" w:color="auto"/>
              <w:right w:val="single" w:sz="4" w:space="0" w:color="auto"/>
            </w:tcBorders>
            <w:noWrap/>
            <w:hideMark/>
          </w:tcPr>
          <w:p w14:paraId="0D1866DA" w14:textId="77777777" w:rsidR="00312042" w:rsidRPr="00631C1C" w:rsidRDefault="00312042" w:rsidP="009A58EE">
            <w:pPr>
              <w:pStyle w:val="Normal-pool-Table"/>
              <w:jc w:val="right"/>
              <w:rPr>
                <w:szCs w:val="18"/>
              </w:rPr>
            </w:pPr>
            <w:r w:rsidRPr="00631C1C">
              <w:rPr>
                <w:szCs w:val="18"/>
              </w:rPr>
              <w:t>1 805</w:t>
            </w:r>
          </w:p>
        </w:tc>
      </w:tr>
      <w:tr w:rsidR="00F234CD" w:rsidRPr="00631C1C" w14:paraId="7CF1FB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E395F8" w14:textId="77777777" w:rsidR="00312042" w:rsidRPr="00631C1C" w:rsidRDefault="00312042" w:rsidP="009A58EE">
            <w:pPr>
              <w:pStyle w:val="Normal-pool-Table"/>
              <w:rPr>
                <w:szCs w:val="18"/>
              </w:rPr>
            </w:pPr>
            <w:r w:rsidRPr="00631C1C">
              <w:rPr>
                <w:szCs w:val="18"/>
              </w:rPr>
              <w:t>20</w:t>
            </w:r>
          </w:p>
        </w:tc>
        <w:tc>
          <w:tcPr>
            <w:tcW w:w="2573" w:type="dxa"/>
            <w:tcBorders>
              <w:top w:val="nil"/>
              <w:left w:val="nil"/>
              <w:bottom w:val="single" w:sz="4" w:space="0" w:color="auto"/>
              <w:right w:val="single" w:sz="4" w:space="0" w:color="auto"/>
            </w:tcBorders>
            <w:noWrap/>
            <w:hideMark/>
          </w:tcPr>
          <w:p w14:paraId="04FD1175" w14:textId="77777777" w:rsidR="00312042" w:rsidRPr="00631C1C" w:rsidRDefault="00312042" w:rsidP="009A58EE">
            <w:pPr>
              <w:pStyle w:val="Normal-pool-Table"/>
              <w:rPr>
                <w:szCs w:val="18"/>
              </w:rPr>
            </w:pPr>
            <w:r w:rsidRPr="00631C1C">
              <w:rPr>
                <w:szCs w:val="18"/>
              </w:rPr>
              <w:t>Guinea</w:t>
            </w:r>
          </w:p>
        </w:tc>
        <w:tc>
          <w:tcPr>
            <w:tcW w:w="1400" w:type="dxa"/>
            <w:tcBorders>
              <w:top w:val="nil"/>
              <w:left w:val="nil"/>
              <w:bottom w:val="single" w:sz="4" w:space="0" w:color="auto"/>
              <w:right w:val="single" w:sz="4" w:space="0" w:color="auto"/>
            </w:tcBorders>
            <w:noWrap/>
            <w:hideMark/>
          </w:tcPr>
          <w:p w14:paraId="7B93581E" w14:textId="392D776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EA873F4" w14:textId="204AD4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F75379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EE3C2C0"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2B3207C" w14:textId="77777777" w:rsidR="00312042" w:rsidRPr="00631C1C" w:rsidRDefault="00312042" w:rsidP="009A58EE">
            <w:pPr>
              <w:pStyle w:val="Normal-pool-Table"/>
              <w:jc w:val="right"/>
              <w:rPr>
                <w:szCs w:val="18"/>
              </w:rPr>
            </w:pPr>
            <w:r w:rsidRPr="00631C1C">
              <w:rPr>
                <w:szCs w:val="18"/>
              </w:rPr>
              <w:t>715</w:t>
            </w:r>
          </w:p>
        </w:tc>
      </w:tr>
      <w:tr w:rsidR="00F234CD" w:rsidRPr="00631C1C" w14:paraId="71DF07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4F2D5F" w14:textId="77777777" w:rsidR="00312042" w:rsidRPr="00631C1C" w:rsidRDefault="00312042" w:rsidP="009A58EE">
            <w:pPr>
              <w:pStyle w:val="Normal-pool-Table"/>
              <w:rPr>
                <w:szCs w:val="18"/>
              </w:rPr>
            </w:pPr>
            <w:r w:rsidRPr="00631C1C">
              <w:rPr>
                <w:szCs w:val="18"/>
              </w:rPr>
              <w:t>21</w:t>
            </w:r>
          </w:p>
        </w:tc>
        <w:tc>
          <w:tcPr>
            <w:tcW w:w="2573" w:type="dxa"/>
            <w:tcBorders>
              <w:top w:val="nil"/>
              <w:left w:val="nil"/>
              <w:bottom w:val="single" w:sz="4" w:space="0" w:color="auto"/>
              <w:right w:val="single" w:sz="4" w:space="0" w:color="auto"/>
            </w:tcBorders>
            <w:noWrap/>
            <w:hideMark/>
          </w:tcPr>
          <w:p w14:paraId="7A8C8647" w14:textId="77777777" w:rsidR="00312042" w:rsidRPr="00631C1C" w:rsidRDefault="00312042" w:rsidP="009A58EE">
            <w:pPr>
              <w:pStyle w:val="Normal-pool-Table"/>
              <w:rPr>
                <w:szCs w:val="18"/>
              </w:rPr>
            </w:pPr>
            <w:r w:rsidRPr="00631C1C">
              <w:rPr>
                <w:szCs w:val="18"/>
              </w:rPr>
              <w:t>Guinea-Bissau</w:t>
            </w:r>
          </w:p>
        </w:tc>
        <w:tc>
          <w:tcPr>
            <w:tcW w:w="1400" w:type="dxa"/>
            <w:tcBorders>
              <w:top w:val="nil"/>
              <w:left w:val="nil"/>
              <w:bottom w:val="single" w:sz="4" w:space="0" w:color="auto"/>
              <w:right w:val="single" w:sz="4" w:space="0" w:color="auto"/>
            </w:tcBorders>
            <w:noWrap/>
            <w:hideMark/>
          </w:tcPr>
          <w:p w14:paraId="7C0839CA" w14:textId="71CFDEC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29DFF14" w14:textId="4EA15D4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24F967A"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4CBBF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D38695" w14:textId="77777777" w:rsidR="00312042" w:rsidRPr="00631C1C" w:rsidRDefault="00312042" w:rsidP="009A58EE">
            <w:pPr>
              <w:pStyle w:val="Normal-pool-Table"/>
              <w:jc w:val="right"/>
              <w:rPr>
                <w:szCs w:val="18"/>
              </w:rPr>
            </w:pPr>
            <w:r w:rsidRPr="00631C1C">
              <w:rPr>
                <w:szCs w:val="18"/>
              </w:rPr>
              <w:t>715</w:t>
            </w:r>
          </w:p>
        </w:tc>
      </w:tr>
      <w:tr w:rsidR="00F234CD" w:rsidRPr="00631C1C" w14:paraId="3EB93C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F9FA1" w14:textId="77777777" w:rsidR="00312042" w:rsidRPr="00631C1C" w:rsidRDefault="00312042" w:rsidP="009A58EE">
            <w:pPr>
              <w:pStyle w:val="Normal-pool-Table"/>
              <w:rPr>
                <w:szCs w:val="18"/>
              </w:rPr>
            </w:pPr>
            <w:r w:rsidRPr="00631C1C">
              <w:rPr>
                <w:szCs w:val="18"/>
              </w:rPr>
              <w:t>22</w:t>
            </w:r>
          </w:p>
        </w:tc>
        <w:tc>
          <w:tcPr>
            <w:tcW w:w="2573" w:type="dxa"/>
            <w:tcBorders>
              <w:top w:val="nil"/>
              <w:left w:val="nil"/>
              <w:bottom w:val="single" w:sz="4" w:space="0" w:color="auto"/>
              <w:right w:val="single" w:sz="4" w:space="0" w:color="auto"/>
            </w:tcBorders>
            <w:noWrap/>
            <w:hideMark/>
          </w:tcPr>
          <w:p w14:paraId="020BAD26" w14:textId="77777777" w:rsidR="00312042" w:rsidRPr="00631C1C" w:rsidRDefault="00312042" w:rsidP="009A58EE">
            <w:pPr>
              <w:pStyle w:val="Normal-pool-Table"/>
              <w:rPr>
                <w:szCs w:val="18"/>
              </w:rPr>
            </w:pPr>
            <w:r w:rsidRPr="00631C1C">
              <w:rPr>
                <w:szCs w:val="18"/>
              </w:rPr>
              <w:t>Kenya</w:t>
            </w:r>
          </w:p>
        </w:tc>
        <w:tc>
          <w:tcPr>
            <w:tcW w:w="1400" w:type="dxa"/>
            <w:tcBorders>
              <w:top w:val="nil"/>
              <w:left w:val="nil"/>
              <w:bottom w:val="single" w:sz="4" w:space="0" w:color="auto"/>
              <w:right w:val="single" w:sz="4" w:space="0" w:color="auto"/>
            </w:tcBorders>
            <w:noWrap/>
            <w:hideMark/>
          </w:tcPr>
          <w:p w14:paraId="14FE2D20" w14:textId="1F83DA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037</w:t>
            </w:r>
          </w:p>
        </w:tc>
        <w:tc>
          <w:tcPr>
            <w:tcW w:w="1073" w:type="dxa"/>
            <w:tcBorders>
              <w:top w:val="nil"/>
              <w:left w:val="nil"/>
              <w:bottom w:val="single" w:sz="4" w:space="0" w:color="auto"/>
              <w:right w:val="single" w:sz="4" w:space="0" w:color="auto"/>
            </w:tcBorders>
            <w:noWrap/>
            <w:hideMark/>
          </w:tcPr>
          <w:p w14:paraId="7615DF71" w14:textId="206B40C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0373</w:t>
            </w:r>
          </w:p>
        </w:tc>
        <w:tc>
          <w:tcPr>
            <w:tcW w:w="1293" w:type="dxa"/>
            <w:tcBorders>
              <w:top w:val="nil"/>
              <w:left w:val="nil"/>
              <w:bottom w:val="single" w:sz="4" w:space="0" w:color="auto"/>
              <w:right w:val="single" w:sz="4" w:space="0" w:color="auto"/>
            </w:tcBorders>
            <w:noWrap/>
            <w:hideMark/>
          </w:tcPr>
          <w:p w14:paraId="4029F972" w14:textId="77777777" w:rsidR="00312042" w:rsidRPr="00631C1C" w:rsidRDefault="00312042" w:rsidP="009A58EE">
            <w:pPr>
              <w:pStyle w:val="Normal-pool-Table"/>
              <w:jc w:val="right"/>
              <w:rPr>
                <w:szCs w:val="18"/>
              </w:rPr>
            </w:pPr>
            <w:r w:rsidRPr="00631C1C">
              <w:rPr>
                <w:szCs w:val="18"/>
              </w:rPr>
              <w:t>1 151</w:t>
            </w:r>
          </w:p>
        </w:tc>
        <w:tc>
          <w:tcPr>
            <w:tcW w:w="1293" w:type="dxa"/>
            <w:tcBorders>
              <w:top w:val="nil"/>
              <w:left w:val="nil"/>
              <w:bottom w:val="single" w:sz="4" w:space="0" w:color="auto"/>
              <w:right w:val="single" w:sz="4" w:space="0" w:color="auto"/>
            </w:tcBorders>
            <w:noWrap/>
            <w:hideMark/>
          </w:tcPr>
          <w:p w14:paraId="25536CF2" w14:textId="77777777" w:rsidR="00312042" w:rsidRPr="00631C1C" w:rsidRDefault="00312042" w:rsidP="009A58EE">
            <w:pPr>
              <w:pStyle w:val="Normal-pool-Table"/>
              <w:jc w:val="right"/>
              <w:rPr>
                <w:szCs w:val="18"/>
              </w:rPr>
            </w:pPr>
            <w:r w:rsidRPr="00631C1C">
              <w:rPr>
                <w:szCs w:val="18"/>
              </w:rPr>
              <w:t>1 520</w:t>
            </w:r>
          </w:p>
        </w:tc>
        <w:tc>
          <w:tcPr>
            <w:tcW w:w="1313" w:type="dxa"/>
            <w:tcBorders>
              <w:top w:val="nil"/>
              <w:left w:val="nil"/>
              <w:bottom w:val="single" w:sz="4" w:space="0" w:color="auto"/>
              <w:right w:val="single" w:sz="4" w:space="0" w:color="auto"/>
            </w:tcBorders>
            <w:noWrap/>
            <w:hideMark/>
          </w:tcPr>
          <w:p w14:paraId="0C875449" w14:textId="77777777" w:rsidR="00312042" w:rsidRPr="00631C1C" w:rsidRDefault="00312042" w:rsidP="009A58EE">
            <w:pPr>
              <w:pStyle w:val="Normal-pool-Table"/>
              <w:jc w:val="right"/>
              <w:rPr>
                <w:szCs w:val="18"/>
              </w:rPr>
            </w:pPr>
            <w:r w:rsidRPr="00631C1C">
              <w:rPr>
                <w:szCs w:val="18"/>
              </w:rPr>
              <w:t>2 671</w:t>
            </w:r>
          </w:p>
        </w:tc>
      </w:tr>
      <w:tr w:rsidR="00F234CD" w:rsidRPr="00631C1C" w14:paraId="14DD71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485064" w14:textId="77777777" w:rsidR="00312042" w:rsidRPr="00631C1C" w:rsidRDefault="00312042" w:rsidP="009A58EE">
            <w:pPr>
              <w:pStyle w:val="Normal-pool-Table"/>
              <w:rPr>
                <w:szCs w:val="18"/>
              </w:rPr>
            </w:pPr>
            <w:r w:rsidRPr="00631C1C">
              <w:rPr>
                <w:szCs w:val="18"/>
              </w:rPr>
              <w:t>23</w:t>
            </w:r>
          </w:p>
        </w:tc>
        <w:tc>
          <w:tcPr>
            <w:tcW w:w="2573" w:type="dxa"/>
            <w:tcBorders>
              <w:top w:val="nil"/>
              <w:left w:val="nil"/>
              <w:bottom w:val="single" w:sz="4" w:space="0" w:color="auto"/>
              <w:right w:val="single" w:sz="4" w:space="0" w:color="auto"/>
            </w:tcBorders>
            <w:noWrap/>
            <w:hideMark/>
          </w:tcPr>
          <w:p w14:paraId="6840E591" w14:textId="77777777" w:rsidR="00312042" w:rsidRPr="00631C1C" w:rsidRDefault="00312042" w:rsidP="009A58EE">
            <w:pPr>
              <w:pStyle w:val="Normal-pool-Table"/>
              <w:rPr>
                <w:szCs w:val="18"/>
              </w:rPr>
            </w:pPr>
            <w:r w:rsidRPr="00631C1C">
              <w:rPr>
                <w:szCs w:val="18"/>
              </w:rPr>
              <w:t>Lesotho</w:t>
            </w:r>
          </w:p>
        </w:tc>
        <w:tc>
          <w:tcPr>
            <w:tcW w:w="1400" w:type="dxa"/>
            <w:tcBorders>
              <w:top w:val="nil"/>
              <w:left w:val="nil"/>
              <w:bottom w:val="single" w:sz="4" w:space="0" w:color="auto"/>
              <w:right w:val="single" w:sz="4" w:space="0" w:color="auto"/>
            </w:tcBorders>
            <w:noWrap/>
            <w:hideMark/>
          </w:tcPr>
          <w:p w14:paraId="1CB3D254" w14:textId="4D9FF98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3998B483" w14:textId="0D3408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251D0D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7C4C9D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3808790" w14:textId="77777777" w:rsidR="00312042" w:rsidRPr="00631C1C" w:rsidRDefault="00312042" w:rsidP="009A58EE">
            <w:pPr>
              <w:pStyle w:val="Normal-pool-Table"/>
              <w:jc w:val="right"/>
              <w:rPr>
                <w:szCs w:val="18"/>
              </w:rPr>
            </w:pPr>
            <w:r w:rsidRPr="00631C1C">
              <w:rPr>
                <w:szCs w:val="18"/>
              </w:rPr>
              <w:t>715</w:t>
            </w:r>
          </w:p>
        </w:tc>
      </w:tr>
      <w:tr w:rsidR="00F234CD" w:rsidRPr="00631C1C" w14:paraId="2CA4B76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4CEC8D" w14:textId="77777777" w:rsidR="00312042" w:rsidRPr="00631C1C" w:rsidRDefault="00312042" w:rsidP="009A58EE">
            <w:pPr>
              <w:pStyle w:val="Normal-pool-Table"/>
              <w:rPr>
                <w:szCs w:val="18"/>
              </w:rPr>
            </w:pPr>
            <w:r w:rsidRPr="00631C1C">
              <w:rPr>
                <w:szCs w:val="18"/>
              </w:rPr>
              <w:t>24</w:t>
            </w:r>
          </w:p>
        </w:tc>
        <w:tc>
          <w:tcPr>
            <w:tcW w:w="2573" w:type="dxa"/>
            <w:tcBorders>
              <w:top w:val="nil"/>
              <w:left w:val="nil"/>
              <w:bottom w:val="single" w:sz="4" w:space="0" w:color="auto"/>
              <w:right w:val="single" w:sz="4" w:space="0" w:color="auto"/>
            </w:tcBorders>
            <w:noWrap/>
            <w:hideMark/>
          </w:tcPr>
          <w:p w14:paraId="381B9F16" w14:textId="77777777" w:rsidR="00312042" w:rsidRPr="00631C1C" w:rsidRDefault="00312042" w:rsidP="009A58EE">
            <w:pPr>
              <w:pStyle w:val="Normal-pool-Table"/>
              <w:rPr>
                <w:szCs w:val="18"/>
              </w:rPr>
            </w:pPr>
            <w:r w:rsidRPr="00631C1C">
              <w:rPr>
                <w:szCs w:val="18"/>
              </w:rPr>
              <w:t>Liberia</w:t>
            </w:r>
          </w:p>
        </w:tc>
        <w:tc>
          <w:tcPr>
            <w:tcW w:w="1400" w:type="dxa"/>
            <w:tcBorders>
              <w:top w:val="nil"/>
              <w:left w:val="nil"/>
              <w:bottom w:val="single" w:sz="4" w:space="0" w:color="auto"/>
              <w:right w:val="single" w:sz="4" w:space="0" w:color="auto"/>
            </w:tcBorders>
            <w:noWrap/>
            <w:hideMark/>
          </w:tcPr>
          <w:p w14:paraId="16B2DBDF" w14:textId="2041B3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6A9BB6C" w14:textId="1393F7B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8880E0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68EFCA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6808CC2" w14:textId="77777777" w:rsidR="00312042" w:rsidRPr="00631C1C" w:rsidRDefault="00312042" w:rsidP="009A58EE">
            <w:pPr>
              <w:pStyle w:val="Normal-pool-Table"/>
              <w:jc w:val="right"/>
              <w:rPr>
                <w:szCs w:val="18"/>
              </w:rPr>
            </w:pPr>
            <w:r w:rsidRPr="00631C1C">
              <w:rPr>
                <w:szCs w:val="18"/>
              </w:rPr>
              <w:t>715</w:t>
            </w:r>
          </w:p>
        </w:tc>
      </w:tr>
      <w:tr w:rsidR="00F234CD" w:rsidRPr="00631C1C" w14:paraId="7F23A0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61BFA53" w14:textId="77777777" w:rsidR="00312042" w:rsidRPr="00631C1C" w:rsidRDefault="00312042" w:rsidP="009A58EE">
            <w:pPr>
              <w:pStyle w:val="Normal-pool-Table"/>
              <w:rPr>
                <w:szCs w:val="18"/>
              </w:rPr>
            </w:pPr>
            <w:r w:rsidRPr="00631C1C">
              <w:rPr>
                <w:szCs w:val="18"/>
              </w:rPr>
              <w:t>25</w:t>
            </w:r>
          </w:p>
        </w:tc>
        <w:tc>
          <w:tcPr>
            <w:tcW w:w="2573" w:type="dxa"/>
            <w:tcBorders>
              <w:top w:val="nil"/>
              <w:left w:val="nil"/>
              <w:bottom w:val="single" w:sz="4" w:space="0" w:color="auto"/>
              <w:right w:val="single" w:sz="4" w:space="0" w:color="auto"/>
            </w:tcBorders>
            <w:noWrap/>
            <w:hideMark/>
          </w:tcPr>
          <w:p w14:paraId="3A5F262F" w14:textId="77777777" w:rsidR="00312042" w:rsidRPr="00631C1C" w:rsidRDefault="00312042" w:rsidP="009A58EE">
            <w:pPr>
              <w:pStyle w:val="Normal-pool-Table"/>
              <w:rPr>
                <w:szCs w:val="18"/>
              </w:rPr>
            </w:pPr>
            <w:r w:rsidRPr="00631C1C">
              <w:rPr>
                <w:szCs w:val="18"/>
              </w:rPr>
              <w:t>Madagascar</w:t>
            </w:r>
          </w:p>
        </w:tc>
        <w:tc>
          <w:tcPr>
            <w:tcW w:w="1400" w:type="dxa"/>
            <w:tcBorders>
              <w:top w:val="nil"/>
              <w:left w:val="nil"/>
              <w:bottom w:val="single" w:sz="4" w:space="0" w:color="auto"/>
              <w:right w:val="single" w:sz="4" w:space="0" w:color="auto"/>
            </w:tcBorders>
            <w:noWrap/>
            <w:hideMark/>
          </w:tcPr>
          <w:p w14:paraId="6F489F5B" w14:textId="2E92AFA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0164E6F" w14:textId="4C69456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2CBD33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072A51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9355C53" w14:textId="77777777" w:rsidR="00312042" w:rsidRPr="00631C1C" w:rsidRDefault="00312042" w:rsidP="009A58EE">
            <w:pPr>
              <w:pStyle w:val="Normal-pool-Table"/>
              <w:jc w:val="right"/>
              <w:rPr>
                <w:szCs w:val="18"/>
              </w:rPr>
            </w:pPr>
            <w:r w:rsidRPr="00631C1C">
              <w:rPr>
                <w:szCs w:val="18"/>
              </w:rPr>
              <w:t>715</w:t>
            </w:r>
          </w:p>
        </w:tc>
      </w:tr>
      <w:tr w:rsidR="00F234CD" w:rsidRPr="00631C1C" w14:paraId="732317A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C80874" w14:textId="77777777" w:rsidR="00312042" w:rsidRPr="00631C1C" w:rsidRDefault="00312042" w:rsidP="009A58EE">
            <w:pPr>
              <w:pStyle w:val="Normal-pool-Table"/>
              <w:rPr>
                <w:szCs w:val="18"/>
              </w:rPr>
            </w:pPr>
            <w:r w:rsidRPr="00631C1C">
              <w:rPr>
                <w:szCs w:val="18"/>
              </w:rPr>
              <w:t>26</w:t>
            </w:r>
          </w:p>
        </w:tc>
        <w:tc>
          <w:tcPr>
            <w:tcW w:w="2573" w:type="dxa"/>
            <w:tcBorders>
              <w:top w:val="nil"/>
              <w:left w:val="nil"/>
              <w:bottom w:val="single" w:sz="4" w:space="0" w:color="auto"/>
              <w:right w:val="single" w:sz="4" w:space="0" w:color="auto"/>
            </w:tcBorders>
            <w:noWrap/>
            <w:hideMark/>
          </w:tcPr>
          <w:p w14:paraId="58F90303" w14:textId="77777777" w:rsidR="00312042" w:rsidRPr="00631C1C" w:rsidRDefault="00312042" w:rsidP="009A58EE">
            <w:pPr>
              <w:pStyle w:val="Normal-pool-Table"/>
              <w:rPr>
                <w:szCs w:val="18"/>
              </w:rPr>
            </w:pPr>
            <w:r w:rsidRPr="00631C1C">
              <w:rPr>
                <w:szCs w:val="18"/>
              </w:rPr>
              <w:t>Malawi</w:t>
            </w:r>
          </w:p>
        </w:tc>
        <w:tc>
          <w:tcPr>
            <w:tcW w:w="1400" w:type="dxa"/>
            <w:tcBorders>
              <w:top w:val="nil"/>
              <w:left w:val="nil"/>
              <w:bottom w:val="single" w:sz="4" w:space="0" w:color="auto"/>
              <w:right w:val="single" w:sz="4" w:space="0" w:color="auto"/>
            </w:tcBorders>
            <w:noWrap/>
            <w:hideMark/>
          </w:tcPr>
          <w:p w14:paraId="63F55EC2" w14:textId="7D99436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57411C0E" w14:textId="7BBCD52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7DE2E4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1A2814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245999D" w14:textId="77777777" w:rsidR="00312042" w:rsidRPr="00631C1C" w:rsidRDefault="00312042" w:rsidP="009A58EE">
            <w:pPr>
              <w:pStyle w:val="Normal-pool-Table"/>
              <w:jc w:val="right"/>
              <w:rPr>
                <w:szCs w:val="18"/>
              </w:rPr>
            </w:pPr>
            <w:r w:rsidRPr="00631C1C">
              <w:rPr>
                <w:szCs w:val="18"/>
              </w:rPr>
              <w:t>715</w:t>
            </w:r>
          </w:p>
        </w:tc>
      </w:tr>
      <w:tr w:rsidR="00F234CD" w:rsidRPr="00631C1C" w14:paraId="6E3957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FC9DF" w14:textId="77777777" w:rsidR="00312042" w:rsidRPr="00631C1C" w:rsidRDefault="00312042" w:rsidP="009A58EE">
            <w:pPr>
              <w:pStyle w:val="Normal-pool-Table"/>
              <w:rPr>
                <w:szCs w:val="18"/>
              </w:rPr>
            </w:pPr>
            <w:r w:rsidRPr="00631C1C">
              <w:rPr>
                <w:szCs w:val="18"/>
              </w:rPr>
              <w:t>27</w:t>
            </w:r>
          </w:p>
        </w:tc>
        <w:tc>
          <w:tcPr>
            <w:tcW w:w="2573" w:type="dxa"/>
            <w:tcBorders>
              <w:top w:val="nil"/>
              <w:left w:val="nil"/>
              <w:bottom w:val="single" w:sz="4" w:space="0" w:color="auto"/>
              <w:right w:val="single" w:sz="4" w:space="0" w:color="auto"/>
            </w:tcBorders>
            <w:noWrap/>
            <w:hideMark/>
          </w:tcPr>
          <w:p w14:paraId="24004642" w14:textId="77777777" w:rsidR="00312042" w:rsidRPr="00631C1C" w:rsidRDefault="00312042" w:rsidP="009A58EE">
            <w:pPr>
              <w:pStyle w:val="Normal-pool-Table"/>
              <w:rPr>
                <w:szCs w:val="18"/>
              </w:rPr>
            </w:pPr>
            <w:r w:rsidRPr="00631C1C">
              <w:rPr>
                <w:szCs w:val="18"/>
              </w:rPr>
              <w:t>Mali</w:t>
            </w:r>
          </w:p>
        </w:tc>
        <w:tc>
          <w:tcPr>
            <w:tcW w:w="1400" w:type="dxa"/>
            <w:tcBorders>
              <w:top w:val="nil"/>
              <w:left w:val="nil"/>
              <w:bottom w:val="single" w:sz="4" w:space="0" w:color="auto"/>
              <w:right w:val="single" w:sz="4" w:space="0" w:color="auto"/>
            </w:tcBorders>
            <w:noWrap/>
            <w:hideMark/>
          </w:tcPr>
          <w:p w14:paraId="39940813" w14:textId="164B609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7F06A048" w14:textId="64C545B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C3FF32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C5EEDF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0DBE050" w14:textId="77777777" w:rsidR="00312042" w:rsidRPr="00631C1C" w:rsidRDefault="00312042" w:rsidP="009A58EE">
            <w:pPr>
              <w:pStyle w:val="Normal-pool-Table"/>
              <w:jc w:val="right"/>
              <w:rPr>
                <w:szCs w:val="18"/>
              </w:rPr>
            </w:pPr>
            <w:r w:rsidRPr="00631C1C">
              <w:rPr>
                <w:szCs w:val="18"/>
              </w:rPr>
              <w:t>715</w:t>
            </w:r>
          </w:p>
        </w:tc>
      </w:tr>
      <w:tr w:rsidR="00F234CD" w:rsidRPr="00631C1C" w14:paraId="28957C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5D5B9" w14:textId="77777777" w:rsidR="00312042" w:rsidRPr="00631C1C" w:rsidRDefault="00312042" w:rsidP="009A58EE">
            <w:pPr>
              <w:pStyle w:val="Normal-pool-Table"/>
              <w:rPr>
                <w:szCs w:val="18"/>
              </w:rPr>
            </w:pPr>
            <w:r w:rsidRPr="00631C1C">
              <w:rPr>
                <w:szCs w:val="18"/>
              </w:rPr>
              <w:t>28</w:t>
            </w:r>
          </w:p>
        </w:tc>
        <w:tc>
          <w:tcPr>
            <w:tcW w:w="2573" w:type="dxa"/>
            <w:tcBorders>
              <w:top w:val="nil"/>
              <w:left w:val="nil"/>
              <w:bottom w:val="single" w:sz="4" w:space="0" w:color="auto"/>
              <w:right w:val="single" w:sz="4" w:space="0" w:color="auto"/>
            </w:tcBorders>
            <w:noWrap/>
            <w:hideMark/>
          </w:tcPr>
          <w:p w14:paraId="2E74E42A" w14:textId="77777777" w:rsidR="00312042" w:rsidRPr="00631C1C" w:rsidRDefault="00312042" w:rsidP="009A58EE">
            <w:pPr>
              <w:pStyle w:val="Normal-pool-Table"/>
              <w:rPr>
                <w:szCs w:val="18"/>
              </w:rPr>
            </w:pPr>
            <w:r w:rsidRPr="00631C1C">
              <w:rPr>
                <w:szCs w:val="18"/>
              </w:rPr>
              <w:t>Mauritania</w:t>
            </w:r>
          </w:p>
        </w:tc>
        <w:tc>
          <w:tcPr>
            <w:tcW w:w="1400" w:type="dxa"/>
            <w:tcBorders>
              <w:top w:val="nil"/>
              <w:left w:val="nil"/>
              <w:bottom w:val="single" w:sz="4" w:space="0" w:color="auto"/>
              <w:right w:val="single" w:sz="4" w:space="0" w:color="auto"/>
            </w:tcBorders>
            <w:noWrap/>
            <w:hideMark/>
          </w:tcPr>
          <w:p w14:paraId="5561DD73" w14:textId="7F10548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2679557A" w14:textId="30885B3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7D0F4DA"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4E064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A534BF3" w14:textId="77777777" w:rsidR="00312042" w:rsidRPr="00631C1C" w:rsidRDefault="00312042" w:rsidP="009A58EE">
            <w:pPr>
              <w:pStyle w:val="Normal-pool-Table"/>
              <w:jc w:val="right"/>
              <w:rPr>
                <w:szCs w:val="18"/>
              </w:rPr>
            </w:pPr>
            <w:r w:rsidRPr="00631C1C">
              <w:rPr>
                <w:szCs w:val="18"/>
              </w:rPr>
              <w:t>715</w:t>
            </w:r>
          </w:p>
        </w:tc>
      </w:tr>
      <w:tr w:rsidR="00F234CD" w:rsidRPr="00631C1C" w14:paraId="0CBADA3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DCB2B2" w14:textId="77777777" w:rsidR="00312042" w:rsidRPr="00631C1C" w:rsidRDefault="00312042" w:rsidP="009A58EE">
            <w:pPr>
              <w:pStyle w:val="Normal-pool-Table"/>
              <w:rPr>
                <w:szCs w:val="18"/>
              </w:rPr>
            </w:pPr>
            <w:r w:rsidRPr="00631C1C">
              <w:rPr>
                <w:szCs w:val="18"/>
              </w:rPr>
              <w:t>29</w:t>
            </w:r>
          </w:p>
        </w:tc>
        <w:tc>
          <w:tcPr>
            <w:tcW w:w="2573" w:type="dxa"/>
            <w:tcBorders>
              <w:top w:val="nil"/>
              <w:left w:val="nil"/>
              <w:bottom w:val="single" w:sz="4" w:space="0" w:color="auto"/>
              <w:right w:val="single" w:sz="4" w:space="0" w:color="auto"/>
            </w:tcBorders>
            <w:noWrap/>
            <w:hideMark/>
          </w:tcPr>
          <w:p w14:paraId="72C012D4" w14:textId="77777777" w:rsidR="00312042" w:rsidRPr="00631C1C" w:rsidRDefault="00312042" w:rsidP="009A58EE">
            <w:pPr>
              <w:pStyle w:val="Normal-pool-Table"/>
              <w:rPr>
                <w:szCs w:val="18"/>
              </w:rPr>
            </w:pPr>
            <w:r w:rsidRPr="00631C1C">
              <w:rPr>
                <w:szCs w:val="18"/>
              </w:rPr>
              <w:t>Mauritius</w:t>
            </w:r>
          </w:p>
        </w:tc>
        <w:tc>
          <w:tcPr>
            <w:tcW w:w="1400" w:type="dxa"/>
            <w:tcBorders>
              <w:top w:val="nil"/>
              <w:left w:val="nil"/>
              <w:bottom w:val="single" w:sz="4" w:space="0" w:color="auto"/>
              <w:right w:val="single" w:sz="4" w:space="0" w:color="auto"/>
            </w:tcBorders>
            <w:noWrap/>
            <w:hideMark/>
          </w:tcPr>
          <w:p w14:paraId="4D9F49BF" w14:textId="7A21586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72DD129A" w14:textId="6C48489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261FA591"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271F7CD3"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E0479A0" w14:textId="77777777" w:rsidR="00312042" w:rsidRPr="00631C1C" w:rsidRDefault="00312042" w:rsidP="009A58EE">
            <w:pPr>
              <w:pStyle w:val="Normal-pool-Table"/>
              <w:jc w:val="right"/>
              <w:rPr>
                <w:szCs w:val="18"/>
              </w:rPr>
            </w:pPr>
            <w:r w:rsidRPr="00631C1C">
              <w:rPr>
                <w:szCs w:val="18"/>
              </w:rPr>
              <w:t>722</w:t>
            </w:r>
          </w:p>
        </w:tc>
      </w:tr>
      <w:tr w:rsidR="00F234CD" w:rsidRPr="00631C1C" w14:paraId="7E78B22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19FBB" w14:textId="77777777" w:rsidR="00312042" w:rsidRPr="00631C1C" w:rsidRDefault="00312042" w:rsidP="009A58EE">
            <w:pPr>
              <w:pStyle w:val="Normal-pool-Table"/>
              <w:rPr>
                <w:szCs w:val="18"/>
              </w:rPr>
            </w:pPr>
            <w:r w:rsidRPr="00631C1C">
              <w:rPr>
                <w:szCs w:val="18"/>
              </w:rPr>
              <w:t>30</w:t>
            </w:r>
          </w:p>
        </w:tc>
        <w:tc>
          <w:tcPr>
            <w:tcW w:w="2573" w:type="dxa"/>
            <w:tcBorders>
              <w:top w:val="nil"/>
              <w:left w:val="nil"/>
              <w:bottom w:val="single" w:sz="4" w:space="0" w:color="auto"/>
              <w:right w:val="single" w:sz="4" w:space="0" w:color="auto"/>
            </w:tcBorders>
            <w:noWrap/>
            <w:hideMark/>
          </w:tcPr>
          <w:p w14:paraId="1169B489" w14:textId="77777777" w:rsidR="00312042" w:rsidRPr="00631C1C" w:rsidRDefault="00312042" w:rsidP="009A58EE">
            <w:pPr>
              <w:pStyle w:val="Normal-pool-Table"/>
              <w:rPr>
                <w:szCs w:val="18"/>
              </w:rPr>
            </w:pPr>
            <w:r w:rsidRPr="00631C1C">
              <w:rPr>
                <w:szCs w:val="18"/>
              </w:rPr>
              <w:t>Mozambique</w:t>
            </w:r>
          </w:p>
        </w:tc>
        <w:tc>
          <w:tcPr>
            <w:tcW w:w="1400" w:type="dxa"/>
            <w:tcBorders>
              <w:top w:val="nil"/>
              <w:left w:val="nil"/>
              <w:bottom w:val="single" w:sz="4" w:space="0" w:color="auto"/>
              <w:right w:val="single" w:sz="4" w:space="0" w:color="auto"/>
            </w:tcBorders>
            <w:noWrap/>
            <w:hideMark/>
          </w:tcPr>
          <w:p w14:paraId="1F3F98F4" w14:textId="2C14DFE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65DB906C" w14:textId="37DDA8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340598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B73EC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EF0FF22" w14:textId="77777777" w:rsidR="00312042" w:rsidRPr="00631C1C" w:rsidRDefault="00312042" w:rsidP="009A58EE">
            <w:pPr>
              <w:pStyle w:val="Normal-pool-Table"/>
              <w:jc w:val="right"/>
              <w:rPr>
                <w:szCs w:val="18"/>
              </w:rPr>
            </w:pPr>
            <w:r w:rsidRPr="00631C1C">
              <w:rPr>
                <w:szCs w:val="18"/>
              </w:rPr>
              <w:t>715</w:t>
            </w:r>
          </w:p>
        </w:tc>
      </w:tr>
      <w:tr w:rsidR="00F234CD" w:rsidRPr="00631C1C" w14:paraId="30D4B0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8B892" w14:textId="77777777" w:rsidR="00312042" w:rsidRPr="00631C1C" w:rsidRDefault="00312042" w:rsidP="009A58EE">
            <w:pPr>
              <w:pStyle w:val="Normal-pool-Table"/>
              <w:rPr>
                <w:szCs w:val="18"/>
              </w:rPr>
            </w:pPr>
            <w:r w:rsidRPr="00631C1C">
              <w:rPr>
                <w:szCs w:val="18"/>
              </w:rPr>
              <w:t>31</w:t>
            </w:r>
          </w:p>
        </w:tc>
        <w:tc>
          <w:tcPr>
            <w:tcW w:w="2573" w:type="dxa"/>
            <w:tcBorders>
              <w:top w:val="nil"/>
              <w:left w:val="nil"/>
              <w:bottom w:val="single" w:sz="4" w:space="0" w:color="auto"/>
              <w:right w:val="single" w:sz="4" w:space="0" w:color="auto"/>
            </w:tcBorders>
            <w:noWrap/>
            <w:hideMark/>
          </w:tcPr>
          <w:p w14:paraId="21ADB0DA" w14:textId="77777777" w:rsidR="00312042" w:rsidRPr="00631C1C" w:rsidRDefault="00312042" w:rsidP="009A58EE">
            <w:pPr>
              <w:pStyle w:val="Normal-pool-Table"/>
              <w:rPr>
                <w:szCs w:val="18"/>
              </w:rPr>
            </w:pPr>
            <w:r w:rsidRPr="00631C1C">
              <w:rPr>
                <w:szCs w:val="18"/>
              </w:rPr>
              <w:t>Namibia</w:t>
            </w:r>
          </w:p>
        </w:tc>
        <w:tc>
          <w:tcPr>
            <w:tcW w:w="1400" w:type="dxa"/>
            <w:tcBorders>
              <w:top w:val="nil"/>
              <w:left w:val="nil"/>
              <w:bottom w:val="single" w:sz="4" w:space="0" w:color="auto"/>
              <w:right w:val="single" w:sz="4" w:space="0" w:color="auto"/>
            </w:tcBorders>
            <w:noWrap/>
            <w:hideMark/>
          </w:tcPr>
          <w:p w14:paraId="1F665FC2" w14:textId="4D9C20C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357450AC" w14:textId="79A253C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4A479CF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85E933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F418D41" w14:textId="77777777" w:rsidR="00312042" w:rsidRPr="00631C1C" w:rsidRDefault="00312042" w:rsidP="009A58EE">
            <w:pPr>
              <w:pStyle w:val="Normal-pool-Table"/>
              <w:jc w:val="right"/>
              <w:rPr>
                <w:szCs w:val="18"/>
              </w:rPr>
            </w:pPr>
            <w:r w:rsidRPr="00631C1C">
              <w:rPr>
                <w:szCs w:val="18"/>
              </w:rPr>
              <w:t>715</w:t>
            </w:r>
          </w:p>
        </w:tc>
      </w:tr>
      <w:tr w:rsidR="00F234CD" w:rsidRPr="00631C1C" w14:paraId="2751D4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39A42" w14:textId="77777777" w:rsidR="00312042" w:rsidRPr="00631C1C" w:rsidRDefault="00312042" w:rsidP="009A58EE">
            <w:pPr>
              <w:pStyle w:val="Normal-pool-Table"/>
              <w:rPr>
                <w:szCs w:val="18"/>
              </w:rPr>
            </w:pPr>
            <w:r w:rsidRPr="00631C1C">
              <w:rPr>
                <w:szCs w:val="18"/>
              </w:rPr>
              <w:t>32</w:t>
            </w:r>
          </w:p>
        </w:tc>
        <w:tc>
          <w:tcPr>
            <w:tcW w:w="2573" w:type="dxa"/>
            <w:tcBorders>
              <w:top w:val="nil"/>
              <w:left w:val="nil"/>
              <w:bottom w:val="single" w:sz="4" w:space="0" w:color="auto"/>
              <w:right w:val="single" w:sz="4" w:space="0" w:color="auto"/>
            </w:tcBorders>
            <w:noWrap/>
            <w:hideMark/>
          </w:tcPr>
          <w:p w14:paraId="3B91B7FC" w14:textId="77777777" w:rsidR="00312042" w:rsidRPr="00631C1C" w:rsidRDefault="00312042" w:rsidP="009A58EE">
            <w:pPr>
              <w:pStyle w:val="Normal-pool-Table"/>
              <w:rPr>
                <w:szCs w:val="18"/>
              </w:rPr>
            </w:pPr>
            <w:r w:rsidRPr="00631C1C">
              <w:rPr>
                <w:szCs w:val="18"/>
              </w:rPr>
              <w:t>Niger</w:t>
            </w:r>
          </w:p>
        </w:tc>
        <w:tc>
          <w:tcPr>
            <w:tcW w:w="1400" w:type="dxa"/>
            <w:tcBorders>
              <w:top w:val="nil"/>
              <w:left w:val="nil"/>
              <w:bottom w:val="single" w:sz="4" w:space="0" w:color="auto"/>
              <w:right w:val="single" w:sz="4" w:space="0" w:color="auto"/>
            </w:tcBorders>
            <w:noWrap/>
            <w:hideMark/>
          </w:tcPr>
          <w:p w14:paraId="604C0880" w14:textId="6374B8D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FEEFB0D" w14:textId="0FE39E6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E2218C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D1DA28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4F1B24B" w14:textId="77777777" w:rsidR="00312042" w:rsidRPr="00631C1C" w:rsidRDefault="00312042" w:rsidP="009A58EE">
            <w:pPr>
              <w:pStyle w:val="Normal-pool-Table"/>
              <w:jc w:val="right"/>
              <w:rPr>
                <w:szCs w:val="18"/>
              </w:rPr>
            </w:pPr>
            <w:r w:rsidRPr="00631C1C">
              <w:rPr>
                <w:szCs w:val="18"/>
              </w:rPr>
              <w:t>715</w:t>
            </w:r>
          </w:p>
        </w:tc>
      </w:tr>
      <w:tr w:rsidR="00F234CD" w:rsidRPr="00631C1C" w14:paraId="1A9AE1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51B92C" w14:textId="77777777" w:rsidR="00312042" w:rsidRPr="00631C1C" w:rsidRDefault="00312042" w:rsidP="009A58EE">
            <w:pPr>
              <w:pStyle w:val="Normal-pool-Table"/>
              <w:rPr>
                <w:szCs w:val="18"/>
              </w:rPr>
            </w:pPr>
            <w:r w:rsidRPr="00631C1C">
              <w:rPr>
                <w:szCs w:val="18"/>
              </w:rPr>
              <w:t>33</w:t>
            </w:r>
          </w:p>
        </w:tc>
        <w:tc>
          <w:tcPr>
            <w:tcW w:w="2573" w:type="dxa"/>
            <w:tcBorders>
              <w:top w:val="nil"/>
              <w:left w:val="nil"/>
              <w:bottom w:val="single" w:sz="4" w:space="0" w:color="auto"/>
              <w:right w:val="single" w:sz="4" w:space="0" w:color="auto"/>
            </w:tcBorders>
            <w:noWrap/>
            <w:hideMark/>
          </w:tcPr>
          <w:p w14:paraId="1F3986D5" w14:textId="77777777" w:rsidR="00312042" w:rsidRPr="00631C1C" w:rsidRDefault="00312042" w:rsidP="009A58EE">
            <w:pPr>
              <w:pStyle w:val="Normal-pool-Table"/>
              <w:rPr>
                <w:szCs w:val="18"/>
              </w:rPr>
            </w:pPr>
            <w:r w:rsidRPr="00631C1C">
              <w:rPr>
                <w:szCs w:val="18"/>
              </w:rPr>
              <w:t>Nigeria</w:t>
            </w:r>
          </w:p>
        </w:tc>
        <w:tc>
          <w:tcPr>
            <w:tcW w:w="1400" w:type="dxa"/>
            <w:tcBorders>
              <w:top w:val="nil"/>
              <w:left w:val="nil"/>
              <w:bottom w:val="single" w:sz="4" w:space="0" w:color="auto"/>
              <w:right w:val="single" w:sz="4" w:space="0" w:color="auto"/>
            </w:tcBorders>
            <w:noWrap/>
            <w:hideMark/>
          </w:tcPr>
          <w:p w14:paraId="7CF6558B" w14:textId="2A413CF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w:t>
            </w:r>
          </w:p>
        </w:tc>
        <w:tc>
          <w:tcPr>
            <w:tcW w:w="1073" w:type="dxa"/>
            <w:tcBorders>
              <w:top w:val="nil"/>
              <w:left w:val="nil"/>
              <w:bottom w:val="single" w:sz="4" w:space="0" w:color="auto"/>
              <w:right w:val="single" w:sz="4" w:space="0" w:color="auto"/>
            </w:tcBorders>
            <w:noWrap/>
            <w:hideMark/>
          </w:tcPr>
          <w:p w14:paraId="113CB03B" w14:textId="23CBF41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1514</w:t>
            </w:r>
          </w:p>
        </w:tc>
        <w:tc>
          <w:tcPr>
            <w:tcW w:w="1293" w:type="dxa"/>
            <w:tcBorders>
              <w:top w:val="nil"/>
              <w:left w:val="nil"/>
              <w:bottom w:val="single" w:sz="4" w:space="0" w:color="auto"/>
              <w:right w:val="single" w:sz="4" w:space="0" w:color="auto"/>
            </w:tcBorders>
            <w:noWrap/>
            <w:hideMark/>
          </w:tcPr>
          <w:p w14:paraId="60418F4A" w14:textId="77777777" w:rsidR="00312042" w:rsidRPr="00631C1C" w:rsidRDefault="00312042" w:rsidP="009A58EE">
            <w:pPr>
              <w:pStyle w:val="Normal-pool-Table"/>
              <w:jc w:val="right"/>
              <w:rPr>
                <w:szCs w:val="18"/>
              </w:rPr>
            </w:pPr>
            <w:r w:rsidRPr="00631C1C">
              <w:rPr>
                <w:szCs w:val="18"/>
              </w:rPr>
              <w:t>4 668</w:t>
            </w:r>
          </w:p>
        </w:tc>
        <w:tc>
          <w:tcPr>
            <w:tcW w:w="1293" w:type="dxa"/>
            <w:tcBorders>
              <w:top w:val="nil"/>
              <w:left w:val="nil"/>
              <w:bottom w:val="single" w:sz="4" w:space="0" w:color="auto"/>
              <w:right w:val="single" w:sz="4" w:space="0" w:color="auto"/>
            </w:tcBorders>
            <w:noWrap/>
            <w:hideMark/>
          </w:tcPr>
          <w:p w14:paraId="4E22EB24" w14:textId="77777777" w:rsidR="00312042" w:rsidRPr="00631C1C" w:rsidRDefault="00312042" w:rsidP="009A58EE">
            <w:pPr>
              <w:pStyle w:val="Normal-pool-Table"/>
              <w:jc w:val="right"/>
              <w:rPr>
                <w:szCs w:val="18"/>
              </w:rPr>
            </w:pPr>
            <w:r w:rsidRPr="00631C1C">
              <w:rPr>
                <w:szCs w:val="18"/>
              </w:rPr>
              <w:t>6 161</w:t>
            </w:r>
          </w:p>
        </w:tc>
        <w:tc>
          <w:tcPr>
            <w:tcW w:w="1313" w:type="dxa"/>
            <w:tcBorders>
              <w:top w:val="nil"/>
              <w:left w:val="nil"/>
              <w:bottom w:val="single" w:sz="4" w:space="0" w:color="auto"/>
              <w:right w:val="single" w:sz="4" w:space="0" w:color="auto"/>
            </w:tcBorders>
            <w:noWrap/>
            <w:hideMark/>
          </w:tcPr>
          <w:p w14:paraId="2CA39514" w14:textId="77777777" w:rsidR="00312042" w:rsidRPr="00631C1C" w:rsidRDefault="00312042" w:rsidP="009A58EE">
            <w:pPr>
              <w:pStyle w:val="Normal-pool-Table"/>
              <w:jc w:val="right"/>
              <w:rPr>
                <w:szCs w:val="18"/>
              </w:rPr>
            </w:pPr>
            <w:r w:rsidRPr="00631C1C">
              <w:rPr>
                <w:szCs w:val="18"/>
              </w:rPr>
              <w:t>10 829</w:t>
            </w:r>
          </w:p>
        </w:tc>
      </w:tr>
      <w:tr w:rsidR="00F234CD" w:rsidRPr="00631C1C" w14:paraId="131522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2C23A4A" w14:textId="77777777" w:rsidR="00312042" w:rsidRPr="00631C1C" w:rsidRDefault="00312042" w:rsidP="009A58EE">
            <w:pPr>
              <w:pStyle w:val="Normal-pool-Table"/>
              <w:rPr>
                <w:szCs w:val="18"/>
              </w:rPr>
            </w:pPr>
            <w:r w:rsidRPr="00631C1C">
              <w:rPr>
                <w:szCs w:val="18"/>
              </w:rPr>
              <w:t>34</w:t>
            </w:r>
          </w:p>
        </w:tc>
        <w:tc>
          <w:tcPr>
            <w:tcW w:w="2573" w:type="dxa"/>
            <w:tcBorders>
              <w:top w:val="nil"/>
              <w:left w:val="nil"/>
              <w:bottom w:val="single" w:sz="4" w:space="0" w:color="auto"/>
              <w:right w:val="single" w:sz="4" w:space="0" w:color="auto"/>
            </w:tcBorders>
            <w:noWrap/>
            <w:hideMark/>
          </w:tcPr>
          <w:p w14:paraId="3042F144" w14:textId="77777777" w:rsidR="00312042" w:rsidRPr="00631C1C" w:rsidRDefault="00312042" w:rsidP="009A58EE">
            <w:pPr>
              <w:pStyle w:val="Normal-pool-Table"/>
              <w:rPr>
                <w:szCs w:val="18"/>
              </w:rPr>
            </w:pPr>
            <w:r w:rsidRPr="00631C1C">
              <w:rPr>
                <w:szCs w:val="18"/>
              </w:rPr>
              <w:t>Rwanda</w:t>
            </w:r>
          </w:p>
        </w:tc>
        <w:tc>
          <w:tcPr>
            <w:tcW w:w="1400" w:type="dxa"/>
            <w:tcBorders>
              <w:top w:val="nil"/>
              <w:left w:val="nil"/>
              <w:bottom w:val="single" w:sz="4" w:space="0" w:color="auto"/>
              <w:right w:val="single" w:sz="4" w:space="0" w:color="auto"/>
            </w:tcBorders>
            <w:noWrap/>
            <w:hideMark/>
          </w:tcPr>
          <w:p w14:paraId="132E8304" w14:textId="626010F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7A64E49A" w14:textId="1A76A75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BA2D1F9"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05DF1D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F1350F2" w14:textId="77777777" w:rsidR="00312042" w:rsidRPr="00631C1C" w:rsidRDefault="00312042" w:rsidP="009A58EE">
            <w:pPr>
              <w:pStyle w:val="Normal-pool-Table"/>
              <w:jc w:val="right"/>
              <w:rPr>
                <w:szCs w:val="18"/>
              </w:rPr>
            </w:pPr>
            <w:r w:rsidRPr="00631C1C">
              <w:rPr>
                <w:szCs w:val="18"/>
              </w:rPr>
              <w:t>715</w:t>
            </w:r>
          </w:p>
        </w:tc>
      </w:tr>
      <w:tr w:rsidR="00F234CD" w:rsidRPr="00631C1C" w14:paraId="37EFD7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CE7917" w14:textId="77777777" w:rsidR="00312042" w:rsidRPr="00631C1C" w:rsidRDefault="00312042" w:rsidP="009A58EE">
            <w:pPr>
              <w:pStyle w:val="Normal-pool-Table"/>
              <w:rPr>
                <w:szCs w:val="18"/>
              </w:rPr>
            </w:pPr>
            <w:r w:rsidRPr="00631C1C">
              <w:rPr>
                <w:szCs w:val="18"/>
              </w:rPr>
              <w:t>35</w:t>
            </w:r>
          </w:p>
        </w:tc>
        <w:tc>
          <w:tcPr>
            <w:tcW w:w="2573" w:type="dxa"/>
            <w:tcBorders>
              <w:top w:val="nil"/>
              <w:left w:val="nil"/>
              <w:bottom w:val="single" w:sz="4" w:space="0" w:color="auto"/>
              <w:right w:val="single" w:sz="4" w:space="0" w:color="auto"/>
            </w:tcBorders>
            <w:noWrap/>
            <w:hideMark/>
          </w:tcPr>
          <w:p w14:paraId="08082A6C" w14:textId="77777777" w:rsidR="00312042" w:rsidRPr="00631C1C" w:rsidRDefault="00312042" w:rsidP="009A58EE">
            <w:pPr>
              <w:pStyle w:val="Normal-pool-Table"/>
              <w:rPr>
                <w:szCs w:val="18"/>
              </w:rPr>
            </w:pPr>
            <w:r w:rsidRPr="00631C1C">
              <w:rPr>
                <w:szCs w:val="18"/>
              </w:rPr>
              <w:t>Sao Tome and Principe</w:t>
            </w:r>
          </w:p>
        </w:tc>
        <w:tc>
          <w:tcPr>
            <w:tcW w:w="1400" w:type="dxa"/>
            <w:tcBorders>
              <w:top w:val="nil"/>
              <w:left w:val="nil"/>
              <w:bottom w:val="single" w:sz="4" w:space="0" w:color="auto"/>
              <w:right w:val="single" w:sz="4" w:space="0" w:color="auto"/>
            </w:tcBorders>
            <w:noWrap/>
            <w:hideMark/>
          </w:tcPr>
          <w:p w14:paraId="3C501427" w14:textId="54FDD05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721E85E" w14:textId="282EE53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ADC53F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18CE65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56D94BC" w14:textId="77777777" w:rsidR="00312042" w:rsidRPr="00631C1C" w:rsidRDefault="00312042" w:rsidP="009A58EE">
            <w:pPr>
              <w:pStyle w:val="Normal-pool-Table"/>
              <w:jc w:val="right"/>
              <w:rPr>
                <w:szCs w:val="18"/>
              </w:rPr>
            </w:pPr>
            <w:r w:rsidRPr="00631C1C">
              <w:rPr>
                <w:szCs w:val="18"/>
              </w:rPr>
              <w:t>715</w:t>
            </w:r>
          </w:p>
        </w:tc>
      </w:tr>
      <w:tr w:rsidR="00F234CD" w:rsidRPr="00631C1C" w14:paraId="00B59D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E9BE3" w14:textId="77777777" w:rsidR="00312042" w:rsidRPr="00631C1C" w:rsidRDefault="00312042" w:rsidP="009A58EE">
            <w:pPr>
              <w:pStyle w:val="Normal-pool-Table"/>
              <w:rPr>
                <w:szCs w:val="18"/>
              </w:rPr>
            </w:pPr>
            <w:r w:rsidRPr="00631C1C">
              <w:rPr>
                <w:szCs w:val="18"/>
              </w:rPr>
              <w:t>36</w:t>
            </w:r>
          </w:p>
        </w:tc>
        <w:tc>
          <w:tcPr>
            <w:tcW w:w="2573" w:type="dxa"/>
            <w:tcBorders>
              <w:top w:val="nil"/>
              <w:left w:val="nil"/>
              <w:bottom w:val="single" w:sz="4" w:space="0" w:color="auto"/>
              <w:right w:val="single" w:sz="4" w:space="0" w:color="auto"/>
            </w:tcBorders>
            <w:noWrap/>
            <w:hideMark/>
          </w:tcPr>
          <w:p w14:paraId="3C4F1255" w14:textId="77777777" w:rsidR="00312042" w:rsidRPr="00631C1C" w:rsidRDefault="00312042" w:rsidP="009A58EE">
            <w:pPr>
              <w:pStyle w:val="Normal-pool-Table"/>
              <w:rPr>
                <w:szCs w:val="18"/>
              </w:rPr>
            </w:pPr>
            <w:r w:rsidRPr="00631C1C">
              <w:rPr>
                <w:szCs w:val="18"/>
              </w:rPr>
              <w:t>Senegal</w:t>
            </w:r>
          </w:p>
        </w:tc>
        <w:tc>
          <w:tcPr>
            <w:tcW w:w="1400" w:type="dxa"/>
            <w:tcBorders>
              <w:top w:val="nil"/>
              <w:left w:val="nil"/>
              <w:bottom w:val="single" w:sz="4" w:space="0" w:color="auto"/>
              <w:right w:val="single" w:sz="4" w:space="0" w:color="auto"/>
            </w:tcBorders>
            <w:noWrap/>
            <w:hideMark/>
          </w:tcPr>
          <w:p w14:paraId="407F0991" w14:textId="2A1B29C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649ECC7A" w14:textId="6F1E416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B17452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6C3D08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12417E6" w14:textId="77777777" w:rsidR="00312042" w:rsidRPr="00631C1C" w:rsidRDefault="00312042" w:rsidP="009A58EE">
            <w:pPr>
              <w:pStyle w:val="Normal-pool-Table"/>
              <w:jc w:val="right"/>
              <w:rPr>
                <w:szCs w:val="18"/>
              </w:rPr>
            </w:pPr>
            <w:r w:rsidRPr="00631C1C">
              <w:rPr>
                <w:szCs w:val="18"/>
              </w:rPr>
              <w:t>715</w:t>
            </w:r>
          </w:p>
        </w:tc>
      </w:tr>
      <w:tr w:rsidR="00F234CD" w:rsidRPr="00631C1C" w14:paraId="47C45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5ECA7C" w14:textId="77777777" w:rsidR="00312042" w:rsidRPr="00631C1C" w:rsidRDefault="00312042" w:rsidP="009A58EE">
            <w:pPr>
              <w:pStyle w:val="Normal-pool-Table"/>
              <w:rPr>
                <w:szCs w:val="18"/>
              </w:rPr>
            </w:pPr>
            <w:r w:rsidRPr="00631C1C">
              <w:rPr>
                <w:szCs w:val="18"/>
              </w:rPr>
              <w:t>37</w:t>
            </w:r>
          </w:p>
        </w:tc>
        <w:tc>
          <w:tcPr>
            <w:tcW w:w="2573" w:type="dxa"/>
            <w:tcBorders>
              <w:top w:val="nil"/>
              <w:left w:val="nil"/>
              <w:bottom w:val="single" w:sz="4" w:space="0" w:color="auto"/>
              <w:right w:val="single" w:sz="4" w:space="0" w:color="auto"/>
            </w:tcBorders>
            <w:noWrap/>
            <w:hideMark/>
          </w:tcPr>
          <w:p w14:paraId="198AEB44" w14:textId="77777777" w:rsidR="00312042" w:rsidRPr="00631C1C" w:rsidRDefault="00312042" w:rsidP="009A58EE">
            <w:pPr>
              <w:pStyle w:val="Normal-pool-Table"/>
              <w:rPr>
                <w:szCs w:val="18"/>
              </w:rPr>
            </w:pPr>
            <w:r w:rsidRPr="00631C1C">
              <w:rPr>
                <w:szCs w:val="18"/>
              </w:rPr>
              <w:t>Seychelles</w:t>
            </w:r>
          </w:p>
        </w:tc>
        <w:tc>
          <w:tcPr>
            <w:tcW w:w="1400" w:type="dxa"/>
            <w:tcBorders>
              <w:top w:val="nil"/>
              <w:left w:val="nil"/>
              <w:bottom w:val="single" w:sz="4" w:space="0" w:color="auto"/>
              <w:right w:val="single" w:sz="4" w:space="0" w:color="auto"/>
            </w:tcBorders>
            <w:noWrap/>
            <w:hideMark/>
          </w:tcPr>
          <w:p w14:paraId="01704415" w14:textId="76C020A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4AF08BD5" w14:textId="43B07F0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93138A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058496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6048DE5" w14:textId="77777777" w:rsidR="00312042" w:rsidRPr="00631C1C" w:rsidRDefault="00312042" w:rsidP="009A58EE">
            <w:pPr>
              <w:pStyle w:val="Normal-pool-Table"/>
              <w:jc w:val="right"/>
              <w:rPr>
                <w:szCs w:val="18"/>
              </w:rPr>
            </w:pPr>
            <w:r w:rsidRPr="00631C1C">
              <w:rPr>
                <w:szCs w:val="18"/>
              </w:rPr>
              <w:t>715</w:t>
            </w:r>
          </w:p>
        </w:tc>
      </w:tr>
      <w:tr w:rsidR="00F234CD" w:rsidRPr="00631C1C" w14:paraId="36BFFE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D9E89D" w14:textId="77777777" w:rsidR="00312042" w:rsidRPr="00631C1C" w:rsidRDefault="00312042" w:rsidP="009A58EE">
            <w:pPr>
              <w:pStyle w:val="Normal-pool-Table"/>
              <w:rPr>
                <w:szCs w:val="18"/>
              </w:rPr>
            </w:pPr>
            <w:r w:rsidRPr="00631C1C">
              <w:rPr>
                <w:szCs w:val="18"/>
              </w:rPr>
              <w:t>38</w:t>
            </w:r>
          </w:p>
        </w:tc>
        <w:tc>
          <w:tcPr>
            <w:tcW w:w="2573" w:type="dxa"/>
            <w:tcBorders>
              <w:top w:val="nil"/>
              <w:left w:val="nil"/>
              <w:bottom w:val="single" w:sz="4" w:space="0" w:color="auto"/>
              <w:right w:val="single" w:sz="4" w:space="0" w:color="auto"/>
            </w:tcBorders>
            <w:noWrap/>
            <w:hideMark/>
          </w:tcPr>
          <w:p w14:paraId="0CBDB4B7" w14:textId="77777777" w:rsidR="00312042" w:rsidRPr="00631C1C" w:rsidRDefault="00312042" w:rsidP="009A58EE">
            <w:pPr>
              <w:pStyle w:val="Normal-pool-Table"/>
              <w:rPr>
                <w:szCs w:val="18"/>
              </w:rPr>
            </w:pPr>
            <w:r w:rsidRPr="00631C1C">
              <w:rPr>
                <w:szCs w:val="18"/>
              </w:rPr>
              <w:t>Sierra Leone</w:t>
            </w:r>
          </w:p>
        </w:tc>
        <w:tc>
          <w:tcPr>
            <w:tcW w:w="1400" w:type="dxa"/>
            <w:tcBorders>
              <w:top w:val="nil"/>
              <w:left w:val="nil"/>
              <w:bottom w:val="single" w:sz="4" w:space="0" w:color="auto"/>
              <w:right w:val="single" w:sz="4" w:space="0" w:color="auto"/>
            </w:tcBorders>
            <w:noWrap/>
            <w:hideMark/>
          </w:tcPr>
          <w:p w14:paraId="64CA969D" w14:textId="650709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4B00DF79" w14:textId="59FE0C7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B8A080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96239D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85317AC" w14:textId="77777777" w:rsidR="00312042" w:rsidRPr="00631C1C" w:rsidRDefault="00312042" w:rsidP="009A58EE">
            <w:pPr>
              <w:pStyle w:val="Normal-pool-Table"/>
              <w:jc w:val="right"/>
              <w:rPr>
                <w:szCs w:val="18"/>
              </w:rPr>
            </w:pPr>
            <w:r w:rsidRPr="00631C1C">
              <w:rPr>
                <w:szCs w:val="18"/>
              </w:rPr>
              <w:t>715</w:t>
            </w:r>
          </w:p>
        </w:tc>
      </w:tr>
      <w:tr w:rsidR="00F234CD" w:rsidRPr="00631C1C" w14:paraId="13ED7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922B64" w14:textId="77777777" w:rsidR="00312042" w:rsidRPr="00631C1C" w:rsidRDefault="00312042" w:rsidP="009A58EE">
            <w:pPr>
              <w:pStyle w:val="Normal-pool-Table"/>
              <w:rPr>
                <w:szCs w:val="18"/>
              </w:rPr>
            </w:pPr>
            <w:r w:rsidRPr="00631C1C">
              <w:rPr>
                <w:szCs w:val="18"/>
              </w:rPr>
              <w:t>39</w:t>
            </w:r>
          </w:p>
        </w:tc>
        <w:tc>
          <w:tcPr>
            <w:tcW w:w="2573" w:type="dxa"/>
            <w:tcBorders>
              <w:top w:val="nil"/>
              <w:left w:val="nil"/>
              <w:bottom w:val="single" w:sz="4" w:space="0" w:color="auto"/>
              <w:right w:val="single" w:sz="4" w:space="0" w:color="auto"/>
            </w:tcBorders>
            <w:noWrap/>
            <w:hideMark/>
          </w:tcPr>
          <w:p w14:paraId="48978773" w14:textId="77777777" w:rsidR="00312042" w:rsidRPr="00631C1C" w:rsidRDefault="00312042" w:rsidP="009A58EE">
            <w:pPr>
              <w:pStyle w:val="Normal-pool-Table"/>
              <w:rPr>
                <w:szCs w:val="18"/>
              </w:rPr>
            </w:pPr>
            <w:r w:rsidRPr="00631C1C">
              <w:rPr>
                <w:szCs w:val="18"/>
              </w:rPr>
              <w:t>South Africa</w:t>
            </w:r>
          </w:p>
        </w:tc>
        <w:tc>
          <w:tcPr>
            <w:tcW w:w="1400" w:type="dxa"/>
            <w:tcBorders>
              <w:top w:val="nil"/>
              <w:left w:val="nil"/>
              <w:bottom w:val="single" w:sz="4" w:space="0" w:color="auto"/>
              <w:right w:val="single" w:sz="4" w:space="0" w:color="auto"/>
            </w:tcBorders>
            <w:noWrap/>
            <w:hideMark/>
          </w:tcPr>
          <w:p w14:paraId="783424CF" w14:textId="02323F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251</w:t>
            </w:r>
          </w:p>
        </w:tc>
        <w:tc>
          <w:tcPr>
            <w:tcW w:w="1073" w:type="dxa"/>
            <w:tcBorders>
              <w:top w:val="nil"/>
              <w:left w:val="nil"/>
              <w:bottom w:val="single" w:sz="4" w:space="0" w:color="auto"/>
              <w:right w:val="single" w:sz="4" w:space="0" w:color="auto"/>
            </w:tcBorders>
            <w:noWrap/>
            <w:hideMark/>
          </w:tcPr>
          <w:p w14:paraId="037517D5" w14:textId="5CB42F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2533</w:t>
            </w:r>
          </w:p>
        </w:tc>
        <w:tc>
          <w:tcPr>
            <w:tcW w:w="1293" w:type="dxa"/>
            <w:tcBorders>
              <w:top w:val="nil"/>
              <w:left w:val="nil"/>
              <w:bottom w:val="single" w:sz="4" w:space="0" w:color="auto"/>
              <w:right w:val="single" w:sz="4" w:space="0" w:color="auto"/>
            </w:tcBorders>
            <w:noWrap/>
            <w:hideMark/>
          </w:tcPr>
          <w:p w14:paraId="3E1FF8F5" w14:textId="77777777" w:rsidR="00312042" w:rsidRPr="00631C1C" w:rsidRDefault="00312042" w:rsidP="009A58EE">
            <w:pPr>
              <w:pStyle w:val="Normal-pool-Table"/>
              <w:jc w:val="right"/>
              <w:rPr>
                <w:szCs w:val="18"/>
              </w:rPr>
            </w:pPr>
            <w:r w:rsidRPr="00631C1C">
              <w:rPr>
                <w:szCs w:val="18"/>
              </w:rPr>
              <w:t>7 811</w:t>
            </w:r>
          </w:p>
        </w:tc>
        <w:tc>
          <w:tcPr>
            <w:tcW w:w="1293" w:type="dxa"/>
            <w:tcBorders>
              <w:top w:val="nil"/>
              <w:left w:val="nil"/>
              <w:bottom w:val="single" w:sz="4" w:space="0" w:color="auto"/>
              <w:right w:val="single" w:sz="4" w:space="0" w:color="auto"/>
            </w:tcBorders>
            <w:noWrap/>
            <w:hideMark/>
          </w:tcPr>
          <w:p w14:paraId="6B9E99C8" w14:textId="77777777" w:rsidR="00312042" w:rsidRPr="00631C1C" w:rsidRDefault="00312042" w:rsidP="009A58EE">
            <w:pPr>
              <w:pStyle w:val="Normal-pool-Table"/>
              <w:jc w:val="right"/>
              <w:rPr>
                <w:szCs w:val="18"/>
              </w:rPr>
            </w:pPr>
            <w:r w:rsidRPr="00631C1C">
              <w:rPr>
                <w:szCs w:val="18"/>
              </w:rPr>
              <w:t>10 309</w:t>
            </w:r>
          </w:p>
        </w:tc>
        <w:tc>
          <w:tcPr>
            <w:tcW w:w="1313" w:type="dxa"/>
            <w:tcBorders>
              <w:top w:val="nil"/>
              <w:left w:val="nil"/>
              <w:bottom w:val="single" w:sz="4" w:space="0" w:color="auto"/>
              <w:right w:val="single" w:sz="4" w:space="0" w:color="auto"/>
            </w:tcBorders>
            <w:noWrap/>
            <w:hideMark/>
          </w:tcPr>
          <w:p w14:paraId="3E7E7223" w14:textId="77777777" w:rsidR="00312042" w:rsidRPr="00631C1C" w:rsidRDefault="00312042" w:rsidP="009A58EE">
            <w:pPr>
              <w:pStyle w:val="Normal-pool-Table"/>
              <w:jc w:val="right"/>
              <w:rPr>
                <w:szCs w:val="18"/>
              </w:rPr>
            </w:pPr>
            <w:r w:rsidRPr="00631C1C">
              <w:rPr>
                <w:szCs w:val="18"/>
              </w:rPr>
              <w:t>18 120</w:t>
            </w:r>
          </w:p>
        </w:tc>
      </w:tr>
      <w:tr w:rsidR="00F234CD" w:rsidRPr="00631C1C" w14:paraId="1447A2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4F2EF0" w14:textId="77777777" w:rsidR="00312042" w:rsidRPr="00631C1C" w:rsidRDefault="00312042" w:rsidP="009A58EE">
            <w:pPr>
              <w:pStyle w:val="Normal-pool-Table"/>
              <w:rPr>
                <w:szCs w:val="18"/>
              </w:rPr>
            </w:pPr>
            <w:r w:rsidRPr="00631C1C">
              <w:rPr>
                <w:szCs w:val="18"/>
              </w:rPr>
              <w:lastRenderedPageBreak/>
              <w:t>40</w:t>
            </w:r>
          </w:p>
        </w:tc>
        <w:tc>
          <w:tcPr>
            <w:tcW w:w="2573" w:type="dxa"/>
            <w:tcBorders>
              <w:top w:val="nil"/>
              <w:left w:val="nil"/>
              <w:bottom w:val="single" w:sz="4" w:space="0" w:color="auto"/>
              <w:right w:val="single" w:sz="4" w:space="0" w:color="auto"/>
            </w:tcBorders>
            <w:noWrap/>
            <w:hideMark/>
          </w:tcPr>
          <w:p w14:paraId="53C85FC3" w14:textId="77777777" w:rsidR="00312042" w:rsidRPr="00631C1C" w:rsidRDefault="00312042" w:rsidP="009A58EE">
            <w:pPr>
              <w:pStyle w:val="Normal-pool-Table"/>
              <w:rPr>
                <w:szCs w:val="18"/>
              </w:rPr>
            </w:pPr>
            <w:r w:rsidRPr="00631C1C">
              <w:rPr>
                <w:szCs w:val="18"/>
              </w:rPr>
              <w:t>Togo</w:t>
            </w:r>
          </w:p>
        </w:tc>
        <w:tc>
          <w:tcPr>
            <w:tcW w:w="1400" w:type="dxa"/>
            <w:tcBorders>
              <w:top w:val="nil"/>
              <w:left w:val="nil"/>
              <w:bottom w:val="single" w:sz="4" w:space="0" w:color="auto"/>
              <w:right w:val="single" w:sz="4" w:space="0" w:color="auto"/>
            </w:tcBorders>
            <w:noWrap/>
            <w:hideMark/>
          </w:tcPr>
          <w:p w14:paraId="490EACFB" w14:textId="07823A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530EFDA9" w14:textId="29FF7C2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1262C7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085870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D9B2784" w14:textId="77777777" w:rsidR="00312042" w:rsidRPr="00631C1C" w:rsidRDefault="00312042" w:rsidP="009A58EE">
            <w:pPr>
              <w:pStyle w:val="Normal-pool-Table"/>
              <w:jc w:val="right"/>
              <w:rPr>
                <w:szCs w:val="18"/>
              </w:rPr>
            </w:pPr>
            <w:r w:rsidRPr="00631C1C">
              <w:rPr>
                <w:szCs w:val="18"/>
              </w:rPr>
              <w:t>715</w:t>
            </w:r>
          </w:p>
        </w:tc>
      </w:tr>
      <w:tr w:rsidR="00F234CD" w:rsidRPr="00631C1C" w14:paraId="3DB0FD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31B26D" w14:textId="77777777" w:rsidR="00312042" w:rsidRPr="00631C1C" w:rsidRDefault="00312042" w:rsidP="009A58EE">
            <w:pPr>
              <w:pStyle w:val="Normal-pool-Table"/>
              <w:rPr>
                <w:szCs w:val="18"/>
              </w:rPr>
            </w:pPr>
            <w:r w:rsidRPr="00631C1C">
              <w:rPr>
                <w:szCs w:val="18"/>
              </w:rPr>
              <w:t>41</w:t>
            </w:r>
          </w:p>
        </w:tc>
        <w:tc>
          <w:tcPr>
            <w:tcW w:w="2573" w:type="dxa"/>
            <w:tcBorders>
              <w:top w:val="nil"/>
              <w:left w:val="nil"/>
              <w:bottom w:val="single" w:sz="4" w:space="0" w:color="auto"/>
              <w:right w:val="single" w:sz="4" w:space="0" w:color="auto"/>
            </w:tcBorders>
            <w:noWrap/>
            <w:hideMark/>
          </w:tcPr>
          <w:p w14:paraId="5C96B7FB" w14:textId="77777777" w:rsidR="00312042" w:rsidRPr="00631C1C" w:rsidRDefault="00312042" w:rsidP="009A58EE">
            <w:pPr>
              <w:pStyle w:val="Normal-pool-Table"/>
              <w:rPr>
                <w:szCs w:val="18"/>
              </w:rPr>
            </w:pPr>
            <w:r w:rsidRPr="00631C1C">
              <w:rPr>
                <w:szCs w:val="18"/>
              </w:rPr>
              <w:t>Uganda</w:t>
            </w:r>
          </w:p>
        </w:tc>
        <w:tc>
          <w:tcPr>
            <w:tcW w:w="1400" w:type="dxa"/>
            <w:tcBorders>
              <w:top w:val="nil"/>
              <w:left w:val="nil"/>
              <w:bottom w:val="single" w:sz="4" w:space="0" w:color="auto"/>
              <w:right w:val="single" w:sz="4" w:space="0" w:color="auto"/>
            </w:tcBorders>
            <w:noWrap/>
            <w:hideMark/>
          </w:tcPr>
          <w:p w14:paraId="1D1CF91B" w14:textId="494A1A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7B8D4597" w14:textId="3AF09E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75B3A850"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84D0C03"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0ED287D0" w14:textId="77777777" w:rsidR="00312042" w:rsidRPr="00631C1C" w:rsidRDefault="00312042" w:rsidP="009A58EE">
            <w:pPr>
              <w:pStyle w:val="Normal-pool-Table"/>
              <w:jc w:val="right"/>
              <w:rPr>
                <w:szCs w:val="18"/>
              </w:rPr>
            </w:pPr>
            <w:r w:rsidRPr="00631C1C">
              <w:rPr>
                <w:szCs w:val="18"/>
              </w:rPr>
              <w:t>722</w:t>
            </w:r>
          </w:p>
        </w:tc>
      </w:tr>
      <w:tr w:rsidR="00F234CD" w:rsidRPr="00631C1C" w14:paraId="088316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21211" w14:textId="77777777" w:rsidR="00312042" w:rsidRPr="00631C1C" w:rsidRDefault="00312042" w:rsidP="009A58EE">
            <w:pPr>
              <w:pStyle w:val="Normal-pool-Table"/>
              <w:rPr>
                <w:szCs w:val="18"/>
              </w:rPr>
            </w:pPr>
            <w:r w:rsidRPr="00631C1C">
              <w:rPr>
                <w:szCs w:val="18"/>
              </w:rPr>
              <w:t>42</w:t>
            </w:r>
          </w:p>
        </w:tc>
        <w:tc>
          <w:tcPr>
            <w:tcW w:w="2573" w:type="dxa"/>
            <w:tcBorders>
              <w:top w:val="nil"/>
              <w:left w:val="nil"/>
              <w:bottom w:val="single" w:sz="4" w:space="0" w:color="auto"/>
              <w:right w:val="single" w:sz="4" w:space="0" w:color="auto"/>
            </w:tcBorders>
            <w:noWrap/>
            <w:hideMark/>
          </w:tcPr>
          <w:p w14:paraId="66ABFEA0" w14:textId="77777777" w:rsidR="00312042" w:rsidRPr="00631C1C" w:rsidRDefault="00312042" w:rsidP="009A58EE">
            <w:pPr>
              <w:pStyle w:val="Normal-pool-Table"/>
              <w:rPr>
                <w:szCs w:val="18"/>
              </w:rPr>
            </w:pPr>
            <w:r w:rsidRPr="00631C1C">
              <w:rPr>
                <w:szCs w:val="18"/>
              </w:rPr>
              <w:t>United Republic of Tanzania</w:t>
            </w:r>
          </w:p>
        </w:tc>
        <w:tc>
          <w:tcPr>
            <w:tcW w:w="1400" w:type="dxa"/>
            <w:tcBorders>
              <w:top w:val="nil"/>
              <w:left w:val="nil"/>
              <w:bottom w:val="single" w:sz="4" w:space="0" w:color="auto"/>
              <w:right w:val="single" w:sz="4" w:space="0" w:color="auto"/>
            </w:tcBorders>
            <w:noWrap/>
            <w:hideMark/>
          </w:tcPr>
          <w:p w14:paraId="6F5421E7" w14:textId="3BF1E6B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09A59CB3" w14:textId="4A2BD7D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31792338"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F48EAEC"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B690F76" w14:textId="77777777" w:rsidR="00312042" w:rsidRPr="00631C1C" w:rsidRDefault="00312042" w:rsidP="009A58EE">
            <w:pPr>
              <w:pStyle w:val="Normal-pool-Table"/>
              <w:jc w:val="right"/>
              <w:rPr>
                <w:szCs w:val="18"/>
              </w:rPr>
            </w:pPr>
            <w:r w:rsidRPr="00631C1C">
              <w:rPr>
                <w:szCs w:val="18"/>
              </w:rPr>
              <w:t>722</w:t>
            </w:r>
          </w:p>
        </w:tc>
      </w:tr>
      <w:tr w:rsidR="00F234CD" w:rsidRPr="00631C1C" w14:paraId="14B8D6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0CD1BE" w14:textId="77777777" w:rsidR="00312042" w:rsidRPr="00631C1C" w:rsidRDefault="00312042" w:rsidP="009A58EE">
            <w:pPr>
              <w:pStyle w:val="Normal-pool-Table"/>
              <w:rPr>
                <w:szCs w:val="18"/>
              </w:rPr>
            </w:pPr>
            <w:r w:rsidRPr="00631C1C">
              <w:rPr>
                <w:szCs w:val="18"/>
              </w:rPr>
              <w:t>43</w:t>
            </w:r>
          </w:p>
        </w:tc>
        <w:tc>
          <w:tcPr>
            <w:tcW w:w="2573" w:type="dxa"/>
            <w:tcBorders>
              <w:top w:val="nil"/>
              <w:left w:val="nil"/>
              <w:bottom w:val="single" w:sz="4" w:space="0" w:color="auto"/>
              <w:right w:val="single" w:sz="4" w:space="0" w:color="auto"/>
            </w:tcBorders>
            <w:noWrap/>
            <w:hideMark/>
          </w:tcPr>
          <w:p w14:paraId="0ED72185" w14:textId="77777777" w:rsidR="00312042" w:rsidRPr="00631C1C" w:rsidRDefault="00312042" w:rsidP="009A58EE">
            <w:pPr>
              <w:pStyle w:val="Normal-pool-Table"/>
              <w:rPr>
                <w:szCs w:val="18"/>
              </w:rPr>
            </w:pPr>
            <w:r w:rsidRPr="00631C1C">
              <w:rPr>
                <w:szCs w:val="18"/>
              </w:rPr>
              <w:t>Zambia</w:t>
            </w:r>
          </w:p>
        </w:tc>
        <w:tc>
          <w:tcPr>
            <w:tcW w:w="1400" w:type="dxa"/>
            <w:tcBorders>
              <w:top w:val="nil"/>
              <w:left w:val="nil"/>
              <w:bottom w:val="single" w:sz="4" w:space="0" w:color="auto"/>
              <w:right w:val="single" w:sz="4" w:space="0" w:color="auto"/>
            </w:tcBorders>
            <w:noWrap/>
            <w:hideMark/>
          </w:tcPr>
          <w:p w14:paraId="6E2DA755" w14:textId="0F03134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687954AC" w14:textId="0407D7B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1B240C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E6CA4AD"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8F6877F" w14:textId="77777777" w:rsidR="00312042" w:rsidRPr="00631C1C" w:rsidRDefault="00312042" w:rsidP="009A58EE">
            <w:pPr>
              <w:pStyle w:val="Normal-pool-Table"/>
              <w:jc w:val="right"/>
              <w:rPr>
                <w:szCs w:val="18"/>
              </w:rPr>
            </w:pPr>
            <w:r w:rsidRPr="00631C1C">
              <w:rPr>
                <w:szCs w:val="18"/>
              </w:rPr>
              <w:t>715</w:t>
            </w:r>
          </w:p>
        </w:tc>
      </w:tr>
      <w:tr w:rsidR="00F234CD" w:rsidRPr="00631C1C" w14:paraId="69A086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03EB8D" w14:textId="77777777" w:rsidR="00312042" w:rsidRPr="00631C1C" w:rsidRDefault="00312042" w:rsidP="009A58EE">
            <w:pPr>
              <w:pStyle w:val="Normal-pool-Table"/>
              <w:rPr>
                <w:szCs w:val="18"/>
              </w:rPr>
            </w:pPr>
            <w:r w:rsidRPr="00631C1C">
              <w:rPr>
                <w:szCs w:val="18"/>
              </w:rPr>
              <w:t>44</w:t>
            </w:r>
          </w:p>
        </w:tc>
        <w:tc>
          <w:tcPr>
            <w:tcW w:w="2573" w:type="dxa"/>
            <w:tcBorders>
              <w:top w:val="nil"/>
              <w:left w:val="nil"/>
              <w:bottom w:val="single" w:sz="4" w:space="0" w:color="auto"/>
              <w:right w:val="single" w:sz="4" w:space="0" w:color="auto"/>
            </w:tcBorders>
            <w:noWrap/>
            <w:hideMark/>
          </w:tcPr>
          <w:p w14:paraId="3B70442F" w14:textId="77777777" w:rsidR="00312042" w:rsidRPr="00631C1C" w:rsidRDefault="00312042" w:rsidP="009A58EE">
            <w:pPr>
              <w:pStyle w:val="Normal-pool-Table"/>
              <w:rPr>
                <w:szCs w:val="18"/>
              </w:rPr>
            </w:pPr>
            <w:r w:rsidRPr="00631C1C">
              <w:rPr>
                <w:szCs w:val="18"/>
              </w:rPr>
              <w:t>Zimbabwe</w:t>
            </w:r>
          </w:p>
        </w:tc>
        <w:tc>
          <w:tcPr>
            <w:tcW w:w="1400" w:type="dxa"/>
            <w:tcBorders>
              <w:top w:val="nil"/>
              <w:left w:val="nil"/>
              <w:bottom w:val="single" w:sz="4" w:space="0" w:color="auto"/>
              <w:right w:val="single" w:sz="4" w:space="0" w:color="auto"/>
            </w:tcBorders>
            <w:noWrap/>
            <w:hideMark/>
          </w:tcPr>
          <w:p w14:paraId="5CF48F3F" w14:textId="3BEBA5E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2D284B5D" w14:textId="5A47822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DE002B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5D49E0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8BEC537" w14:textId="77777777" w:rsidR="00312042" w:rsidRPr="00631C1C" w:rsidRDefault="00312042" w:rsidP="009A58EE">
            <w:pPr>
              <w:pStyle w:val="Normal-pool-Table"/>
              <w:jc w:val="right"/>
              <w:rPr>
                <w:szCs w:val="18"/>
              </w:rPr>
            </w:pPr>
            <w:r w:rsidRPr="00631C1C">
              <w:rPr>
                <w:szCs w:val="18"/>
              </w:rPr>
              <w:t>715</w:t>
            </w:r>
          </w:p>
        </w:tc>
      </w:tr>
      <w:tr w:rsidR="00F234CD" w:rsidRPr="00631C1C"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631C1C" w:rsidRDefault="00312042" w:rsidP="009A58EE">
            <w:pPr>
              <w:pStyle w:val="Normal-pool-Table"/>
              <w:rPr>
                <w:b/>
                <w:bCs/>
                <w:szCs w:val="18"/>
              </w:rPr>
            </w:pPr>
            <w:r w:rsidRPr="00631C1C">
              <w:rPr>
                <w:b/>
                <w:bCs/>
                <w:szCs w:val="18"/>
              </w:rPr>
              <w:t>Asia-Pacific States (38)</w:t>
            </w:r>
          </w:p>
        </w:tc>
      </w:tr>
      <w:tr w:rsidR="00F234CD" w:rsidRPr="00631C1C" w14:paraId="0FCDFB2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0F6B0B" w14:textId="77777777" w:rsidR="00312042" w:rsidRPr="00631C1C" w:rsidRDefault="00312042" w:rsidP="009A58EE">
            <w:pPr>
              <w:pStyle w:val="Normal-pool-Table"/>
              <w:rPr>
                <w:szCs w:val="18"/>
              </w:rPr>
            </w:pPr>
            <w:r w:rsidRPr="00631C1C">
              <w:rPr>
                <w:szCs w:val="18"/>
              </w:rPr>
              <w:t>45</w:t>
            </w:r>
          </w:p>
        </w:tc>
        <w:tc>
          <w:tcPr>
            <w:tcW w:w="2573" w:type="dxa"/>
            <w:tcBorders>
              <w:top w:val="nil"/>
              <w:left w:val="nil"/>
              <w:bottom w:val="single" w:sz="4" w:space="0" w:color="auto"/>
              <w:right w:val="single" w:sz="4" w:space="0" w:color="auto"/>
            </w:tcBorders>
            <w:noWrap/>
            <w:hideMark/>
          </w:tcPr>
          <w:p w14:paraId="5E8A2883" w14:textId="77777777" w:rsidR="00312042" w:rsidRPr="00631C1C" w:rsidRDefault="00312042" w:rsidP="009A58EE">
            <w:pPr>
              <w:pStyle w:val="Normal-pool-Table"/>
              <w:rPr>
                <w:szCs w:val="18"/>
              </w:rPr>
            </w:pPr>
            <w:r w:rsidRPr="00631C1C">
              <w:rPr>
                <w:szCs w:val="18"/>
              </w:rPr>
              <w:t>Afghanistan</w:t>
            </w:r>
          </w:p>
        </w:tc>
        <w:tc>
          <w:tcPr>
            <w:tcW w:w="1400" w:type="dxa"/>
            <w:tcBorders>
              <w:top w:val="nil"/>
              <w:left w:val="nil"/>
              <w:bottom w:val="single" w:sz="4" w:space="0" w:color="auto"/>
              <w:right w:val="single" w:sz="4" w:space="0" w:color="auto"/>
            </w:tcBorders>
            <w:noWrap/>
            <w:hideMark/>
          </w:tcPr>
          <w:p w14:paraId="7541072C" w14:textId="0457FA3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5ABD1E2A" w14:textId="3E26DB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43B22C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BB1E6E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2F36DF4" w14:textId="77777777" w:rsidR="00312042" w:rsidRPr="00631C1C" w:rsidRDefault="00312042" w:rsidP="009A58EE">
            <w:pPr>
              <w:pStyle w:val="Normal-pool-Table"/>
              <w:jc w:val="right"/>
              <w:rPr>
                <w:szCs w:val="18"/>
              </w:rPr>
            </w:pPr>
            <w:r w:rsidRPr="00631C1C">
              <w:rPr>
                <w:szCs w:val="18"/>
              </w:rPr>
              <w:t>715</w:t>
            </w:r>
          </w:p>
        </w:tc>
      </w:tr>
      <w:tr w:rsidR="00F234CD" w:rsidRPr="00631C1C" w14:paraId="4CD29F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C2945B5" w14:textId="77777777" w:rsidR="00312042" w:rsidRPr="00631C1C" w:rsidRDefault="00312042" w:rsidP="009A58EE">
            <w:pPr>
              <w:pStyle w:val="Normal-pool-Table"/>
              <w:rPr>
                <w:szCs w:val="18"/>
              </w:rPr>
            </w:pPr>
            <w:r w:rsidRPr="00631C1C">
              <w:rPr>
                <w:szCs w:val="18"/>
              </w:rPr>
              <w:t>46</w:t>
            </w:r>
          </w:p>
        </w:tc>
        <w:tc>
          <w:tcPr>
            <w:tcW w:w="2573" w:type="dxa"/>
            <w:tcBorders>
              <w:top w:val="nil"/>
              <w:left w:val="nil"/>
              <w:bottom w:val="single" w:sz="4" w:space="0" w:color="auto"/>
              <w:right w:val="single" w:sz="4" w:space="0" w:color="auto"/>
            </w:tcBorders>
            <w:noWrap/>
            <w:hideMark/>
          </w:tcPr>
          <w:p w14:paraId="06642D97" w14:textId="77777777" w:rsidR="00312042" w:rsidRPr="00631C1C" w:rsidRDefault="00312042" w:rsidP="009A58EE">
            <w:pPr>
              <w:pStyle w:val="Normal-pool-Table"/>
              <w:rPr>
                <w:szCs w:val="18"/>
              </w:rPr>
            </w:pPr>
            <w:r w:rsidRPr="00631C1C">
              <w:rPr>
                <w:szCs w:val="18"/>
              </w:rPr>
              <w:t>Bahrain</w:t>
            </w:r>
          </w:p>
        </w:tc>
        <w:tc>
          <w:tcPr>
            <w:tcW w:w="1400" w:type="dxa"/>
            <w:tcBorders>
              <w:top w:val="nil"/>
              <w:left w:val="nil"/>
              <w:bottom w:val="single" w:sz="4" w:space="0" w:color="auto"/>
              <w:right w:val="single" w:sz="4" w:space="0" w:color="auto"/>
            </w:tcBorders>
            <w:noWrap/>
            <w:hideMark/>
          </w:tcPr>
          <w:p w14:paraId="4C359EA5" w14:textId="73C8874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w:t>
            </w:r>
          </w:p>
        </w:tc>
        <w:tc>
          <w:tcPr>
            <w:tcW w:w="1073" w:type="dxa"/>
            <w:tcBorders>
              <w:top w:val="nil"/>
              <w:left w:val="nil"/>
              <w:bottom w:val="single" w:sz="4" w:space="0" w:color="auto"/>
              <w:right w:val="single" w:sz="4" w:space="0" w:color="auto"/>
            </w:tcBorders>
            <w:noWrap/>
            <w:hideMark/>
          </w:tcPr>
          <w:p w14:paraId="401400E6" w14:textId="6EFA694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0505</w:t>
            </w:r>
          </w:p>
        </w:tc>
        <w:tc>
          <w:tcPr>
            <w:tcW w:w="1293" w:type="dxa"/>
            <w:tcBorders>
              <w:top w:val="nil"/>
              <w:left w:val="nil"/>
              <w:bottom w:val="single" w:sz="4" w:space="0" w:color="auto"/>
              <w:right w:val="single" w:sz="4" w:space="0" w:color="auto"/>
            </w:tcBorders>
            <w:noWrap/>
            <w:hideMark/>
          </w:tcPr>
          <w:p w14:paraId="5A73530A" w14:textId="77777777" w:rsidR="00312042" w:rsidRPr="00631C1C" w:rsidRDefault="00312042" w:rsidP="009A58EE">
            <w:pPr>
              <w:pStyle w:val="Normal-pool-Table"/>
              <w:jc w:val="right"/>
              <w:rPr>
                <w:szCs w:val="18"/>
              </w:rPr>
            </w:pPr>
            <w:r w:rsidRPr="00631C1C">
              <w:rPr>
                <w:szCs w:val="18"/>
              </w:rPr>
              <w:t>1 556</w:t>
            </w:r>
          </w:p>
        </w:tc>
        <w:tc>
          <w:tcPr>
            <w:tcW w:w="1293" w:type="dxa"/>
            <w:tcBorders>
              <w:top w:val="nil"/>
              <w:left w:val="nil"/>
              <w:bottom w:val="single" w:sz="4" w:space="0" w:color="auto"/>
              <w:right w:val="single" w:sz="4" w:space="0" w:color="auto"/>
            </w:tcBorders>
            <w:noWrap/>
            <w:hideMark/>
          </w:tcPr>
          <w:p w14:paraId="15459E85" w14:textId="77777777" w:rsidR="00312042" w:rsidRPr="00631C1C" w:rsidRDefault="00312042" w:rsidP="009A58EE">
            <w:pPr>
              <w:pStyle w:val="Normal-pool-Table"/>
              <w:jc w:val="right"/>
              <w:rPr>
                <w:szCs w:val="18"/>
              </w:rPr>
            </w:pPr>
            <w:r w:rsidRPr="00631C1C">
              <w:rPr>
                <w:szCs w:val="18"/>
              </w:rPr>
              <w:t>2 054</w:t>
            </w:r>
          </w:p>
        </w:tc>
        <w:tc>
          <w:tcPr>
            <w:tcW w:w="1313" w:type="dxa"/>
            <w:tcBorders>
              <w:top w:val="nil"/>
              <w:left w:val="nil"/>
              <w:bottom w:val="single" w:sz="4" w:space="0" w:color="auto"/>
              <w:right w:val="single" w:sz="4" w:space="0" w:color="auto"/>
            </w:tcBorders>
            <w:noWrap/>
            <w:hideMark/>
          </w:tcPr>
          <w:p w14:paraId="2ADF1FC5" w14:textId="77777777" w:rsidR="00312042" w:rsidRPr="00631C1C" w:rsidRDefault="00312042" w:rsidP="009A58EE">
            <w:pPr>
              <w:pStyle w:val="Normal-pool-Table"/>
              <w:jc w:val="right"/>
              <w:rPr>
                <w:szCs w:val="18"/>
              </w:rPr>
            </w:pPr>
            <w:r w:rsidRPr="00631C1C">
              <w:rPr>
                <w:szCs w:val="18"/>
              </w:rPr>
              <w:t>3 610</w:t>
            </w:r>
          </w:p>
        </w:tc>
      </w:tr>
      <w:tr w:rsidR="00F234CD" w:rsidRPr="00631C1C" w14:paraId="43FF1A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2BE746" w14:textId="77777777" w:rsidR="00312042" w:rsidRPr="00631C1C" w:rsidRDefault="00312042" w:rsidP="009A58EE">
            <w:pPr>
              <w:pStyle w:val="Normal-pool-Table"/>
              <w:rPr>
                <w:szCs w:val="18"/>
              </w:rPr>
            </w:pPr>
            <w:r w:rsidRPr="00631C1C">
              <w:rPr>
                <w:szCs w:val="18"/>
              </w:rPr>
              <w:t>47</w:t>
            </w:r>
          </w:p>
        </w:tc>
        <w:tc>
          <w:tcPr>
            <w:tcW w:w="2573" w:type="dxa"/>
            <w:tcBorders>
              <w:top w:val="nil"/>
              <w:left w:val="nil"/>
              <w:bottom w:val="single" w:sz="4" w:space="0" w:color="auto"/>
              <w:right w:val="single" w:sz="4" w:space="0" w:color="auto"/>
            </w:tcBorders>
            <w:noWrap/>
            <w:hideMark/>
          </w:tcPr>
          <w:p w14:paraId="7A543B72" w14:textId="77777777" w:rsidR="00312042" w:rsidRPr="00631C1C" w:rsidRDefault="00312042" w:rsidP="009A58EE">
            <w:pPr>
              <w:pStyle w:val="Normal-pool-Table"/>
              <w:rPr>
                <w:szCs w:val="18"/>
              </w:rPr>
            </w:pPr>
            <w:r w:rsidRPr="00631C1C">
              <w:rPr>
                <w:szCs w:val="18"/>
              </w:rPr>
              <w:t>Bangladesh</w:t>
            </w:r>
          </w:p>
        </w:tc>
        <w:tc>
          <w:tcPr>
            <w:tcW w:w="1400" w:type="dxa"/>
            <w:tcBorders>
              <w:top w:val="nil"/>
              <w:left w:val="nil"/>
              <w:bottom w:val="single" w:sz="4" w:space="0" w:color="auto"/>
              <w:right w:val="single" w:sz="4" w:space="0" w:color="auto"/>
            </w:tcBorders>
            <w:noWrap/>
            <w:hideMark/>
          </w:tcPr>
          <w:p w14:paraId="0C798E83" w14:textId="17A6F6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2E5CE213" w14:textId="7B5167B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3C59CC5E"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5C020757"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54E08299" w14:textId="77777777" w:rsidR="00312042" w:rsidRPr="00631C1C" w:rsidRDefault="00312042" w:rsidP="009A58EE">
            <w:pPr>
              <w:pStyle w:val="Normal-pool-Table"/>
              <w:jc w:val="right"/>
              <w:rPr>
                <w:szCs w:val="18"/>
              </w:rPr>
            </w:pPr>
            <w:r w:rsidRPr="00631C1C">
              <w:rPr>
                <w:szCs w:val="18"/>
              </w:rPr>
              <w:t>722</w:t>
            </w:r>
          </w:p>
        </w:tc>
      </w:tr>
      <w:tr w:rsidR="00F234CD" w:rsidRPr="00631C1C" w14:paraId="05A3CE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A0B2F9" w14:textId="77777777" w:rsidR="00312042" w:rsidRPr="00631C1C" w:rsidRDefault="00312042" w:rsidP="009A58EE">
            <w:pPr>
              <w:pStyle w:val="Normal-pool-Table"/>
              <w:rPr>
                <w:szCs w:val="18"/>
              </w:rPr>
            </w:pPr>
            <w:r w:rsidRPr="00631C1C">
              <w:rPr>
                <w:szCs w:val="18"/>
              </w:rPr>
              <w:t>48</w:t>
            </w:r>
          </w:p>
        </w:tc>
        <w:tc>
          <w:tcPr>
            <w:tcW w:w="2573" w:type="dxa"/>
            <w:tcBorders>
              <w:top w:val="nil"/>
              <w:left w:val="nil"/>
              <w:bottom w:val="single" w:sz="4" w:space="0" w:color="auto"/>
              <w:right w:val="single" w:sz="4" w:space="0" w:color="auto"/>
            </w:tcBorders>
            <w:noWrap/>
            <w:hideMark/>
          </w:tcPr>
          <w:p w14:paraId="2BFEBA5F" w14:textId="77777777" w:rsidR="00312042" w:rsidRPr="00631C1C" w:rsidRDefault="00312042" w:rsidP="009A58EE">
            <w:pPr>
              <w:pStyle w:val="Normal-pool-Table"/>
              <w:rPr>
                <w:szCs w:val="18"/>
              </w:rPr>
            </w:pPr>
            <w:r w:rsidRPr="00631C1C">
              <w:rPr>
                <w:szCs w:val="18"/>
              </w:rPr>
              <w:t>Cambodia</w:t>
            </w:r>
          </w:p>
        </w:tc>
        <w:tc>
          <w:tcPr>
            <w:tcW w:w="1400" w:type="dxa"/>
            <w:tcBorders>
              <w:top w:val="nil"/>
              <w:left w:val="nil"/>
              <w:bottom w:val="single" w:sz="4" w:space="0" w:color="auto"/>
              <w:right w:val="single" w:sz="4" w:space="0" w:color="auto"/>
            </w:tcBorders>
            <w:noWrap/>
            <w:hideMark/>
          </w:tcPr>
          <w:p w14:paraId="6640A607" w14:textId="7D04CBC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592E3A60" w14:textId="3C0A1AC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D825AE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E71F1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99FE1BB" w14:textId="77777777" w:rsidR="00312042" w:rsidRPr="00631C1C" w:rsidRDefault="00312042" w:rsidP="009A58EE">
            <w:pPr>
              <w:pStyle w:val="Normal-pool-Table"/>
              <w:jc w:val="right"/>
              <w:rPr>
                <w:szCs w:val="18"/>
              </w:rPr>
            </w:pPr>
            <w:r w:rsidRPr="00631C1C">
              <w:rPr>
                <w:szCs w:val="18"/>
              </w:rPr>
              <w:t>715</w:t>
            </w:r>
          </w:p>
        </w:tc>
      </w:tr>
      <w:tr w:rsidR="00F234CD" w:rsidRPr="00631C1C" w14:paraId="2C6A124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2B5451" w14:textId="77777777" w:rsidR="00312042" w:rsidRPr="00631C1C" w:rsidRDefault="00312042" w:rsidP="009A58EE">
            <w:pPr>
              <w:pStyle w:val="Normal-pool-Table"/>
              <w:rPr>
                <w:szCs w:val="18"/>
              </w:rPr>
            </w:pPr>
            <w:r w:rsidRPr="00631C1C">
              <w:rPr>
                <w:szCs w:val="18"/>
              </w:rPr>
              <w:t>49</w:t>
            </w:r>
          </w:p>
        </w:tc>
        <w:tc>
          <w:tcPr>
            <w:tcW w:w="2573" w:type="dxa"/>
            <w:tcBorders>
              <w:top w:val="nil"/>
              <w:left w:val="nil"/>
              <w:bottom w:val="single" w:sz="4" w:space="0" w:color="auto"/>
              <w:right w:val="single" w:sz="4" w:space="0" w:color="auto"/>
            </w:tcBorders>
            <w:noWrap/>
            <w:hideMark/>
          </w:tcPr>
          <w:p w14:paraId="314EB20B" w14:textId="77777777" w:rsidR="00312042" w:rsidRPr="00631C1C" w:rsidRDefault="00312042" w:rsidP="009A58EE">
            <w:pPr>
              <w:pStyle w:val="Normal-pool-Table"/>
              <w:rPr>
                <w:szCs w:val="18"/>
              </w:rPr>
            </w:pPr>
            <w:r w:rsidRPr="00631C1C">
              <w:rPr>
                <w:szCs w:val="18"/>
              </w:rPr>
              <w:t>China</w:t>
            </w:r>
          </w:p>
        </w:tc>
        <w:tc>
          <w:tcPr>
            <w:tcW w:w="1400" w:type="dxa"/>
            <w:tcBorders>
              <w:top w:val="nil"/>
              <w:left w:val="nil"/>
              <w:bottom w:val="single" w:sz="4" w:space="0" w:color="auto"/>
              <w:right w:val="single" w:sz="4" w:space="0" w:color="auto"/>
            </w:tcBorders>
            <w:noWrap/>
            <w:hideMark/>
          </w:tcPr>
          <w:p w14:paraId="33112B56" w14:textId="6AB353BC" w:rsidR="00312042" w:rsidRPr="00631C1C" w:rsidRDefault="00312042" w:rsidP="009A58EE">
            <w:pPr>
              <w:pStyle w:val="Normal-pool-Table"/>
              <w:jc w:val="right"/>
              <w:rPr>
                <w:szCs w:val="18"/>
              </w:rPr>
            </w:pPr>
            <w:r w:rsidRPr="00631C1C">
              <w:rPr>
                <w:szCs w:val="18"/>
              </w:rPr>
              <w:t>20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34B845D4" w14:textId="7CA039A5" w:rsidR="00312042" w:rsidRPr="00631C1C" w:rsidRDefault="00312042" w:rsidP="009A58EE">
            <w:pPr>
              <w:pStyle w:val="Normal-pool-Table"/>
              <w:jc w:val="right"/>
              <w:rPr>
                <w:szCs w:val="18"/>
              </w:rPr>
            </w:pPr>
            <w:r w:rsidRPr="00631C1C">
              <w:rPr>
                <w:szCs w:val="18"/>
              </w:rPr>
              <w:t>20</w:t>
            </w:r>
            <w:r w:rsidR="005D12FE">
              <w:rPr>
                <w:szCs w:val="18"/>
              </w:rPr>
              <w:t>.</w:t>
            </w:r>
            <w:r w:rsidRPr="00631C1C">
              <w:rPr>
                <w:szCs w:val="18"/>
              </w:rPr>
              <w:t>1902</w:t>
            </w:r>
          </w:p>
        </w:tc>
        <w:tc>
          <w:tcPr>
            <w:tcW w:w="1293" w:type="dxa"/>
            <w:tcBorders>
              <w:top w:val="nil"/>
              <w:left w:val="nil"/>
              <w:bottom w:val="single" w:sz="4" w:space="0" w:color="auto"/>
              <w:right w:val="single" w:sz="4" w:space="0" w:color="auto"/>
            </w:tcBorders>
            <w:noWrap/>
            <w:hideMark/>
          </w:tcPr>
          <w:p w14:paraId="1C5BA9B7" w14:textId="77777777" w:rsidR="00312042" w:rsidRPr="00631C1C" w:rsidRDefault="00312042" w:rsidP="009A58EE">
            <w:pPr>
              <w:pStyle w:val="Normal-pool-Table"/>
              <w:jc w:val="right"/>
              <w:rPr>
                <w:szCs w:val="18"/>
              </w:rPr>
            </w:pPr>
            <w:r w:rsidRPr="00631C1C">
              <w:rPr>
                <w:szCs w:val="18"/>
              </w:rPr>
              <w:t>622 535</w:t>
            </w:r>
          </w:p>
        </w:tc>
        <w:tc>
          <w:tcPr>
            <w:tcW w:w="1293" w:type="dxa"/>
            <w:tcBorders>
              <w:top w:val="nil"/>
              <w:left w:val="nil"/>
              <w:bottom w:val="single" w:sz="4" w:space="0" w:color="auto"/>
              <w:right w:val="single" w:sz="4" w:space="0" w:color="auto"/>
            </w:tcBorders>
            <w:noWrap/>
            <w:hideMark/>
          </w:tcPr>
          <w:p w14:paraId="038A80D7" w14:textId="77777777" w:rsidR="00312042" w:rsidRPr="00631C1C" w:rsidRDefault="00312042" w:rsidP="009A58EE">
            <w:pPr>
              <w:pStyle w:val="Normal-pool-Table"/>
              <w:jc w:val="right"/>
              <w:rPr>
                <w:szCs w:val="18"/>
              </w:rPr>
            </w:pPr>
            <w:r w:rsidRPr="00631C1C">
              <w:rPr>
                <w:szCs w:val="18"/>
              </w:rPr>
              <w:t>821 595</w:t>
            </w:r>
          </w:p>
        </w:tc>
        <w:tc>
          <w:tcPr>
            <w:tcW w:w="1313" w:type="dxa"/>
            <w:tcBorders>
              <w:top w:val="nil"/>
              <w:left w:val="nil"/>
              <w:bottom w:val="single" w:sz="4" w:space="0" w:color="auto"/>
              <w:right w:val="single" w:sz="4" w:space="0" w:color="auto"/>
            </w:tcBorders>
            <w:noWrap/>
            <w:hideMark/>
          </w:tcPr>
          <w:p w14:paraId="737D63C9" w14:textId="77777777" w:rsidR="00312042" w:rsidRPr="00631C1C" w:rsidRDefault="00312042" w:rsidP="009A58EE">
            <w:pPr>
              <w:pStyle w:val="Normal-pool-Table"/>
              <w:jc w:val="right"/>
              <w:rPr>
                <w:szCs w:val="18"/>
              </w:rPr>
            </w:pPr>
            <w:r w:rsidRPr="00631C1C">
              <w:rPr>
                <w:szCs w:val="18"/>
              </w:rPr>
              <w:t>1 444 131</w:t>
            </w:r>
          </w:p>
        </w:tc>
      </w:tr>
      <w:tr w:rsidR="00F234CD" w:rsidRPr="00631C1C" w14:paraId="0A4A8C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4B0161" w14:textId="77777777" w:rsidR="00312042" w:rsidRPr="00631C1C" w:rsidRDefault="00312042" w:rsidP="009A58EE">
            <w:pPr>
              <w:pStyle w:val="Normal-pool-Table"/>
              <w:rPr>
                <w:szCs w:val="18"/>
              </w:rPr>
            </w:pPr>
            <w:r w:rsidRPr="00631C1C">
              <w:rPr>
                <w:szCs w:val="18"/>
              </w:rPr>
              <w:t>50</w:t>
            </w:r>
          </w:p>
        </w:tc>
        <w:tc>
          <w:tcPr>
            <w:tcW w:w="2573" w:type="dxa"/>
            <w:tcBorders>
              <w:top w:val="nil"/>
              <w:left w:val="nil"/>
              <w:bottom w:val="single" w:sz="4" w:space="0" w:color="auto"/>
              <w:right w:val="single" w:sz="4" w:space="0" w:color="auto"/>
            </w:tcBorders>
            <w:noWrap/>
            <w:hideMark/>
          </w:tcPr>
          <w:p w14:paraId="6480E829" w14:textId="77777777" w:rsidR="00312042" w:rsidRPr="00631C1C" w:rsidRDefault="00312042" w:rsidP="009A58EE">
            <w:pPr>
              <w:pStyle w:val="Normal-pool-Table"/>
              <w:rPr>
                <w:szCs w:val="18"/>
              </w:rPr>
            </w:pPr>
            <w:r w:rsidRPr="00631C1C">
              <w:rPr>
                <w:szCs w:val="18"/>
              </w:rPr>
              <w:t>Cyprus</w:t>
            </w:r>
          </w:p>
        </w:tc>
        <w:tc>
          <w:tcPr>
            <w:tcW w:w="1400" w:type="dxa"/>
            <w:tcBorders>
              <w:top w:val="nil"/>
              <w:left w:val="nil"/>
              <w:bottom w:val="single" w:sz="4" w:space="0" w:color="auto"/>
              <w:right w:val="single" w:sz="4" w:space="0" w:color="auto"/>
            </w:tcBorders>
            <w:noWrap/>
            <w:hideMark/>
          </w:tcPr>
          <w:p w14:paraId="40576BE6" w14:textId="29D073C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w:t>
            </w:r>
          </w:p>
        </w:tc>
        <w:tc>
          <w:tcPr>
            <w:tcW w:w="1073" w:type="dxa"/>
            <w:tcBorders>
              <w:top w:val="nil"/>
              <w:left w:val="nil"/>
              <w:bottom w:val="single" w:sz="4" w:space="0" w:color="auto"/>
              <w:right w:val="single" w:sz="4" w:space="0" w:color="auto"/>
            </w:tcBorders>
            <w:noWrap/>
            <w:hideMark/>
          </w:tcPr>
          <w:p w14:paraId="74D32BD2" w14:textId="3CF6E82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0353</w:t>
            </w:r>
          </w:p>
        </w:tc>
        <w:tc>
          <w:tcPr>
            <w:tcW w:w="1293" w:type="dxa"/>
            <w:tcBorders>
              <w:top w:val="nil"/>
              <w:left w:val="nil"/>
              <w:bottom w:val="single" w:sz="4" w:space="0" w:color="auto"/>
              <w:right w:val="single" w:sz="4" w:space="0" w:color="auto"/>
            </w:tcBorders>
            <w:noWrap/>
            <w:hideMark/>
          </w:tcPr>
          <w:p w14:paraId="64450C40" w14:textId="77777777" w:rsidR="00312042" w:rsidRPr="00631C1C" w:rsidRDefault="00312042" w:rsidP="009A58EE">
            <w:pPr>
              <w:pStyle w:val="Normal-pool-Table"/>
              <w:jc w:val="right"/>
              <w:rPr>
                <w:szCs w:val="18"/>
              </w:rPr>
            </w:pPr>
            <w:r w:rsidRPr="00631C1C">
              <w:rPr>
                <w:szCs w:val="18"/>
              </w:rPr>
              <w:t>1 089</w:t>
            </w:r>
          </w:p>
        </w:tc>
        <w:tc>
          <w:tcPr>
            <w:tcW w:w="1293" w:type="dxa"/>
            <w:tcBorders>
              <w:top w:val="nil"/>
              <w:left w:val="nil"/>
              <w:bottom w:val="single" w:sz="4" w:space="0" w:color="auto"/>
              <w:right w:val="single" w:sz="4" w:space="0" w:color="auto"/>
            </w:tcBorders>
            <w:noWrap/>
            <w:hideMark/>
          </w:tcPr>
          <w:p w14:paraId="47F3E1EB" w14:textId="77777777" w:rsidR="00312042" w:rsidRPr="00631C1C" w:rsidRDefault="00312042" w:rsidP="009A58EE">
            <w:pPr>
              <w:pStyle w:val="Normal-pool-Table"/>
              <w:jc w:val="right"/>
              <w:rPr>
                <w:szCs w:val="18"/>
              </w:rPr>
            </w:pPr>
            <w:r w:rsidRPr="00631C1C">
              <w:rPr>
                <w:szCs w:val="18"/>
              </w:rPr>
              <w:t>1 438</w:t>
            </w:r>
          </w:p>
        </w:tc>
        <w:tc>
          <w:tcPr>
            <w:tcW w:w="1313" w:type="dxa"/>
            <w:tcBorders>
              <w:top w:val="nil"/>
              <w:left w:val="nil"/>
              <w:bottom w:val="single" w:sz="4" w:space="0" w:color="auto"/>
              <w:right w:val="single" w:sz="4" w:space="0" w:color="auto"/>
            </w:tcBorders>
            <w:noWrap/>
            <w:hideMark/>
          </w:tcPr>
          <w:p w14:paraId="722ED912" w14:textId="77777777" w:rsidR="00312042" w:rsidRPr="00631C1C" w:rsidRDefault="00312042" w:rsidP="009A58EE">
            <w:pPr>
              <w:pStyle w:val="Normal-pool-Table"/>
              <w:jc w:val="right"/>
              <w:rPr>
                <w:szCs w:val="18"/>
              </w:rPr>
            </w:pPr>
            <w:r w:rsidRPr="00631C1C">
              <w:rPr>
                <w:szCs w:val="18"/>
              </w:rPr>
              <w:t>2 527</w:t>
            </w:r>
          </w:p>
        </w:tc>
      </w:tr>
      <w:tr w:rsidR="00F234CD" w:rsidRPr="00631C1C" w14:paraId="656A6A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FE4D7E" w14:textId="77777777" w:rsidR="00312042" w:rsidRPr="00631C1C" w:rsidRDefault="00312042" w:rsidP="009A58EE">
            <w:pPr>
              <w:pStyle w:val="Normal-pool-Table"/>
              <w:rPr>
                <w:szCs w:val="18"/>
              </w:rPr>
            </w:pPr>
            <w:r w:rsidRPr="00631C1C">
              <w:rPr>
                <w:szCs w:val="18"/>
              </w:rPr>
              <w:t>51</w:t>
            </w:r>
          </w:p>
        </w:tc>
        <w:tc>
          <w:tcPr>
            <w:tcW w:w="2573" w:type="dxa"/>
            <w:tcBorders>
              <w:top w:val="nil"/>
              <w:left w:val="nil"/>
              <w:bottom w:val="single" w:sz="4" w:space="0" w:color="auto"/>
              <w:right w:val="single" w:sz="4" w:space="0" w:color="auto"/>
            </w:tcBorders>
            <w:noWrap/>
            <w:hideMark/>
          </w:tcPr>
          <w:p w14:paraId="7EEFBFEC" w14:textId="77777777" w:rsidR="00312042" w:rsidRPr="00631C1C" w:rsidRDefault="00312042" w:rsidP="009A58EE">
            <w:pPr>
              <w:pStyle w:val="Normal-pool-Table"/>
              <w:rPr>
                <w:szCs w:val="18"/>
              </w:rPr>
            </w:pPr>
            <w:r w:rsidRPr="00631C1C">
              <w:rPr>
                <w:szCs w:val="18"/>
              </w:rPr>
              <w:t>India</w:t>
            </w:r>
          </w:p>
        </w:tc>
        <w:tc>
          <w:tcPr>
            <w:tcW w:w="1400" w:type="dxa"/>
            <w:tcBorders>
              <w:top w:val="nil"/>
              <w:left w:val="nil"/>
              <w:bottom w:val="single" w:sz="4" w:space="0" w:color="auto"/>
              <w:right w:val="single" w:sz="4" w:space="0" w:color="auto"/>
            </w:tcBorders>
            <w:noWrap/>
            <w:hideMark/>
          </w:tcPr>
          <w:p w14:paraId="4EA2C92E" w14:textId="6735A704"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106</w:t>
            </w:r>
          </w:p>
        </w:tc>
        <w:tc>
          <w:tcPr>
            <w:tcW w:w="1073" w:type="dxa"/>
            <w:tcBorders>
              <w:top w:val="nil"/>
              <w:left w:val="nil"/>
              <w:bottom w:val="single" w:sz="4" w:space="0" w:color="auto"/>
              <w:right w:val="single" w:sz="4" w:space="0" w:color="auto"/>
            </w:tcBorders>
            <w:noWrap/>
            <w:hideMark/>
          </w:tcPr>
          <w:p w14:paraId="560CBAB5" w14:textId="105525CA"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1163</w:t>
            </w:r>
          </w:p>
        </w:tc>
        <w:tc>
          <w:tcPr>
            <w:tcW w:w="1293" w:type="dxa"/>
            <w:tcBorders>
              <w:top w:val="nil"/>
              <w:left w:val="nil"/>
              <w:bottom w:val="single" w:sz="4" w:space="0" w:color="auto"/>
              <w:right w:val="single" w:sz="4" w:space="0" w:color="auto"/>
            </w:tcBorders>
            <w:noWrap/>
            <w:hideMark/>
          </w:tcPr>
          <w:p w14:paraId="41639928" w14:textId="77777777" w:rsidR="00312042" w:rsidRPr="00631C1C" w:rsidRDefault="00312042" w:rsidP="009A58EE">
            <w:pPr>
              <w:pStyle w:val="Normal-pool-Table"/>
              <w:jc w:val="right"/>
              <w:rPr>
                <w:szCs w:val="18"/>
              </w:rPr>
            </w:pPr>
            <w:r w:rsidRPr="00631C1C">
              <w:rPr>
                <w:szCs w:val="18"/>
              </w:rPr>
              <w:t>34 419</w:t>
            </w:r>
          </w:p>
        </w:tc>
        <w:tc>
          <w:tcPr>
            <w:tcW w:w="1293" w:type="dxa"/>
            <w:tcBorders>
              <w:top w:val="nil"/>
              <w:left w:val="nil"/>
              <w:bottom w:val="single" w:sz="4" w:space="0" w:color="auto"/>
              <w:right w:val="single" w:sz="4" w:space="0" w:color="auto"/>
            </w:tcBorders>
            <w:noWrap/>
            <w:hideMark/>
          </w:tcPr>
          <w:p w14:paraId="24F7607C" w14:textId="77777777" w:rsidR="00312042" w:rsidRPr="00631C1C" w:rsidRDefault="00312042" w:rsidP="009A58EE">
            <w:pPr>
              <w:pStyle w:val="Normal-pool-Table"/>
              <w:jc w:val="right"/>
              <w:rPr>
                <w:szCs w:val="18"/>
              </w:rPr>
            </w:pPr>
            <w:r w:rsidRPr="00631C1C">
              <w:rPr>
                <w:szCs w:val="18"/>
              </w:rPr>
              <w:t>45 425</w:t>
            </w:r>
          </w:p>
        </w:tc>
        <w:tc>
          <w:tcPr>
            <w:tcW w:w="1313" w:type="dxa"/>
            <w:tcBorders>
              <w:top w:val="nil"/>
              <w:left w:val="nil"/>
              <w:bottom w:val="single" w:sz="4" w:space="0" w:color="auto"/>
              <w:right w:val="single" w:sz="4" w:space="0" w:color="auto"/>
            </w:tcBorders>
            <w:noWrap/>
            <w:hideMark/>
          </w:tcPr>
          <w:p w14:paraId="413D3D6E" w14:textId="77777777" w:rsidR="00312042" w:rsidRPr="00631C1C" w:rsidRDefault="00312042" w:rsidP="009A58EE">
            <w:pPr>
              <w:pStyle w:val="Normal-pool-Table"/>
              <w:jc w:val="right"/>
              <w:rPr>
                <w:szCs w:val="18"/>
              </w:rPr>
            </w:pPr>
            <w:r w:rsidRPr="00631C1C">
              <w:rPr>
                <w:szCs w:val="18"/>
              </w:rPr>
              <w:t>79 844</w:t>
            </w:r>
          </w:p>
        </w:tc>
      </w:tr>
      <w:tr w:rsidR="00F234CD" w:rsidRPr="00631C1C" w14:paraId="65D886B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7BB395" w14:textId="77777777" w:rsidR="00312042" w:rsidRPr="00631C1C" w:rsidRDefault="00312042" w:rsidP="009A58EE">
            <w:pPr>
              <w:pStyle w:val="Normal-pool-Table"/>
              <w:rPr>
                <w:szCs w:val="18"/>
              </w:rPr>
            </w:pPr>
            <w:r w:rsidRPr="00631C1C">
              <w:rPr>
                <w:szCs w:val="18"/>
              </w:rPr>
              <w:t>52</w:t>
            </w:r>
          </w:p>
        </w:tc>
        <w:tc>
          <w:tcPr>
            <w:tcW w:w="2573" w:type="dxa"/>
            <w:tcBorders>
              <w:top w:val="nil"/>
              <w:left w:val="nil"/>
              <w:bottom w:val="single" w:sz="4" w:space="0" w:color="auto"/>
              <w:right w:val="single" w:sz="4" w:space="0" w:color="auto"/>
            </w:tcBorders>
            <w:noWrap/>
            <w:hideMark/>
          </w:tcPr>
          <w:p w14:paraId="2AA51ECA" w14:textId="77777777" w:rsidR="00312042" w:rsidRPr="00631C1C" w:rsidRDefault="00312042" w:rsidP="009A58EE">
            <w:pPr>
              <w:pStyle w:val="Normal-pool-Table"/>
              <w:rPr>
                <w:szCs w:val="18"/>
              </w:rPr>
            </w:pPr>
            <w:r w:rsidRPr="00631C1C">
              <w:rPr>
                <w:szCs w:val="18"/>
              </w:rPr>
              <w:t>Indonesia</w:t>
            </w:r>
          </w:p>
        </w:tc>
        <w:tc>
          <w:tcPr>
            <w:tcW w:w="1400" w:type="dxa"/>
            <w:tcBorders>
              <w:top w:val="nil"/>
              <w:left w:val="nil"/>
              <w:bottom w:val="single" w:sz="4" w:space="0" w:color="auto"/>
              <w:right w:val="single" w:sz="4" w:space="0" w:color="auto"/>
            </w:tcBorders>
            <w:noWrap/>
            <w:hideMark/>
          </w:tcPr>
          <w:p w14:paraId="1B9B060C" w14:textId="2D9767F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579</w:t>
            </w:r>
          </w:p>
        </w:tc>
        <w:tc>
          <w:tcPr>
            <w:tcW w:w="1073" w:type="dxa"/>
            <w:tcBorders>
              <w:top w:val="nil"/>
              <w:left w:val="nil"/>
              <w:bottom w:val="single" w:sz="4" w:space="0" w:color="auto"/>
              <w:right w:val="single" w:sz="4" w:space="0" w:color="auto"/>
            </w:tcBorders>
            <w:noWrap/>
            <w:hideMark/>
          </w:tcPr>
          <w:p w14:paraId="2543CBF5" w14:textId="247D11D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5844</w:t>
            </w:r>
          </w:p>
        </w:tc>
        <w:tc>
          <w:tcPr>
            <w:tcW w:w="1293" w:type="dxa"/>
            <w:tcBorders>
              <w:top w:val="nil"/>
              <w:left w:val="nil"/>
              <w:bottom w:val="single" w:sz="4" w:space="0" w:color="auto"/>
              <w:right w:val="single" w:sz="4" w:space="0" w:color="auto"/>
            </w:tcBorders>
            <w:noWrap/>
            <w:hideMark/>
          </w:tcPr>
          <w:p w14:paraId="34F4486D" w14:textId="77777777" w:rsidR="00312042" w:rsidRPr="00631C1C" w:rsidRDefault="00312042" w:rsidP="009A58EE">
            <w:pPr>
              <w:pStyle w:val="Normal-pool-Table"/>
              <w:jc w:val="right"/>
              <w:rPr>
                <w:szCs w:val="18"/>
              </w:rPr>
            </w:pPr>
            <w:r w:rsidRPr="00631C1C">
              <w:rPr>
                <w:szCs w:val="18"/>
              </w:rPr>
              <w:t>18 019</w:t>
            </w:r>
          </w:p>
        </w:tc>
        <w:tc>
          <w:tcPr>
            <w:tcW w:w="1293" w:type="dxa"/>
            <w:tcBorders>
              <w:top w:val="nil"/>
              <w:left w:val="nil"/>
              <w:bottom w:val="single" w:sz="4" w:space="0" w:color="auto"/>
              <w:right w:val="single" w:sz="4" w:space="0" w:color="auto"/>
            </w:tcBorders>
            <w:noWrap/>
            <w:hideMark/>
          </w:tcPr>
          <w:p w14:paraId="1A8B4FF2" w14:textId="77777777" w:rsidR="00312042" w:rsidRPr="00631C1C" w:rsidRDefault="00312042" w:rsidP="009A58EE">
            <w:pPr>
              <w:pStyle w:val="Normal-pool-Table"/>
              <w:jc w:val="right"/>
              <w:rPr>
                <w:szCs w:val="18"/>
              </w:rPr>
            </w:pPr>
            <w:r w:rsidRPr="00631C1C">
              <w:rPr>
                <w:szCs w:val="18"/>
              </w:rPr>
              <w:t>23 780</w:t>
            </w:r>
          </w:p>
        </w:tc>
        <w:tc>
          <w:tcPr>
            <w:tcW w:w="1313" w:type="dxa"/>
            <w:tcBorders>
              <w:top w:val="nil"/>
              <w:left w:val="nil"/>
              <w:bottom w:val="single" w:sz="4" w:space="0" w:color="auto"/>
              <w:right w:val="single" w:sz="4" w:space="0" w:color="auto"/>
            </w:tcBorders>
            <w:noWrap/>
            <w:hideMark/>
          </w:tcPr>
          <w:p w14:paraId="6D86C24A" w14:textId="77777777" w:rsidR="00312042" w:rsidRPr="00631C1C" w:rsidRDefault="00312042" w:rsidP="009A58EE">
            <w:pPr>
              <w:pStyle w:val="Normal-pool-Table"/>
              <w:jc w:val="right"/>
              <w:rPr>
                <w:szCs w:val="18"/>
              </w:rPr>
            </w:pPr>
            <w:r w:rsidRPr="00631C1C">
              <w:rPr>
                <w:szCs w:val="18"/>
              </w:rPr>
              <w:t>41 799</w:t>
            </w:r>
          </w:p>
        </w:tc>
      </w:tr>
      <w:tr w:rsidR="00F234CD" w:rsidRPr="00631C1C" w14:paraId="7FEB37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B61C96" w14:textId="77777777" w:rsidR="00312042" w:rsidRPr="00631C1C" w:rsidRDefault="00312042" w:rsidP="009A58EE">
            <w:pPr>
              <w:pStyle w:val="Normal-pool-Table"/>
              <w:rPr>
                <w:szCs w:val="18"/>
              </w:rPr>
            </w:pPr>
            <w:r w:rsidRPr="00631C1C">
              <w:rPr>
                <w:szCs w:val="18"/>
              </w:rPr>
              <w:t>53</w:t>
            </w:r>
          </w:p>
        </w:tc>
        <w:tc>
          <w:tcPr>
            <w:tcW w:w="2573" w:type="dxa"/>
            <w:tcBorders>
              <w:top w:val="nil"/>
              <w:left w:val="nil"/>
              <w:bottom w:val="single" w:sz="4" w:space="0" w:color="auto"/>
              <w:right w:val="single" w:sz="4" w:space="0" w:color="auto"/>
            </w:tcBorders>
            <w:noWrap/>
            <w:hideMark/>
          </w:tcPr>
          <w:p w14:paraId="6B73801B" w14:textId="77777777" w:rsidR="00312042" w:rsidRPr="00631C1C" w:rsidRDefault="00312042" w:rsidP="009A58EE">
            <w:pPr>
              <w:pStyle w:val="Normal-pool-Table"/>
              <w:rPr>
                <w:szCs w:val="18"/>
              </w:rPr>
            </w:pPr>
            <w:r w:rsidRPr="00631C1C">
              <w:rPr>
                <w:szCs w:val="18"/>
              </w:rPr>
              <w:t>Iran (Islamic Republic of)</w:t>
            </w:r>
          </w:p>
        </w:tc>
        <w:tc>
          <w:tcPr>
            <w:tcW w:w="1400" w:type="dxa"/>
            <w:tcBorders>
              <w:top w:val="nil"/>
              <w:left w:val="nil"/>
              <w:bottom w:val="single" w:sz="4" w:space="0" w:color="auto"/>
              <w:right w:val="single" w:sz="4" w:space="0" w:color="auto"/>
            </w:tcBorders>
            <w:noWrap/>
            <w:hideMark/>
          </w:tcPr>
          <w:p w14:paraId="49066EF0" w14:textId="6D21BF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386</w:t>
            </w:r>
          </w:p>
        </w:tc>
        <w:tc>
          <w:tcPr>
            <w:tcW w:w="1073" w:type="dxa"/>
            <w:tcBorders>
              <w:top w:val="nil"/>
              <w:left w:val="nil"/>
              <w:bottom w:val="single" w:sz="4" w:space="0" w:color="auto"/>
              <w:right w:val="single" w:sz="4" w:space="0" w:color="auto"/>
            </w:tcBorders>
            <w:noWrap/>
            <w:hideMark/>
          </w:tcPr>
          <w:p w14:paraId="16DAD305" w14:textId="42B657D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3896</w:t>
            </w:r>
          </w:p>
        </w:tc>
        <w:tc>
          <w:tcPr>
            <w:tcW w:w="1293" w:type="dxa"/>
            <w:tcBorders>
              <w:top w:val="nil"/>
              <w:left w:val="nil"/>
              <w:bottom w:val="single" w:sz="4" w:space="0" w:color="auto"/>
              <w:right w:val="single" w:sz="4" w:space="0" w:color="auto"/>
            </w:tcBorders>
            <w:noWrap/>
            <w:hideMark/>
          </w:tcPr>
          <w:p w14:paraId="63DE1485" w14:textId="77777777" w:rsidR="00312042" w:rsidRPr="00631C1C" w:rsidRDefault="00312042" w:rsidP="009A58EE">
            <w:pPr>
              <w:pStyle w:val="Normal-pool-Table"/>
              <w:jc w:val="right"/>
              <w:rPr>
                <w:szCs w:val="18"/>
              </w:rPr>
            </w:pPr>
            <w:r w:rsidRPr="00631C1C">
              <w:rPr>
                <w:szCs w:val="18"/>
              </w:rPr>
              <w:t>12 013</w:t>
            </w:r>
          </w:p>
        </w:tc>
        <w:tc>
          <w:tcPr>
            <w:tcW w:w="1293" w:type="dxa"/>
            <w:tcBorders>
              <w:top w:val="nil"/>
              <w:left w:val="nil"/>
              <w:bottom w:val="single" w:sz="4" w:space="0" w:color="auto"/>
              <w:right w:val="single" w:sz="4" w:space="0" w:color="auto"/>
            </w:tcBorders>
            <w:noWrap/>
            <w:hideMark/>
          </w:tcPr>
          <w:p w14:paraId="59C62AE0" w14:textId="77777777" w:rsidR="00312042" w:rsidRPr="00631C1C" w:rsidRDefault="00312042" w:rsidP="009A58EE">
            <w:pPr>
              <w:pStyle w:val="Normal-pool-Table"/>
              <w:jc w:val="right"/>
              <w:rPr>
                <w:szCs w:val="18"/>
              </w:rPr>
            </w:pPr>
            <w:r w:rsidRPr="00631C1C">
              <w:rPr>
                <w:szCs w:val="18"/>
              </w:rPr>
              <w:t>15 854</w:t>
            </w:r>
          </w:p>
        </w:tc>
        <w:tc>
          <w:tcPr>
            <w:tcW w:w="1313" w:type="dxa"/>
            <w:tcBorders>
              <w:top w:val="nil"/>
              <w:left w:val="nil"/>
              <w:bottom w:val="single" w:sz="4" w:space="0" w:color="auto"/>
              <w:right w:val="single" w:sz="4" w:space="0" w:color="auto"/>
            </w:tcBorders>
            <w:noWrap/>
            <w:hideMark/>
          </w:tcPr>
          <w:p w14:paraId="2267B72E" w14:textId="77777777" w:rsidR="00312042" w:rsidRPr="00631C1C" w:rsidRDefault="00312042" w:rsidP="009A58EE">
            <w:pPr>
              <w:pStyle w:val="Normal-pool-Table"/>
              <w:jc w:val="right"/>
              <w:rPr>
                <w:szCs w:val="18"/>
              </w:rPr>
            </w:pPr>
            <w:r w:rsidRPr="00631C1C">
              <w:rPr>
                <w:szCs w:val="18"/>
              </w:rPr>
              <w:t>27 866</w:t>
            </w:r>
          </w:p>
        </w:tc>
      </w:tr>
      <w:tr w:rsidR="00F234CD" w:rsidRPr="00631C1C" w14:paraId="02F48EF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BB2B83" w14:textId="77777777" w:rsidR="00312042" w:rsidRPr="00631C1C" w:rsidRDefault="00312042" w:rsidP="009A58EE">
            <w:pPr>
              <w:pStyle w:val="Normal-pool-Table"/>
              <w:rPr>
                <w:szCs w:val="18"/>
              </w:rPr>
            </w:pPr>
            <w:r w:rsidRPr="00631C1C">
              <w:rPr>
                <w:szCs w:val="18"/>
              </w:rPr>
              <w:t>54</w:t>
            </w:r>
          </w:p>
        </w:tc>
        <w:tc>
          <w:tcPr>
            <w:tcW w:w="2573" w:type="dxa"/>
            <w:tcBorders>
              <w:top w:val="nil"/>
              <w:left w:val="nil"/>
              <w:bottom w:val="single" w:sz="4" w:space="0" w:color="auto"/>
              <w:right w:val="single" w:sz="4" w:space="0" w:color="auto"/>
            </w:tcBorders>
            <w:noWrap/>
            <w:hideMark/>
          </w:tcPr>
          <w:p w14:paraId="108140CC" w14:textId="77777777" w:rsidR="00312042" w:rsidRPr="00631C1C" w:rsidRDefault="00312042" w:rsidP="009A58EE">
            <w:pPr>
              <w:pStyle w:val="Normal-pool-Table"/>
              <w:rPr>
                <w:szCs w:val="18"/>
              </w:rPr>
            </w:pPr>
            <w:r w:rsidRPr="00631C1C">
              <w:rPr>
                <w:szCs w:val="18"/>
              </w:rPr>
              <w:t>Iraq</w:t>
            </w:r>
          </w:p>
        </w:tc>
        <w:tc>
          <w:tcPr>
            <w:tcW w:w="1400" w:type="dxa"/>
            <w:tcBorders>
              <w:top w:val="nil"/>
              <w:left w:val="nil"/>
              <w:bottom w:val="single" w:sz="4" w:space="0" w:color="auto"/>
              <w:right w:val="single" w:sz="4" w:space="0" w:color="auto"/>
            </w:tcBorders>
            <w:noWrap/>
            <w:hideMark/>
          </w:tcPr>
          <w:p w14:paraId="499F7D7E" w14:textId="6854372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131</w:t>
            </w:r>
          </w:p>
        </w:tc>
        <w:tc>
          <w:tcPr>
            <w:tcW w:w="1073" w:type="dxa"/>
            <w:tcBorders>
              <w:top w:val="nil"/>
              <w:left w:val="nil"/>
              <w:bottom w:val="single" w:sz="4" w:space="0" w:color="auto"/>
              <w:right w:val="single" w:sz="4" w:space="0" w:color="auto"/>
            </w:tcBorders>
            <w:noWrap/>
            <w:hideMark/>
          </w:tcPr>
          <w:p w14:paraId="069E2B23" w14:textId="01D4DCE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1322</w:t>
            </w:r>
          </w:p>
        </w:tc>
        <w:tc>
          <w:tcPr>
            <w:tcW w:w="1293" w:type="dxa"/>
            <w:tcBorders>
              <w:top w:val="nil"/>
              <w:left w:val="nil"/>
              <w:bottom w:val="single" w:sz="4" w:space="0" w:color="auto"/>
              <w:right w:val="single" w:sz="4" w:space="0" w:color="auto"/>
            </w:tcBorders>
            <w:noWrap/>
            <w:hideMark/>
          </w:tcPr>
          <w:p w14:paraId="7CE98174" w14:textId="77777777" w:rsidR="00312042" w:rsidRPr="00631C1C" w:rsidRDefault="00312042" w:rsidP="009A58EE">
            <w:pPr>
              <w:pStyle w:val="Normal-pool-Table"/>
              <w:jc w:val="right"/>
              <w:rPr>
                <w:szCs w:val="18"/>
              </w:rPr>
            </w:pPr>
            <w:r w:rsidRPr="00631C1C">
              <w:rPr>
                <w:szCs w:val="18"/>
              </w:rPr>
              <w:t>4 077</w:t>
            </w:r>
          </w:p>
        </w:tc>
        <w:tc>
          <w:tcPr>
            <w:tcW w:w="1293" w:type="dxa"/>
            <w:tcBorders>
              <w:top w:val="nil"/>
              <w:left w:val="nil"/>
              <w:bottom w:val="single" w:sz="4" w:space="0" w:color="auto"/>
              <w:right w:val="single" w:sz="4" w:space="0" w:color="auto"/>
            </w:tcBorders>
            <w:noWrap/>
            <w:hideMark/>
          </w:tcPr>
          <w:p w14:paraId="251831A2" w14:textId="77777777" w:rsidR="00312042" w:rsidRPr="00631C1C" w:rsidRDefault="00312042" w:rsidP="009A58EE">
            <w:pPr>
              <w:pStyle w:val="Normal-pool-Table"/>
              <w:jc w:val="right"/>
              <w:rPr>
                <w:szCs w:val="18"/>
              </w:rPr>
            </w:pPr>
            <w:r w:rsidRPr="00631C1C">
              <w:rPr>
                <w:szCs w:val="18"/>
              </w:rPr>
              <w:t>5 380</w:t>
            </w:r>
          </w:p>
        </w:tc>
        <w:tc>
          <w:tcPr>
            <w:tcW w:w="1313" w:type="dxa"/>
            <w:tcBorders>
              <w:top w:val="nil"/>
              <w:left w:val="nil"/>
              <w:bottom w:val="single" w:sz="4" w:space="0" w:color="auto"/>
              <w:right w:val="single" w:sz="4" w:space="0" w:color="auto"/>
            </w:tcBorders>
            <w:noWrap/>
            <w:hideMark/>
          </w:tcPr>
          <w:p w14:paraId="2C34DC4F" w14:textId="77777777" w:rsidR="00312042" w:rsidRPr="00631C1C" w:rsidRDefault="00312042" w:rsidP="009A58EE">
            <w:pPr>
              <w:pStyle w:val="Normal-pool-Table"/>
              <w:jc w:val="right"/>
              <w:rPr>
                <w:szCs w:val="18"/>
              </w:rPr>
            </w:pPr>
            <w:r w:rsidRPr="00631C1C">
              <w:rPr>
                <w:szCs w:val="18"/>
              </w:rPr>
              <w:t>9 457</w:t>
            </w:r>
          </w:p>
        </w:tc>
      </w:tr>
      <w:tr w:rsidR="00F234CD" w:rsidRPr="00631C1C" w14:paraId="3149AD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1DE336" w14:textId="77777777" w:rsidR="00312042" w:rsidRPr="00631C1C" w:rsidRDefault="00312042" w:rsidP="009A58EE">
            <w:pPr>
              <w:pStyle w:val="Normal-pool-Table"/>
              <w:rPr>
                <w:szCs w:val="18"/>
              </w:rPr>
            </w:pPr>
            <w:r w:rsidRPr="00631C1C">
              <w:rPr>
                <w:szCs w:val="18"/>
              </w:rPr>
              <w:t>55</w:t>
            </w:r>
          </w:p>
        </w:tc>
        <w:tc>
          <w:tcPr>
            <w:tcW w:w="2573" w:type="dxa"/>
            <w:tcBorders>
              <w:top w:val="nil"/>
              <w:left w:val="nil"/>
              <w:bottom w:val="single" w:sz="4" w:space="0" w:color="auto"/>
              <w:right w:val="single" w:sz="4" w:space="0" w:color="auto"/>
            </w:tcBorders>
            <w:noWrap/>
            <w:hideMark/>
          </w:tcPr>
          <w:p w14:paraId="44A27905" w14:textId="77777777" w:rsidR="00312042" w:rsidRPr="00631C1C" w:rsidRDefault="00312042" w:rsidP="009A58EE">
            <w:pPr>
              <w:pStyle w:val="Normal-pool-Table"/>
              <w:rPr>
                <w:szCs w:val="18"/>
              </w:rPr>
            </w:pPr>
            <w:r w:rsidRPr="00631C1C">
              <w:rPr>
                <w:szCs w:val="18"/>
              </w:rPr>
              <w:t>Israel</w:t>
            </w:r>
          </w:p>
        </w:tc>
        <w:tc>
          <w:tcPr>
            <w:tcW w:w="1400" w:type="dxa"/>
            <w:tcBorders>
              <w:top w:val="nil"/>
              <w:left w:val="nil"/>
              <w:bottom w:val="single" w:sz="4" w:space="0" w:color="auto"/>
              <w:right w:val="single" w:sz="4" w:space="0" w:color="auto"/>
            </w:tcBorders>
            <w:noWrap/>
            <w:hideMark/>
          </w:tcPr>
          <w:p w14:paraId="28097CAD" w14:textId="5E2AC4C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609</w:t>
            </w:r>
          </w:p>
        </w:tc>
        <w:tc>
          <w:tcPr>
            <w:tcW w:w="1073" w:type="dxa"/>
            <w:tcBorders>
              <w:top w:val="nil"/>
              <w:left w:val="nil"/>
              <w:bottom w:val="single" w:sz="4" w:space="0" w:color="auto"/>
              <w:right w:val="single" w:sz="4" w:space="0" w:color="auto"/>
            </w:tcBorders>
            <w:noWrap/>
            <w:hideMark/>
          </w:tcPr>
          <w:p w14:paraId="0F00B3BF" w14:textId="29CB2D9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6147</w:t>
            </w:r>
          </w:p>
        </w:tc>
        <w:tc>
          <w:tcPr>
            <w:tcW w:w="1293" w:type="dxa"/>
            <w:tcBorders>
              <w:top w:val="nil"/>
              <w:left w:val="nil"/>
              <w:bottom w:val="single" w:sz="4" w:space="0" w:color="auto"/>
              <w:right w:val="single" w:sz="4" w:space="0" w:color="auto"/>
            </w:tcBorders>
            <w:noWrap/>
            <w:hideMark/>
          </w:tcPr>
          <w:p w14:paraId="28FC5106" w14:textId="77777777" w:rsidR="00312042" w:rsidRPr="00631C1C" w:rsidRDefault="00312042" w:rsidP="009A58EE">
            <w:pPr>
              <w:pStyle w:val="Normal-pool-Table"/>
              <w:jc w:val="right"/>
              <w:rPr>
                <w:szCs w:val="18"/>
              </w:rPr>
            </w:pPr>
            <w:r w:rsidRPr="00631C1C">
              <w:rPr>
                <w:szCs w:val="18"/>
              </w:rPr>
              <w:t>18 952</w:t>
            </w:r>
          </w:p>
        </w:tc>
        <w:tc>
          <w:tcPr>
            <w:tcW w:w="1293" w:type="dxa"/>
            <w:tcBorders>
              <w:top w:val="nil"/>
              <w:left w:val="nil"/>
              <w:bottom w:val="single" w:sz="4" w:space="0" w:color="auto"/>
              <w:right w:val="single" w:sz="4" w:space="0" w:color="auto"/>
            </w:tcBorders>
            <w:noWrap/>
            <w:hideMark/>
          </w:tcPr>
          <w:p w14:paraId="72BD1437" w14:textId="77777777" w:rsidR="00312042" w:rsidRPr="00631C1C" w:rsidRDefault="00312042" w:rsidP="009A58EE">
            <w:pPr>
              <w:pStyle w:val="Normal-pool-Table"/>
              <w:jc w:val="right"/>
              <w:rPr>
                <w:szCs w:val="18"/>
              </w:rPr>
            </w:pPr>
            <w:r w:rsidRPr="00631C1C">
              <w:rPr>
                <w:szCs w:val="18"/>
              </w:rPr>
              <w:t>25 013</w:t>
            </w:r>
          </w:p>
        </w:tc>
        <w:tc>
          <w:tcPr>
            <w:tcW w:w="1313" w:type="dxa"/>
            <w:tcBorders>
              <w:top w:val="nil"/>
              <w:left w:val="nil"/>
              <w:bottom w:val="single" w:sz="4" w:space="0" w:color="auto"/>
              <w:right w:val="single" w:sz="4" w:space="0" w:color="auto"/>
            </w:tcBorders>
            <w:noWrap/>
            <w:hideMark/>
          </w:tcPr>
          <w:p w14:paraId="5ABD754B" w14:textId="77777777" w:rsidR="00312042" w:rsidRPr="00631C1C" w:rsidRDefault="00312042" w:rsidP="009A58EE">
            <w:pPr>
              <w:pStyle w:val="Normal-pool-Table"/>
              <w:jc w:val="right"/>
              <w:rPr>
                <w:szCs w:val="18"/>
              </w:rPr>
            </w:pPr>
            <w:r w:rsidRPr="00631C1C">
              <w:rPr>
                <w:szCs w:val="18"/>
              </w:rPr>
              <w:t>43 965</w:t>
            </w:r>
          </w:p>
        </w:tc>
      </w:tr>
      <w:tr w:rsidR="00F234CD" w:rsidRPr="00631C1C" w14:paraId="7D4D94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813173" w14:textId="77777777" w:rsidR="00312042" w:rsidRPr="00631C1C" w:rsidRDefault="00312042" w:rsidP="009A58EE">
            <w:pPr>
              <w:pStyle w:val="Normal-pool-Table"/>
              <w:rPr>
                <w:szCs w:val="18"/>
              </w:rPr>
            </w:pPr>
            <w:r w:rsidRPr="00631C1C">
              <w:rPr>
                <w:szCs w:val="18"/>
              </w:rPr>
              <w:t>56</w:t>
            </w:r>
          </w:p>
        </w:tc>
        <w:tc>
          <w:tcPr>
            <w:tcW w:w="2573" w:type="dxa"/>
            <w:tcBorders>
              <w:top w:val="nil"/>
              <w:left w:val="nil"/>
              <w:bottom w:val="single" w:sz="4" w:space="0" w:color="auto"/>
              <w:right w:val="single" w:sz="4" w:space="0" w:color="auto"/>
            </w:tcBorders>
            <w:noWrap/>
            <w:hideMark/>
          </w:tcPr>
          <w:p w14:paraId="61530588" w14:textId="77777777" w:rsidR="00312042" w:rsidRPr="00631C1C" w:rsidRDefault="00312042" w:rsidP="009A58EE">
            <w:pPr>
              <w:pStyle w:val="Normal-pool-Table"/>
              <w:rPr>
                <w:szCs w:val="18"/>
              </w:rPr>
            </w:pPr>
            <w:r w:rsidRPr="00631C1C">
              <w:rPr>
                <w:szCs w:val="18"/>
              </w:rPr>
              <w:t>Japan</w:t>
            </w:r>
          </w:p>
        </w:tc>
        <w:tc>
          <w:tcPr>
            <w:tcW w:w="1400" w:type="dxa"/>
            <w:tcBorders>
              <w:top w:val="nil"/>
              <w:left w:val="nil"/>
              <w:bottom w:val="single" w:sz="4" w:space="0" w:color="auto"/>
              <w:right w:val="single" w:sz="4" w:space="0" w:color="auto"/>
            </w:tcBorders>
            <w:noWrap/>
            <w:hideMark/>
          </w:tcPr>
          <w:p w14:paraId="49081CE1" w14:textId="72A07535" w:rsidR="00312042" w:rsidRPr="00631C1C" w:rsidRDefault="00312042" w:rsidP="009A58EE">
            <w:pPr>
              <w:pStyle w:val="Normal-pool-Table"/>
              <w:jc w:val="right"/>
              <w:rPr>
                <w:szCs w:val="18"/>
              </w:rPr>
            </w:pPr>
            <w:r w:rsidRPr="00631C1C">
              <w:rPr>
                <w:szCs w:val="18"/>
              </w:rPr>
              <w:t>6</w:t>
            </w:r>
            <w:r w:rsidR="005D12FE">
              <w:rPr>
                <w:szCs w:val="18"/>
              </w:rPr>
              <w:t>.</w:t>
            </w:r>
            <w:r w:rsidRPr="00631C1C">
              <w:rPr>
                <w:szCs w:val="18"/>
              </w:rPr>
              <w:t>93</w:t>
            </w:r>
          </w:p>
        </w:tc>
        <w:tc>
          <w:tcPr>
            <w:tcW w:w="1073" w:type="dxa"/>
            <w:tcBorders>
              <w:top w:val="nil"/>
              <w:left w:val="nil"/>
              <w:bottom w:val="single" w:sz="4" w:space="0" w:color="auto"/>
              <w:right w:val="single" w:sz="4" w:space="0" w:color="auto"/>
            </w:tcBorders>
            <w:noWrap/>
            <w:hideMark/>
          </w:tcPr>
          <w:p w14:paraId="5748C1D9" w14:textId="10BD686B" w:rsidR="00312042" w:rsidRPr="00631C1C" w:rsidRDefault="00312042" w:rsidP="009A58EE">
            <w:pPr>
              <w:pStyle w:val="Normal-pool-Table"/>
              <w:jc w:val="right"/>
              <w:rPr>
                <w:szCs w:val="18"/>
              </w:rPr>
            </w:pPr>
            <w:r w:rsidRPr="00631C1C">
              <w:rPr>
                <w:szCs w:val="18"/>
              </w:rPr>
              <w:t>6</w:t>
            </w:r>
            <w:r w:rsidR="005D12FE">
              <w:rPr>
                <w:szCs w:val="18"/>
              </w:rPr>
              <w:t>.</w:t>
            </w:r>
            <w:r w:rsidRPr="00631C1C">
              <w:rPr>
                <w:szCs w:val="18"/>
              </w:rPr>
              <w:t>9945</w:t>
            </w:r>
          </w:p>
        </w:tc>
        <w:tc>
          <w:tcPr>
            <w:tcW w:w="1293" w:type="dxa"/>
            <w:tcBorders>
              <w:top w:val="nil"/>
              <w:left w:val="nil"/>
              <w:bottom w:val="single" w:sz="4" w:space="0" w:color="auto"/>
              <w:right w:val="single" w:sz="4" w:space="0" w:color="auto"/>
            </w:tcBorders>
            <w:noWrap/>
            <w:hideMark/>
          </w:tcPr>
          <w:p w14:paraId="1D418111" w14:textId="77777777" w:rsidR="00312042" w:rsidRPr="00631C1C" w:rsidRDefault="00312042" w:rsidP="009A58EE">
            <w:pPr>
              <w:pStyle w:val="Normal-pool-Table"/>
              <w:jc w:val="right"/>
              <w:rPr>
                <w:szCs w:val="18"/>
              </w:rPr>
            </w:pPr>
            <w:r w:rsidRPr="00631C1C">
              <w:rPr>
                <w:szCs w:val="18"/>
              </w:rPr>
              <w:t>215 665</w:t>
            </w:r>
          </w:p>
        </w:tc>
        <w:tc>
          <w:tcPr>
            <w:tcW w:w="1293" w:type="dxa"/>
            <w:tcBorders>
              <w:top w:val="nil"/>
              <w:left w:val="nil"/>
              <w:bottom w:val="single" w:sz="4" w:space="0" w:color="auto"/>
              <w:right w:val="single" w:sz="4" w:space="0" w:color="auto"/>
            </w:tcBorders>
            <w:noWrap/>
            <w:hideMark/>
          </w:tcPr>
          <w:p w14:paraId="75013DD8" w14:textId="77777777" w:rsidR="00312042" w:rsidRPr="00631C1C" w:rsidRDefault="00312042" w:rsidP="009A58EE">
            <w:pPr>
              <w:pStyle w:val="Normal-pool-Table"/>
              <w:jc w:val="right"/>
              <w:rPr>
                <w:szCs w:val="18"/>
              </w:rPr>
            </w:pPr>
            <w:r w:rsidRPr="00631C1C">
              <w:rPr>
                <w:szCs w:val="18"/>
              </w:rPr>
              <w:t>284 626</w:t>
            </w:r>
          </w:p>
        </w:tc>
        <w:tc>
          <w:tcPr>
            <w:tcW w:w="1313" w:type="dxa"/>
            <w:tcBorders>
              <w:top w:val="nil"/>
              <w:left w:val="nil"/>
              <w:bottom w:val="single" w:sz="4" w:space="0" w:color="auto"/>
              <w:right w:val="single" w:sz="4" w:space="0" w:color="auto"/>
            </w:tcBorders>
            <w:noWrap/>
            <w:hideMark/>
          </w:tcPr>
          <w:p w14:paraId="4BAE6B0C" w14:textId="77777777" w:rsidR="00312042" w:rsidRPr="00631C1C" w:rsidRDefault="00312042" w:rsidP="009A58EE">
            <w:pPr>
              <w:pStyle w:val="Normal-pool-Table"/>
              <w:jc w:val="right"/>
              <w:rPr>
                <w:szCs w:val="18"/>
              </w:rPr>
            </w:pPr>
            <w:r w:rsidRPr="00631C1C">
              <w:rPr>
                <w:szCs w:val="18"/>
              </w:rPr>
              <w:t>500 291</w:t>
            </w:r>
          </w:p>
        </w:tc>
      </w:tr>
      <w:tr w:rsidR="00F234CD" w:rsidRPr="00631C1C" w14:paraId="3AAA7BD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BEC8F" w14:textId="77777777" w:rsidR="00312042" w:rsidRPr="00631C1C" w:rsidRDefault="00312042" w:rsidP="009A58EE">
            <w:pPr>
              <w:pStyle w:val="Normal-pool-Table"/>
              <w:rPr>
                <w:szCs w:val="18"/>
              </w:rPr>
            </w:pPr>
            <w:r w:rsidRPr="00631C1C">
              <w:rPr>
                <w:szCs w:val="18"/>
              </w:rPr>
              <w:t>57</w:t>
            </w:r>
          </w:p>
        </w:tc>
        <w:tc>
          <w:tcPr>
            <w:tcW w:w="2573" w:type="dxa"/>
            <w:tcBorders>
              <w:top w:val="nil"/>
              <w:left w:val="nil"/>
              <w:bottom w:val="single" w:sz="4" w:space="0" w:color="auto"/>
              <w:right w:val="single" w:sz="4" w:space="0" w:color="auto"/>
            </w:tcBorders>
            <w:noWrap/>
            <w:hideMark/>
          </w:tcPr>
          <w:p w14:paraId="0FBEFE66" w14:textId="77777777" w:rsidR="00312042" w:rsidRPr="00631C1C" w:rsidRDefault="00312042" w:rsidP="009A58EE">
            <w:pPr>
              <w:pStyle w:val="Normal-pool-Table"/>
              <w:rPr>
                <w:szCs w:val="18"/>
              </w:rPr>
            </w:pPr>
            <w:r w:rsidRPr="00631C1C">
              <w:rPr>
                <w:szCs w:val="18"/>
              </w:rPr>
              <w:t>Jordan</w:t>
            </w:r>
          </w:p>
        </w:tc>
        <w:tc>
          <w:tcPr>
            <w:tcW w:w="1400" w:type="dxa"/>
            <w:tcBorders>
              <w:top w:val="nil"/>
              <w:left w:val="nil"/>
              <w:bottom w:val="single" w:sz="4" w:space="0" w:color="auto"/>
              <w:right w:val="single" w:sz="4" w:space="0" w:color="auto"/>
            </w:tcBorders>
            <w:noWrap/>
            <w:hideMark/>
          </w:tcPr>
          <w:p w14:paraId="2D32375E" w14:textId="4D5B959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021</w:t>
            </w:r>
          </w:p>
        </w:tc>
        <w:tc>
          <w:tcPr>
            <w:tcW w:w="1073" w:type="dxa"/>
            <w:tcBorders>
              <w:top w:val="nil"/>
              <w:left w:val="nil"/>
              <w:bottom w:val="single" w:sz="4" w:space="0" w:color="auto"/>
              <w:right w:val="single" w:sz="4" w:space="0" w:color="auto"/>
            </w:tcBorders>
            <w:noWrap/>
            <w:hideMark/>
          </w:tcPr>
          <w:p w14:paraId="7A82E058" w14:textId="4D863E4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0212</w:t>
            </w:r>
          </w:p>
        </w:tc>
        <w:tc>
          <w:tcPr>
            <w:tcW w:w="1293" w:type="dxa"/>
            <w:tcBorders>
              <w:top w:val="nil"/>
              <w:left w:val="nil"/>
              <w:bottom w:val="single" w:sz="4" w:space="0" w:color="auto"/>
              <w:right w:val="single" w:sz="4" w:space="0" w:color="auto"/>
            </w:tcBorders>
            <w:noWrap/>
            <w:hideMark/>
          </w:tcPr>
          <w:p w14:paraId="09E58FF3" w14:textId="77777777" w:rsidR="00312042" w:rsidRPr="00631C1C" w:rsidRDefault="00312042" w:rsidP="009A58EE">
            <w:pPr>
              <w:pStyle w:val="Normal-pool-Table"/>
              <w:jc w:val="right"/>
              <w:rPr>
                <w:szCs w:val="18"/>
              </w:rPr>
            </w:pPr>
            <w:r w:rsidRPr="00631C1C">
              <w:rPr>
                <w:szCs w:val="18"/>
              </w:rPr>
              <w:t>654</w:t>
            </w:r>
          </w:p>
        </w:tc>
        <w:tc>
          <w:tcPr>
            <w:tcW w:w="1293" w:type="dxa"/>
            <w:tcBorders>
              <w:top w:val="nil"/>
              <w:left w:val="nil"/>
              <w:bottom w:val="single" w:sz="4" w:space="0" w:color="auto"/>
              <w:right w:val="single" w:sz="4" w:space="0" w:color="auto"/>
            </w:tcBorders>
            <w:noWrap/>
            <w:hideMark/>
          </w:tcPr>
          <w:p w14:paraId="46D01A0B" w14:textId="77777777" w:rsidR="00312042" w:rsidRPr="00631C1C" w:rsidRDefault="00312042" w:rsidP="009A58EE">
            <w:pPr>
              <w:pStyle w:val="Normal-pool-Table"/>
              <w:jc w:val="right"/>
              <w:rPr>
                <w:szCs w:val="18"/>
              </w:rPr>
            </w:pPr>
            <w:r w:rsidRPr="00631C1C">
              <w:rPr>
                <w:szCs w:val="18"/>
              </w:rPr>
              <w:t>863</w:t>
            </w:r>
          </w:p>
        </w:tc>
        <w:tc>
          <w:tcPr>
            <w:tcW w:w="1313" w:type="dxa"/>
            <w:tcBorders>
              <w:top w:val="nil"/>
              <w:left w:val="nil"/>
              <w:bottom w:val="single" w:sz="4" w:space="0" w:color="auto"/>
              <w:right w:val="single" w:sz="4" w:space="0" w:color="auto"/>
            </w:tcBorders>
            <w:noWrap/>
            <w:hideMark/>
          </w:tcPr>
          <w:p w14:paraId="3883FDC0" w14:textId="77777777" w:rsidR="00312042" w:rsidRPr="00631C1C" w:rsidRDefault="00312042" w:rsidP="009A58EE">
            <w:pPr>
              <w:pStyle w:val="Normal-pool-Table"/>
              <w:jc w:val="right"/>
              <w:rPr>
                <w:szCs w:val="18"/>
              </w:rPr>
            </w:pPr>
            <w:r w:rsidRPr="00631C1C">
              <w:rPr>
                <w:szCs w:val="18"/>
              </w:rPr>
              <w:t>1 516</w:t>
            </w:r>
          </w:p>
        </w:tc>
      </w:tr>
      <w:tr w:rsidR="00F234CD" w:rsidRPr="00631C1C" w14:paraId="5B9A3F7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5E3083" w14:textId="77777777" w:rsidR="00312042" w:rsidRPr="00631C1C" w:rsidRDefault="00312042" w:rsidP="009A58EE">
            <w:pPr>
              <w:pStyle w:val="Normal-pool-Table"/>
              <w:rPr>
                <w:szCs w:val="18"/>
              </w:rPr>
            </w:pPr>
            <w:r w:rsidRPr="00631C1C">
              <w:rPr>
                <w:szCs w:val="18"/>
              </w:rPr>
              <w:t>58</w:t>
            </w:r>
          </w:p>
        </w:tc>
        <w:tc>
          <w:tcPr>
            <w:tcW w:w="2573" w:type="dxa"/>
            <w:tcBorders>
              <w:top w:val="nil"/>
              <w:left w:val="nil"/>
              <w:bottom w:val="single" w:sz="4" w:space="0" w:color="auto"/>
              <w:right w:val="single" w:sz="4" w:space="0" w:color="auto"/>
            </w:tcBorders>
            <w:noWrap/>
            <w:hideMark/>
          </w:tcPr>
          <w:p w14:paraId="6D77F504" w14:textId="77777777" w:rsidR="00312042" w:rsidRPr="00631C1C" w:rsidRDefault="00312042" w:rsidP="009A58EE">
            <w:pPr>
              <w:pStyle w:val="Normal-pool-Table"/>
              <w:rPr>
                <w:szCs w:val="18"/>
              </w:rPr>
            </w:pPr>
            <w:r w:rsidRPr="00631C1C">
              <w:rPr>
                <w:szCs w:val="18"/>
              </w:rPr>
              <w:t>Kiribati</w:t>
            </w:r>
          </w:p>
        </w:tc>
        <w:tc>
          <w:tcPr>
            <w:tcW w:w="1400" w:type="dxa"/>
            <w:tcBorders>
              <w:top w:val="nil"/>
              <w:left w:val="nil"/>
              <w:bottom w:val="single" w:sz="4" w:space="0" w:color="auto"/>
              <w:right w:val="single" w:sz="4" w:space="0" w:color="auto"/>
            </w:tcBorders>
            <w:noWrap/>
            <w:hideMark/>
          </w:tcPr>
          <w:p w14:paraId="2DFF9C15" w14:textId="320F4E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42138E65" w14:textId="104767F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34A9E7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0AD488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2C3C645" w14:textId="77777777" w:rsidR="00312042" w:rsidRPr="00631C1C" w:rsidRDefault="00312042" w:rsidP="009A58EE">
            <w:pPr>
              <w:pStyle w:val="Normal-pool-Table"/>
              <w:jc w:val="right"/>
              <w:rPr>
                <w:szCs w:val="18"/>
              </w:rPr>
            </w:pPr>
            <w:r w:rsidRPr="00631C1C">
              <w:rPr>
                <w:szCs w:val="18"/>
              </w:rPr>
              <w:t>715</w:t>
            </w:r>
          </w:p>
        </w:tc>
      </w:tr>
      <w:tr w:rsidR="00F234CD" w:rsidRPr="00631C1C" w14:paraId="66ADC8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82E3D9" w14:textId="77777777" w:rsidR="00312042" w:rsidRPr="00631C1C" w:rsidRDefault="00312042" w:rsidP="009A58EE">
            <w:pPr>
              <w:pStyle w:val="Normal-pool-Table"/>
              <w:rPr>
                <w:szCs w:val="18"/>
              </w:rPr>
            </w:pPr>
            <w:r w:rsidRPr="00631C1C">
              <w:rPr>
                <w:szCs w:val="18"/>
              </w:rPr>
              <w:t>59</w:t>
            </w:r>
          </w:p>
        </w:tc>
        <w:tc>
          <w:tcPr>
            <w:tcW w:w="2573" w:type="dxa"/>
            <w:tcBorders>
              <w:top w:val="nil"/>
              <w:left w:val="nil"/>
              <w:bottom w:val="single" w:sz="4" w:space="0" w:color="auto"/>
              <w:right w:val="single" w:sz="4" w:space="0" w:color="auto"/>
            </w:tcBorders>
            <w:noWrap/>
            <w:hideMark/>
          </w:tcPr>
          <w:p w14:paraId="036BC737" w14:textId="77777777" w:rsidR="00312042" w:rsidRPr="00631C1C" w:rsidRDefault="00312042" w:rsidP="009A58EE">
            <w:pPr>
              <w:pStyle w:val="Normal-pool-Table"/>
              <w:rPr>
                <w:szCs w:val="18"/>
              </w:rPr>
            </w:pPr>
            <w:r w:rsidRPr="00631C1C">
              <w:rPr>
                <w:szCs w:val="18"/>
              </w:rPr>
              <w:t>Kuwait</w:t>
            </w:r>
          </w:p>
        </w:tc>
        <w:tc>
          <w:tcPr>
            <w:tcW w:w="1400" w:type="dxa"/>
            <w:tcBorders>
              <w:top w:val="nil"/>
              <w:left w:val="nil"/>
              <w:bottom w:val="single" w:sz="4" w:space="0" w:color="auto"/>
              <w:right w:val="single" w:sz="4" w:space="0" w:color="auto"/>
            </w:tcBorders>
            <w:noWrap/>
            <w:hideMark/>
          </w:tcPr>
          <w:p w14:paraId="58C6321D" w14:textId="1E6CA9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222</w:t>
            </w:r>
          </w:p>
        </w:tc>
        <w:tc>
          <w:tcPr>
            <w:tcW w:w="1073" w:type="dxa"/>
            <w:tcBorders>
              <w:top w:val="nil"/>
              <w:left w:val="nil"/>
              <w:bottom w:val="single" w:sz="4" w:space="0" w:color="auto"/>
              <w:right w:val="single" w:sz="4" w:space="0" w:color="auto"/>
            </w:tcBorders>
            <w:noWrap/>
            <w:hideMark/>
          </w:tcPr>
          <w:p w14:paraId="467D7806" w14:textId="49A4F3E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2241</w:t>
            </w:r>
          </w:p>
        </w:tc>
        <w:tc>
          <w:tcPr>
            <w:tcW w:w="1293" w:type="dxa"/>
            <w:tcBorders>
              <w:top w:val="nil"/>
              <w:left w:val="nil"/>
              <w:bottom w:val="single" w:sz="4" w:space="0" w:color="auto"/>
              <w:right w:val="single" w:sz="4" w:space="0" w:color="auto"/>
            </w:tcBorders>
            <w:noWrap/>
            <w:hideMark/>
          </w:tcPr>
          <w:p w14:paraId="567250D3" w14:textId="77777777" w:rsidR="00312042" w:rsidRPr="00631C1C" w:rsidRDefault="00312042" w:rsidP="009A58EE">
            <w:pPr>
              <w:pStyle w:val="Normal-pool-Table"/>
              <w:jc w:val="right"/>
              <w:rPr>
                <w:szCs w:val="18"/>
              </w:rPr>
            </w:pPr>
            <w:r w:rsidRPr="00631C1C">
              <w:rPr>
                <w:szCs w:val="18"/>
              </w:rPr>
              <w:t>6 909</w:t>
            </w:r>
          </w:p>
        </w:tc>
        <w:tc>
          <w:tcPr>
            <w:tcW w:w="1293" w:type="dxa"/>
            <w:tcBorders>
              <w:top w:val="nil"/>
              <w:left w:val="nil"/>
              <w:bottom w:val="single" w:sz="4" w:space="0" w:color="auto"/>
              <w:right w:val="single" w:sz="4" w:space="0" w:color="auto"/>
            </w:tcBorders>
            <w:noWrap/>
            <w:hideMark/>
          </w:tcPr>
          <w:p w14:paraId="7A9395E6" w14:textId="77777777" w:rsidR="00312042" w:rsidRPr="00631C1C" w:rsidRDefault="00312042" w:rsidP="009A58EE">
            <w:pPr>
              <w:pStyle w:val="Normal-pool-Table"/>
              <w:jc w:val="right"/>
              <w:rPr>
                <w:szCs w:val="18"/>
              </w:rPr>
            </w:pPr>
            <w:r w:rsidRPr="00631C1C">
              <w:rPr>
                <w:szCs w:val="18"/>
              </w:rPr>
              <w:t>9 118</w:t>
            </w:r>
          </w:p>
        </w:tc>
        <w:tc>
          <w:tcPr>
            <w:tcW w:w="1313" w:type="dxa"/>
            <w:tcBorders>
              <w:top w:val="nil"/>
              <w:left w:val="nil"/>
              <w:bottom w:val="single" w:sz="4" w:space="0" w:color="auto"/>
              <w:right w:val="single" w:sz="4" w:space="0" w:color="auto"/>
            </w:tcBorders>
            <w:noWrap/>
            <w:hideMark/>
          </w:tcPr>
          <w:p w14:paraId="0AEAA44D" w14:textId="77777777" w:rsidR="00312042" w:rsidRPr="00631C1C" w:rsidRDefault="00312042" w:rsidP="009A58EE">
            <w:pPr>
              <w:pStyle w:val="Normal-pool-Table"/>
              <w:jc w:val="right"/>
              <w:rPr>
                <w:szCs w:val="18"/>
              </w:rPr>
            </w:pPr>
            <w:r w:rsidRPr="00631C1C">
              <w:rPr>
                <w:szCs w:val="18"/>
              </w:rPr>
              <w:t>16 027</w:t>
            </w:r>
          </w:p>
        </w:tc>
      </w:tr>
      <w:tr w:rsidR="00F234CD" w:rsidRPr="00631C1C" w14:paraId="4BCA026A"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33EA4A3A" w14:textId="77777777" w:rsidR="00312042" w:rsidRPr="00631C1C" w:rsidRDefault="00312042" w:rsidP="009A58EE">
            <w:pPr>
              <w:pStyle w:val="Normal-pool-Table"/>
              <w:rPr>
                <w:szCs w:val="18"/>
              </w:rPr>
            </w:pPr>
            <w:r w:rsidRPr="00631C1C">
              <w:rPr>
                <w:szCs w:val="18"/>
              </w:rPr>
              <w:t>60</w:t>
            </w:r>
          </w:p>
        </w:tc>
        <w:tc>
          <w:tcPr>
            <w:tcW w:w="2573" w:type="dxa"/>
            <w:tcBorders>
              <w:top w:val="nil"/>
              <w:left w:val="nil"/>
              <w:bottom w:val="single" w:sz="4" w:space="0" w:color="auto"/>
              <w:right w:val="single" w:sz="4" w:space="0" w:color="auto"/>
            </w:tcBorders>
            <w:noWrap/>
            <w:hideMark/>
          </w:tcPr>
          <w:p w14:paraId="3E2E7082" w14:textId="77777777" w:rsidR="00312042" w:rsidRPr="00631C1C" w:rsidRDefault="00312042" w:rsidP="009A58EE">
            <w:pPr>
              <w:pStyle w:val="Normal-pool-Table"/>
              <w:rPr>
                <w:szCs w:val="18"/>
              </w:rPr>
            </w:pPr>
            <w:r w:rsidRPr="00631C1C">
              <w:rPr>
                <w:szCs w:val="18"/>
              </w:rPr>
              <w:t>Lao People’s Democratic Republic</w:t>
            </w:r>
          </w:p>
        </w:tc>
        <w:tc>
          <w:tcPr>
            <w:tcW w:w="1400" w:type="dxa"/>
            <w:tcBorders>
              <w:top w:val="nil"/>
              <w:left w:val="nil"/>
              <w:bottom w:val="single" w:sz="4" w:space="0" w:color="auto"/>
              <w:right w:val="single" w:sz="4" w:space="0" w:color="auto"/>
            </w:tcBorders>
            <w:noWrap/>
            <w:vAlign w:val="bottom"/>
            <w:hideMark/>
          </w:tcPr>
          <w:p w14:paraId="169EF21D" w14:textId="582CE876"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006</w:t>
            </w:r>
          </w:p>
        </w:tc>
        <w:tc>
          <w:tcPr>
            <w:tcW w:w="1073" w:type="dxa"/>
            <w:tcBorders>
              <w:top w:val="nil"/>
              <w:left w:val="nil"/>
              <w:bottom w:val="single" w:sz="4" w:space="0" w:color="auto"/>
              <w:right w:val="single" w:sz="4" w:space="0" w:color="auto"/>
            </w:tcBorders>
            <w:noWrap/>
            <w:vAlign w:val="bottom"/>
            <w:hideMark/>
          </w:tcPr>
          <w:p w14:paraId="6ABAEF91" w14:textId="4DDEDC05"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0100</w:t>
            </w:r>
          </w:p>
        </w:tc>
        <w:tc>
          <w:tcPr>
            <w:tcW w:w="1293" w:type="dxa"/>
            <w:tcBorders>
              <w:top w:val="nil"/>
              <w:left w:val="nil"/>
              <w:bottom w:val="single" w:sz="4" w:space="0" w:color="auto"/>
              <w:right w:val="single" w:sz="4" w:space="0" w:color="auto"/>
            </w:tcBorders>
            <w:noWrap/>
            <w:vAlign w:val="bottom"/>
            <w:hideMark/>
          </w:tcPr>
          <w:p w14:paraId="20856DE3" w14:textId="77777777" w:rsidR="00312042" w:rsidRPr="006D152E" w:rsidRDefault="00312042" w:rsidP="009A58EE">
            <w:pPr>
              <w:pStyle w:val="Normal-pool-Table"/>
              <w:jc w:val="right"/>
              <w:rPr>
                <w:szCs w:val="18"/>
              </w:rPr>
            </w:pPr>
            <w:r w:rsidRPr="006D152E">
              <w:rPr>
                <w:szCs w:val="18"/>
              </w:rPr>
              <w:t>308</w:t>
            </w:r>
          </w:p>
        </w:tc>
        <w:tc>
          <w:tcPr>
            <w:tcW w:w="1293" w:type="dxa"/>
            <w:tcBorders>
              <w:top w:val="nil"/>
              <w:left w:val="nil"/>
              <w:bottom w:val="single" w:sz="4" w:space="0" w:color="auto"/>
              <w:right w:val="single" w:sz="4" w:space="0" w:color="auto"/>
            </w:tcBorders>
            <w:noWrap/>
            <w:vAlign w:val="bottom"/>
            <w:hideMark/>
          </w:tcPr>
          <w:p w14:paraId="39D559A2" w14:textId="77777777" w:rsidR="00312042" w:rsidRPr="006D152E" w:rsidRDefault="00312042" w:rsidP="009A58EE">
            <w:pPr>
              <w:pStyle w:val="Normal-pool-Table"/>
              <w:jc w:val="right"/>
              <w:rPr>
                <w:szCs w:val="18"/>
              </w:rPr>
            </w:pPr>
            <w:r w:rsidRPr="006D152E">
              <w:rPr>
                <w:szCs w:val="18"/>
              </w:rPr>
              <w:t>407</w:t>
            </w:r>
          </w:p>
        </w:tc>
        <w:tc>
          <w:tcPr>
            <w:tcW w:w="1313" w:type="dxa"/>
            <w:tcBorders>
              <w:top w:val="nil"/>
              <w:left w:val="nil"/>
              <w:bottom w:val="single" w:sz="4" w:space="0" w:color="auto"/>
              <w:right w:val="single" w:sz="4" w:space="0" w:color="auto"/>
            </w:tcBorders>
            <w:noWrap/>
            <w:vAlign w:val="bottom"/>
            <w:hideMark/>
          </w:tcPr>
          <w:p w14:paraId="48DC7038" w14:textId="77777777" w:rsidR="00312042" w:rsidRPr="006D152E" w:rsidRDefault="00312042" w:rsidP="009A58EE">
            <w:pPr>
              <w:pStyle w:val="Normal-pool-Table"/>
              <w:jc w:val="right"/>
              <w:rPr>
                <w:szCs w:val="18"/>
              </w:rPr>
            </w:pPr>
            <w:r w:rsidRPr="006D152E">
              <w:rPr>
                <w:szCs w:val="18"/>
              </w:rPr>
              <w:t>715</w:t>
            </w:r>
          </w:p>
        </w:tc>
      </w:tr>
      <w:tr w:rsidR="00F234CD" w:rsidRPr="00631C1C" w14:paraId="2DC4D43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CB6FD5" w14:textId="77777777" w:rsidR="00312042" w:rsidRPr="00631C1C" w:rsidRDefault="00312042" w:rsidP="009A58EE">
            <w:pPr>
              <w:pStyle w:val="Normal-pool-Table"/>
              <w:rPr>
                <w:szCs w:val="18"/>
              </w:rPr>
            </w:pPr>
            <w:r w:rsidRPr="00631C1C">
              <w:rPr>
                <w:szCs w:val="18"/>
              </w:rPr>
              <w:t>61</w:t>
            </w:r>
          </w:p>
        </w:tc>
        <w:tc>
          <w:tcPr>
            <w:tcW w:w="2573" w:type="dxa"/>
            <w:tcBorders>
              <w:top w:val="nil"/>
              <w:left w:val="nil"/>
              <w:bottom w:val="single" w:sz="4" w:space="0" w:color="auto"/>
              <w:right w:val="single" w:sz="4" w:space="0" w:color="auto"/>
            </w:tcBorders>
            <w:noWrap/>
            <w:hideMark/>
          </w:tcPr>
          <w:p w14:paraId="5A8DF141" w14:textId="77777777" w:rsidR="00312042" w:rsidRPr="00631C1C" w:rsidRDefault="00312042" w:rsidP="009A58EE">
            <w:pPr>
              <w:pStyle w:val="Normal-pool-Table"/>
              <w:rPr>
                <w:szCs w:val="18"/>
              </w:rPr>
            </w:pPr>
            <w:r w:rsidRPr="00631C1C">
              <w:rPr>
                <w:szCs w:val="18"/>
              </w:rPr>
              <w:t>Lebanon</w:t>
            </w:r>
          </w:p>
        </w:tc>
        <w:tc>
          <w:tcPr>
            <w:tcW w:w="1400" w:type="dxa"/>
            <w:tcBorders>
              <w:top w:val="nil"/>
              <w:left w:val="nil"/>
              <w:bottom w:val="single" w:sz="4" w:space="0" w:color="auto"/>
              <w:right w:val="single" w:sz="4" w:space="0" w:color="auto"/>
            </w:tcBorders>
            <w:noWrap/>
            <w:hideMark/>
          </w:tcPr>
          <w:p w14:paraId="126D3145" w14:textId="79AB8DE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022</w:t>
            </w:r>
          </w:p>
        </w:tc>
        <w:tc>
          <w:tcPr>
            <w:tcW w:w="1073" w:type="dxa"/>
            <w:tcBorders>
              <w:top w:val="nil"/>
              <w:left w:val="nil"/>
              <w:bottom w:val="single" w:sz="4" w:space="0" w:color="auto"/>
              <w:right w:val="single" w:sz="4" w:space="0" w:color="auto"/>
            </w:tcBorders>
            <w:noWrap/>
            <w:hideMark/>
          </w:tcPr>
          <w:p w14:paraId="0207D1B4" w14:textId="456F817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0222</w:t>
            </w:r>
          </w:p>
        </w:tc>
        <w:tc>
          <w:tcPr>
            <w:tcW w:w="1293" w:type="dxa"/>
            <w:tcBorders>
              <w:top w:val="nil"/>
              <w:left w:val="nil"/>
              <w:bottom w:val="single" w:sz="4" w:space="0" w:color="auto"/>
              <w:right w:val="single" w:sz="4" w:space="0" w:color="auto"/>
            </w:tcBorders>
            <w:noWrap/>
            <w:hideMark/>
          </w:tcPr>
          <w:p w14:paraId="01048B42" w14:textId="77777777" w:rsidR="00312042" w:rsidRPr="00631C1C" w:rsidRDefault="00312042" w:rsidP="009A58EE">
            <w:pPr>
              <w:pStyle w:val="Normal-pool-Table"/>
              <w:jc w:val="right"/>
              <w:rPr>
                <w:szCs w:val="18"/>
              </w:rPr>
            </w:pPr>
            <w:r w:rsidRPr="00631C1C">
              <w:rPr>
                <w:szCs w:val="18"/>
              </w:rPr>
              <w:t>685</w:t>
            </w:r>
          </w:p>
        </w:tc>
        <w:tc>
          <w:tcPr>
            <w:tcW w:w="1293" w:type="dxa"/>
            <w:tcBorders>
              <w:top w:val="nil"/>
              <w:left w:val="nil"/>
              <w:bottom w:val="single" w:sz="4" w:space="0" w:color="auto"/>
              <w:right w:val="single" w:sz="4" w:space="0" w:color="auto"/>
            </w:tcBorders>
            <w:noWrap/>
            <w:hideMark/>
          </w:tcPr>
          <w:p w14:paraId="265F248B" w14:textId="77777777" w:rsidR="00312042" w:rsidRPr="00631C1C" w:rsidRDefault="00312042" w:rsidP="009A58EE">
            <w:pPr>
              <w:pStyle w:val="Normal-pool-Table"/>
              <w:jc w:val="right"/>
              <w:rPr>
                <w:szCs w:val="18"/>
              </w:rPr>
            </w:pPr>
            <w:r w:rsidRPr="00631C1C">
              <w:rPr>
                <w:szCs w:val="18"/>
              </w:rPr>
              <w:t>904</w:t>
            </w:r>
          </w:p>
        </w:tc>
        <w:tc>
          <w:tcPr>
            <w:tcW w:w="1313" w:type="dxa"/>
            <w:tcBorders>
              <w:top w:val="nil"/>
              <w:left w:val="nil"/>
              <w:bottom w:val="single" w:sz="4" w:space="0" w:color="auto"/>
              <w:right w:val="single" w:sz="4" w:space="0" w:color="auto"/>
            </w:tcBorders>
            <w:noWrap/>
            <w:hideMark/>
          </w:tcPr>
          <w:p w14:paraId="2B09B07F" w14:textId="77777777" w:rsidR="00312042" w:rsidRPr="00631C1C" w:rsidRDefault="00312042" w:rsidP="009A58EE">
            <w:pPr>
              <w:pStyle w:val="Normal-pool-Table"/>
              <w:jc w:val="right"/>
              <w:rPr>
                <w:szCs w:val="18"/>
              </w:rPr>
            </w:pPr>
            <w:r w:rsidRPr="00631C1C">
              <w:rPr>
                <w:szCs w:val="18"/>
              </w:rPr>
              <w:t>1 588</w:t>
            </w:r>
          </w:p>
        </w:tc>
      </w:tr>
      <w:tr w:rsidR="00F234CD" w:rsidRPr="00631C1C" w14:paraId="493B61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0D01AD" w14:textId="77777777" w:rsidR="00312042" w:rsidRPr="00631C1C" w:rsidRDefault="00312042" w:rsidP="009A58EE">
            <w:pPr>
              <w:pStyle w:val="Normal-pool-Table"/>
              <w:rPr>
                <w:szCs w:val="18"/>
              </w:rPr>
            </w:pPr>
            <w:r w:rsidRPr="00631C1C">
              <w:rPr>
                <w:szCs w:val="18"/>
              </w:rPr>
              <w:t>62</w:t>
            </w:r>
          </w:p>
        </w:tc>
        <w:tc>
          <w:tcPr>
            <w:tcW w:w="2573" w:type="dxa"/>
            <w:tcBorders>
              <w:top w:val="nil"/>
              <w:left w:val="nil"/>
              <w:bottom w:val="single" w:sz="4" w:space="0" w:color="auto"/>
              <w:right w:val="single" w:sz="4" w:space="0" w:color="auto"/>
            </w:tcBorders>
            <w:noWrap/>
            <w:hideMark/>
          </w:tcPr>
          <w:p w14:paraId="55062FF0" w14:textId="77777777" w:rsidR="00312042" w:rsidRPr="00631C1C" w:rsidRDefault="00312042" w:rsidP="009A58EE">
            <w:pPr>
              <w:pStyle w:val="Normal-pool-Table"/>
              <w:rPr>
                <w:szCs w:val="18"/>
              </w:rPr>
            </w:pPr>
            <w:r w:rsidRPr="00631C1C">
              <w:rPr>
                <w:szCs w:val="18"/>
              </w:rPr>
              <w:t>Maldives</w:t>
            </w:r>
          </w:p>
        </w:tc>
        <w:tc>
          <w:tcPr>
            <w:tcW w:w="1400" w:type="dxa"/>
            <w:tcBorders>
              <w:top w:val="nil"/>
              <w:left w:val="nil"/>
              <w:bottom w:val="single" w:sz="4" w:space="0" w:color="auto"/>
              <w:right w:val="single" w:sz="4" w:space="0" w:color="auto"/>
            </w:tcBorders>
            <w:noWrap/>
            <w:hideMark/>
          </w:tcPr>
          <w:p w14:paraId="6969E393" w14:textId="61C705C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1E4C72FE" w14:textId="2B348E3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E4460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15F468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F213D59" w14:textId="77777777" w:rsidR="00312042" w:rsidRPr="00631C1C" w:rsidRDefault="00312042" w:rsidP="009A58EE">
            <w:pPr>
              <w:pStyle w:val="Normal-pool-Table"/>
              <w:jc w:val="right"/>
              <w:rPr>
                <w:szCs w:val="18"/>
              </w:rPr>
            </w:pPr>
            <w:r w:rsidRPr="00631C1C">
              <w:rPr>
                <w:szCs w:val="18"/>
              </w:rPr>
              <w:t>715</w:t>
            </w:r>
          </w:p>
        </w:tc>
      </w:tr>
      <w:tr w:rsidR="00F234CD" w:rsidRPr="00631C1C" w14:paraId="55A233D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6234FCA" w14:textId="77777777" w:rsidR="00312042" w:rsidRPr="00631C1C" w:rsidRDefault="00312042" w:rsidP="009A58EE">
            <w:pPr>
              <w:pStyle w:val="Normal-pool-Table"/>
              <w:rPr>
                <w:szCs w:val="18"/>
              </w:rPr>
            </w:pPr>
            <w:r w:rsidRPr="00631C1C">
              <w:rPr>
                <w:szCs w:val="18"/>
              </w:rPr>
              <w:t>63</w:t>
            </w:r>
          </w:p>
        </w:tc>
        <w:tc>
          <w:tcPr>
            <w:tcW w:w="2573" w:type="dxa"/>
            <w:tcBorders>
              <w:top w:val="nil"/>
              <w:left w:val="nil"/>
              <w:bottom w:val="single" w:sz="4" w:space="0" w:color="auto"/>
              <w:right w:val="single" w:sz="4" w:space="0" w:color="auto"/>
            </w:tcBorders>
            <w:noWrap/>
            <w:hideMark/>
          </w:tcPr>
          <w:p w14:paraId="13B89DDA" w14:textId="77777777" w:rsidR="00312042" w:rsidRPr="00631C1C" w:rsidRDefault="00312042" w:rsidP="009A58EE">
            <w:pPr>
              <w:pStyle w:val="Normal-pool-Table"/>
              <w:rPr>
                <w:szCs w:val="18"/>
              </w:rPr>
            </w:pPr>
            <w:r w:rsidRPr="00631C1C">
              <w:rPr>
                <w:szCs w:val="18"/>
              </w:rPr>
              <w:t>Marshall Islands</w:t>
            </w:r>
          </w:p>
        </w:tc>
        <w:tc>
          <w:tcPr>
            <w:tcW w:w="1400" w:type="dxa"/>
            <w:tcBorders>
              <w:top w:val="nil"/>
              <w:left w:val="nil"/>
              <w:bottom w:val="single" w:sz="4" w:space="0" w:color="auto"/>
              <w:right w:val="single" w:sz="4" w:space="0" w:color="auto"/>
            </w:tcBorders>
            <w:noWrap/>
            <w:hideMark/>
          </w:tcPr>
          <w:p w14:paraId="2C8C60C7" w14:textId="1A3F8F7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0698F0E" w14:textId="136ED13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CA1E0FC"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940CF4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65DC02D" w14:textId="77777777" w:rsidR="00312042" w:rsidRPr="00631C1C" w:rsidRDefault="00312042" w:rsidP="009A58EE">
            <w:pPr>
              <w:pStyle w:val="Normal-pool-Table"/>
              <w:jc w:val="right"/>
              <w:rPr>
                <w:szCs w:val="18"/>
              </w:rPr>
            </w:pPr>
            <w:r w:rsidRPr="00631C1C">
              <w:rPr>
                <w:szCs w:val="18"/>
              </w:rPr>
              <w:t>715</w:t>
            </w:r>
          </w:p>
        </w:tc>
      </w:tr>
      <w:tr w:rsidR="00F234CD" w:rsidRPr="00631C1C" w14:paraId="143D5E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ABD9D5" w14:textId="77777777" w:rsidR="00312042" w:rsidRPr="00631C1C" w:rsidRDefault="00312042" w:rsidP="009A58EE">
            <w:pPr>
              <w:pStyle w:val="Normal-pool-Table"/>
              <w:rPr>
                <w:szCs w:val="18"/>
              </w:rPr>
            </w:pPr>
            <w:r w:rsidRPr="00631C1C">
              <w:rPr>
                <w:szCs w:val="18"/>
              </w:rPr>
              <w:t>64</w:t>
            </w:r>
          </w:p>
        </w:tc>
        <w:tc>
          <w:tcPr>
            <w:tcW w:w="2573" w:type="dxa"/>
            <w:tcBorders>
              <w:top w:val="nil"/>
              <w:left w:val="nil"/>
              <w:bottom w:val="single" w:sz="4" w:space="0" w:color="auto"/>
              <w:right w:val="single" w:sz="4" w:space="0" w:color="auto"/>
            </w:tcBorders>
            <w:noWrap/>
            <w:hideMark/>
          </w:tcPr>
          <w:p w14:paraId="3DD09D97" w14:textId="77777777" w:rsidR="00312042" w:rsidRPr="00631C1C" w:rsidRDefault="00312042" w:rsidP="009A58EE">
            <w:pPr>
              <w:pStyle w:val="Normal-pool-Table"/>
              <w:rPr>
                <w:szCs w:val="18"/>
              </w:rPr>
            </w:pPr>
            <w:r w:rsidRPr="00631C1C">
              <w:rPr>
                <w:szCs w:val="18"/>
              </w:rPr>
              <w:t>Mongolia</w:t>
            </w:r>
          </w:p>
        </w:tc>
        <w:tc>
          <w:tcPr>
            <w:tcW w:w="1400" w:type="dxa"/>
            <w:tcBorders>
              <w:top w:val="nil"/>
              <w:left w:val="nil"/>
              <w:bottom w:val="single" w:sz="4" w:space="0" w:color="auto"/>
              <w:right w:val="single" w:sz="4" w:space="0" w:color="auto"/>
            </w:tcBorders>
            <w:noWrap/>
            <w:hideMark/>
          </w:tcPr>
          <w:p w14:paraId="073A8233" w14:textId="1D5E26A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6AA197EC" w14:textId="3FFD49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44E17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2F49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CC59DA4" w14:textId="77777777" w:rsidR="00312042" w:rsidRPr="00631C1C" w:rsidRDefault="00312042" w:rsidP="009A58EE">
            <w:pPr>
              <w:pStyle w:val="Normal-pool-Table"/>
              <w:jc w:val="right"/>
              <w:rPr>
                <w:szCs w:val="18"/>
              </w:rPr>
            </w:pPr>
            <w:r w:rsidRPr="00631C1C">
              <w:rPr>
                <w:szCs w:val="18"/>
              </w:rPr>
              <w:t>715</w:t>
            </w:r>
          </w:p>
        </w:tc>
      </w:tr>
      <w:tr w:rsidR="00F234CD" w:rsidRPr="00631C1C" w14:paraId="0067CF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5818B" w14:textId="77777777" w:rsidR="00312042" w:rsidRPr="00631C1C" w:rsidRDefault="00312042" w:rsidP="009A58EE">
            <w:pPr>
              <w:pStyle w:val="Normal-pool-Table"/>
              <w:rPr>
                <w:szCs w:val="18"/>
              </w:rPr>
            </w:pPr>
            <w:r w:rsidRPr="00631C1C">
              <w:rPr>
                <w:szCs w:val="18"/>
              </w:rPr>
              <w:t>65</w:t>
            </w:r>
          </w:p>
        </w:tc>
        <w:tc>
          <w:tcPr>
            <w:tcW w:w="2573" w:type="dxa"/>
            <w:tcBorders>
              <w:top w:val="nil"/>
              <w:left w:val="nil"/>
              <w:bottom w:val="single" w:sz="4" w:space="0" w:color="auto"/>
              <w:right w:val="single" w:sz="4" w:space="0" w:color="auto"/>
            </w:tcBorders>
            <w:noWrap/>
            <w:hideMark/>
          </w:tcPr>
          <w:p w14:paraId="7E27668B" w14:textId="77777777" w:rsidR="00312042" w:rsidRPr="00631C1C" w:rsidRDefault="00312042" w:rsidP="009A58EE">
            <w:pPr>
              <w:pStyle w:val="Normal-pool-Table"/>
              <w:rPr>
                <w:szCs w:val="18"/>
              </w:rPr>
            </w:pPr>
            <w:r w:rsidRPr="00631C1C">
              <w:rPr>
                <w:szCs w:val="18"/>
              </w:rPr>
              <w:t>Oman</w:t>
            </w:r>
          </w:p>
        </w:tc>
        <w:tc>
          <w:tcPr>
            <w:tcW w:w="1400" w:type="dxa"/>
            <w:tcBorders>
              <w:top w:val="nil"/>
              <w:left w:val="nil"/>
              <w:bottom w:val="single" w:sz="4" w:space="0" w:color="auto"/>
              <w:right w:val="single" w:sz="4" w:space="0" w:color="auto"/>
            </w:tcBorders>
            <w:noWrap/>
            <w:hideMark/>
          </w:tcPr>
          <w:p w14:paraId="4895D36A" w14:textId="730250D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115</w:t>
            </w:r>
          </w:p>
        </w:tc>
        <w:tc>
          <w:tcPr>
            <w:tcW w:w="1073" w:type="dxa"/>
            <w:tcBorders>
              <w:top w:val="nil"/>
              <w:left w:val="nil"/>
              <w:bottom w:val="single" w:sz="4" w:space="0" w:color="auto"/>
              <w:right w:val="single" w:sz="4" w:space="0" w:color="auto"/>
            </w:tcBorders>
            <w:noWrap/>
            <w:hideMark/>
          </w:tcPr>
          <w:p w14:paraId="36DC5928" w14:textId="3AE4340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1161</w:t>
            </w:r>
          </w:p>
        </w:tc>
        <w:tc>
          <w:tcPr>
            <w:tcW w:w="1293" w:type="dxa"/>
            <w:tcBorders>
              <w:top w:val="nil"/>
              <w:left w:val="nil"/>
              <w:bottom w:val="single" w:sz="4" w:space="0" w:color="auto"/>
              <w:right w:val="single" w:sz="4" w:space="0" w:color="auto"/>
            </w:tcBorders>
            <w:noWrap/>
            <w:hideMark/>
          </w:tcPr>
          <w:p w14:paraId="3E553098" w14:textId="77777777" w:rsidR="00312042" w:rsidRPr="00631C1C" w:rsidRDefault="00312042" w:rsidP="009A58EE">
            <w:pPr>
              <w:pStyle w:val="Normal-pool-Table"/>
              <w:jc w:val="right"/>
              <w:rPr>
                <w:szCs w:val="18"/>
              </w:rPr>
            </w:pPr>
            <w:r w:rsidRPr="00631C1C">
              <w:rPr>
                <w:szCs w:val="18"/>
              </w:rPr>
              <w:t>3 579</w:t>
            </w:r>
          </w:p>
        </w:tc>
        <w:tc>
          <w:tcPr>
            <w:tcW w:w="1293" w:type="dxa"/>
            <w:tcBorders>
              <w:top w:val="nil"/>
              <w:left w:val="nil"/>
              <w:bottom w:val="single" w:sz="4" w:space="0" w:color="auto"/>
              <w:right w:val="single" w:sz="4" w:space="0" w:color="auto"/>
            </w:tcBorders>
            <w:noWrap/>
            <w:hideMark/>
          </w:tcPr>
          <w:p w14:paraId="6536019F" w14:textId="77777777" w:rsidR="00312042" w:rsidRPr="00631C1C" w:rsidRDefault="00312042" w:rsidP="009A58EE">
            <w:pPr>
              <w:pStyle w:val="Normal-pool-Table"/>
              <w:jc w:val="right"/>
              <w:rPr>
                <w:szCs w:val="18"/>
              </w:rPr>
            </w:pPr>
            <w:r w:rsidRPr="00631C1C">
              <w:rPr>
                <w:szCs w:val="18"/>
              </w:rPr>
              <w:t>4 723</w:t>
            </w:r>
          </w:p>
        </w:tc>
        <w:tc>
          <w:tcPr>
            <w:tcW w:w="1313" w:type="dxa"/>
            <w:tcBorders>
              <w:top w:val="nil"/>
              <w:left w:val="nil"/>
              <w:bottom w:val="single" w:sz="4" w:space="0" w:color="auto"/>
              <w:right w:val="single" w:sz="4" w:space="0" w:color="auto"/>
            </w:tcBorders>
            <w:noWrap/>
            <w:hideMark/>
          </w:tcPr>
          <w:p w14:paraId="63E918C3" w14:textId="77777777" w:rsidR="00312042" w:rsidRPr="00631C1C" w:rsidRDefault="00312042" w:rsidP="009A58EE">
            <w:pPr>
              <w:pStyle w:val="Normal-pool-Table"/>
              <w:jc w:val="right"/>
              <w:rPr>
                <w:szCs w:val="18"/>
              </w:rPr>
            </w:pPr>
            <w:r w:rsidRPr="00631C1C">
              <w:rPr>
                <w:szCs w:val="18"/>
              </w:rPr>
              <w:t>8 302</w:t>
            </w:r>
          </w:p>
        </w:tc>
      </w:tr>
      <w:tr w:rsidR="00F234CD" w:rsidRPr="00631C1C" w14:paraId="4D4A15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83BF20" w14:textId="77777777" w:rsidR="00312042" w:rsidRPr="00631C1C" w:rsidRDefault="00312042" w:rsidP="009A58EE">
            <w:pPr>
              <w:pStyle w:val="Normal-pool-Table"/>
              <w:rPr>
                <w:szCs w:val="18"/>
              </w:rPr>
            </w:pPr>
            <w:r w:rsidRPr="00631C1C">
              <w:rPr>
                <w:szCs w:val="18"/>
              </w:rPr>
              <w:t>66</w:t>
            </w:r>
          </w:p>
        </w:tc>
        <w:tc>
          <w:tcPr>
            <w:tcW w:w="2573" w:type="dxa"/>
            <w:tcBorders>
              <w:top w:val="nil"/>
              <w:left w:val="nil"/>
              <w:bottom w:val="single" w:sz="4" w:space="0" w:color="auto"/>
              <w:right w:val="single" w:sz="4" w:space="0" w:color="auto"/>
            </w:tcBorders>
            <w:noWrap/>
            <w:hideMark/>
          </w:tcPr>
          <w:p w14:paraId="3E47F6EF" w14:textId="77777777" w:rsidR="00312042" w:rsidRPr="00631C1C" w:rsidRDefault="00312042" w:rsidP="009A58EE">
            <w:pPr>
              <w:pStyle w:val="Normal-pool-Table"/>
              <w:rPr>
                <w:szCs w:val="18"/>
              </w:rPr>
            </w:pPr>
            <w:r w:rsidRPr="00631C1C">
              <w:rPr>
                <w:szCs w:val="18"/>
              </w:rPr>
              <w:t>Pakistan</w:t>
            </w:r>
          </w:p>
        </w:tc>
        <w:tc>
          <w:tcPr>
            <w:tcW w:w="1400" w:type="dxa"/>
            <w:tcBorders>
              <w:top w:val="nil"/>
              <w:left w:val="nil"/>
              <w:bottom w:val="single" w:sz="4" w:space="0" w:color="auto"/>
              <w:right w:val="single" w:sz="4" w:space="0" w:color="auto"/>
            </w:tcBorders>
            <w:noWrap/>
            <w:hideMark/>
          </w:tcPr>
          <w:p w14:paraId="69D8FB8C" w14:textId="5FABD36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123</w:t>
            </w:r>
          </w:p>
        </w:tc>
        <w:tc>
          <w:tcPr>
            <w:tcW w:w="1073" w:type="dxa"/>
            <w:tcBorders>
              <w:top w:val="nil"/>
              <w:left w:val="nil"/>
              <w:bottom w:val="single" w:sz="4" w:space="0" w:color="auto"/>
              <w:right w:val="single" w:sz="4" w:space="0" w:color="auto"/>
            </w:tcBorders>
            <w:noWrap/>
            <w:hideMark/>
          </w:tcPr>
          <w:p w14:paraId="44372A10" w14:textId="5DDA8D8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1241</w:t>
            </w:r>
          </w:p>
        </w:tc>
        <w:tc>
          <w:tcPr>
            <w:tcW w:w="1293" w:type="dxa"/>
            <w:tcBorders>
              <w:top w:val="nil"/>
              <w:left w:val="nil"/>
              <w:bottom w:val="single" w:sz="4" w:space="0" w:color="auto"/>
              <w:right w:val="single" w:sz="4" w:space="0" w:color="auto"/>
            </w:tcBorders>
            <w:noWrap/>
            <w:hideMark/>
          </w:tcPr>
          <w:p w14:paraId="1355797D" w14:textId="77777777" w:rsidR="00312042" w:rsidRPr="00631C1C" w:rsidRDefault="00312042" w:rsidP="009A58EE">
            <w:pPr>
              <w:pStyle w:val="Normal-pool-Table"/>
              <w:jc w:val="right"/>
              <w:rPr>
                <w:szCs w:val="18"/>
              </w:rPr>
            </w:pPr>
            <w:r w:rsidRPr="00631C1C">
              <w:rPr>
                <w:szCs w:val="18"/>
              </w:rPr>
              <w:t>3 828</w:t>
            </w:r>
          </w:p>
        </w:tc>
        <w:tc>
          <w:tcPr>
            <w:tcW w:w="1293" w:type="dxa"/>
            <w:tcBorders>
              <w:top w:val="nil"/>
              <w:left w:val="nil"/>
              <w:bottom w:val="single" w:sz="4" w:space="0" w:color="auto"/>
              <w:right w:val="single" w:sz="4" w:space="0" w:color="auto"/>
            </w:tcBorders>
            <w:noWrap/>
            <w:hideMark/>
          </w:tcPr>
          <w:p w14:paraId="51226370" w14:textId="77777777" w:rsidR="00312042" w:rsidRPr="00631C1C" w:rsidRDefault="00312042" w:rsidP="009A58EE">
            <w:pPr>
              <w:pStyle w:val="Normal-pool-Table"/>
              <w:jc w:val="right"/>
              <w:rPr>
                <w:szCs w:val="18"/>
              </w:rPr>
            </w:pPr>
            <w:r w:rsidRPr="00631C1C">
              <w:rPr>
                <w:szCs w:val="18"/>
              </w:rPr>
              <w:t>5 052</w:t>
            </w:r>
          </w:p>
        </w:tc>
        <w:tc>
          <w:tcPr>
            <w:tcW w:w="1313" w:type="dxa"/>
            <w:tcBorders>
              <w:top w:val="nil"/>
              <w:left w:val="nil"/>
              <w:bottom w:val="single" w:sz="4" w:space="0" w:color="auto"/>
              <w:right w:val="single" w:sz="4" w:space="0" w:color="auto"/>
            </w:tcBorders>
            <w:noWrap/>
            <w:hideMark/>
          </w:tcPr>
          <w:p w14:paraId="2F4D8DEA" w14:textId="77777777" w:rsidR="00312042" w:rsidRPr="00631C1C" w:rsidRDefault="00312042" w:rsidP="009A58EE">
            <w:pPr>
              <w:pStyle w:val="Normal-pool-Table"/>
              <w:jc w:val="right"/>
              <w:rPr>
                <w:szCs w:val="18"/>
              </w:rPr>
            </w:pPr>
            <w:r w:rsidRPr="00631C1C">
              <w:rPr>
                <w:szCs w:val="18"/>
              </w:rPr>
              <w:t>8 880</w:t>
            </w:r>
          </w:p>
        </w:tc>
      </w:tr>
      <w:tr w:rsidR="00F234CD" w:rsidRPr="00631C1C" w14:paraId="4DAF79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31A5D2" w14:textId="77777777" w:rsidR="00312042" w:rsidRPr="00631C1C" w:rsidRDefault="00312042" w:rsidP="009A58EE">
            <w:pPr>
              <w:pStyle w:val="Normal-pool-Table"/>
              <w:rPr>
                <w:szCs w:val="18"/>
              </w:rPr>
            </w:pPr>
            <w:r w:rsidRPr="00631C1C">
              <w:rPr>
                <w:szCs w:val="18"/>
              </w:rPr>
              <w:t>67</w:t>
            </w:r>
          </w:p>
        </w:tc>
        <w:tc>
          <w:tcPr>
            <w:tcW w:w="2573" w:type="dxa"/>
            <w:tcBorders>
              <w:top w:val="nil"/>
              <w:left w:val="nil"/>
              <w:bottom w:val="single" w:sz="4" w:space="0" w:color="auto"/>
              <w:right w:val="single" w:sz="4" w:space="0" w:color="auto"/>
            </w:tcBorders>
            <w:noWrap/>
            <w:hideMark/>
          </w:tcPr>
          <w:p w14:paraId="41B323CF" w14:textId="77777777" w:rsidR="00312042" w:rsidRPr="00631C1C" w:rsidRDefault="00312042" w:rsidP="009A58EE">
            <w:pPr>
              <w:pStyle w:val="Normal-pool-Table"/>
              <w:rPr>
                <w:szCs w:val="18"/>
              </w:rPr>
            </w:pPr>
            <w:r w:rsidRPr="00631C1C">
              <w:rPr>
                <w:szCs w:val="18"/>
              </w:rPr>
              <w:t>Palau</w:t>
            </w:r>
          </w:p>
        </w:tc>
        <w:tc>
          <w:tcPr>
            <w:tcW w:w="1400" w:type="dxa"/>
            <w:tcBorders>
              <w:top w:val="nil"/>
              <w:left w:val="nil"/>
              <w:bottom w:val="single" w:sz="4" w:space="0" w:color="auto"/>
              <w:right w:val="single" w:sz="4" w:space="0" w:color="auto"/>
            </w:tcBorders>
            <w:noWrap/>
            <w:hideMark/>
          </w:tcPr>
          <w:p w14:paraId="107190B9" w14:textId="2474763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FC9B87C" w14:textId="22E723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8B75E7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DB0BB8D"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017D768" w14:textId="77777777" w:rsidR="00312042" w:rsidRPr="00631C1C" w:rsidRDefault="00312042" w:rsidP="009A58EE">
            <w:pPr>
              <w:pStyle w:val="Normal-pool-Table"/>
              <w:jc w:val="right"/>
              <w:rPr>
                <w:szCs w:val="18"/>
              </w:rPr>
            </w:pPr>
            <w:r w:rsidRPr="00631C1C">
              <w:rPr>
                <w:szCs w:val="18"/>
              </w:rPr>
              <w:t>715</w:t>
            </w:r>
          </w:p>
        </w:tc>
      </w:tr>
      <w:tr w:rsidR="00F234CD" w:rsidRPr="00631C1C" w14:paraId="56AB3C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DC24A9" w14:textId="77777777" w:rsidR="00312042" w:rsidRPr="00631C1C" w:rsidRDefault="00312042" w:rsidP="009A58EE">
            <w:pPr>
              <w:pStyle w:val="Normal-pool-Table"/>
              <w:rPr>
                <w:szCs w:val="18"/>
              </w:rPr>
            </w:pPr>
            <w:r w:rsidRPr="00631C1C">
              <w:rPr>
                <w:szCs w:val="18"/>
              </w:rPr>
              <w:t>68</w:t>
            </w:r>
          </w:p>
        </w:tc>
        <w:tc>
          <w:tcPr>
            <w:tcW w:w="2573" w:type="dxa"/>
            <w:tcBorders>
              <w:top w:val="nil"/>
              <w:left w:val="nil"/>
              <w:bottom w:val="single" w:sz="4" w:space="0" w:color="auto"/>
              <w:right w:val="single" w:sz="4" w:space="0" w:color="auto"/>
            </w:tcBorders>
            <w:noWrap/>
            <w:hideMark/>
          </w:tcPr>
          <w:p w14:paraId="1B774B6D" w14:textId="77777777" w:rsidR="00312042" w:rsidRPr="00631C1C" w:rsidRDefault="00312042" w:rsidP="009A58EE">
            <w:pPr>
              <w:pStyle w:val="Normal-pool-Table"/>
              <w:rPr>
                <w:szCs w:val="18"/>
              </w:rPr>
            </w:pPr>
            <w:r w:rsidRPr="00631C1C">
              <w:rPr>
                <w:szCs w:val="18"/>
              </w:rPr>
              <w:t>Philippines</w:t>
            </w:r>
          </w:p>
        </w:tc>
        <w:tc>
          <w:tcPr>
            <w:tcW w:w="1400" w:type="dxa"/>
            <w:tcBorders>
              <w:top w:val="nil"/>
              <w:left w:val="nil"/>
              <w:bottom w:val="single" w:sz="4" w:space="0" w:color="auto"/>
              <w:right w:val="single" w:sz="4" w:space="0" w:color="auto"/>
            </w:tcBorders>
            <w:noWrap/>
            <w:hideMark/>
          </w:tcPr>
          <w:p w14:paraId="4A955AE1" w14:textId="183E168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198</w:t>
            </w:r>
          </w:p>
        </w:tc>
        <w:tc>
          <w:tcPr>
            <w:tcW w:w="1073" w:type="dxa"/>
            <w:tcBorders>
              <w:top w:val="nil"/>
              <w:left w:val="nil"/>
              <w:bottom w:val="single" w:sz="4" w:space="0" w:color="auto"/>
              <w:right w:val="single" w:sz="4" w:space="0" w:color="auto"/>
            </w:tcBorders>
            <w:noWrap/>
            <w:hideMark/>
          </w:tcPr>
          <w:p w14:paraId="5ECC521D" w14:textId="20F1DE1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1998</w:t>
            </w:r>
          </w:p>
        </w:tc>
        <w:tc>
          <w:tcPr>
            <w:tcW w:w="1293" w:type="dxa"/>
            <w:tcBorders>
              <w:top w:val="nil"/>
              <w:left w:val="nil"/>
              <w:bottom w:val="single" w:sz="4" w:space="0" w:color="auto"/>
              <w:right w:val="single" w:sz="4" w:space="0" w:color="auto"/>
            </w:tcBorders>
            <w:noWrap/>
            <w:hideMark/>
          </w:tcPr>
          <w:p w14:paraId="5F76FD59" w14:textId="77777777" w:rsidR="00312042" w:rsidRPr="00631C1C" w:rsidRDefault="00312042" w:rsidP="009A58EE">
            <w:pPr>
              <w:pStyle w:val="Normal-pool-Table"/>
              <w:jc w:val="right"/>
              <w:rPr>
                <w:szCs w:val="18"/>
              </w:rPr>
            </w:pPr>
            <w:r w:rsidRPr="00631C1C">
              <w:rPr>
                <w:szCs w:val="18"/>
              </w:rPr>
              <w:t>6 162</w:t>
            </w:r>
          </w:p>
        </w:tc>
        <w:tc>
          <w:tcPr>
            <w:tcW w:w="1293" w:type="dxa"/>
            <w:tcBorders>
              <w:top w:val="nil"/>
              <w:left w:val="nil"/>
              <w:bottom w:val="single" w:sz="4" w:space="0" w:color="auto"/>
              <w:right w:val="single" w:sz="4" w:space="0" w:color="auto"/>
            </w:tcBorders>
            <w:noWrap/>
            <w:hideMark/>
          </w:tcPr>
          <w:p w14:paraId="72E21EDD" w14:textId="77777777" w:rsidR="00312042" w:rsidRPr="00631C1C" w:rsidRDefault="00312042" w:rsidP="009A58EE">
            <w:pPr>
              <w:pStyle w:val="Normal-pool-Table"/>
              <w:jc w:val="right"/>
              <w:rPr>
                <w:szCs w:val="18"/>
              </w:rPr>
            </w:pPr>
            <w:r w:rsidRPr="00631C1C">
              <w:rPr>
                <w:szCs w:val="18"/>
              </w:rPr>
              <w:t>8 132</w:t>
            </w:r>
          </w:p>
        </w:tc>
        <w:tc>
          <w:tcPr>
            <w:tcW w:w="1313" w:type="dxa"/>
            <w:tcBorders>
              <w:top w:val="nil"/>
              <w:left w:val="nil"/>
              <w:bottom w:val="single" w:sz="4" w:space="0" w:color="auto"/>
              <w:right w:val="single" w:sz="4" w:space="0" w:color="auto"/>
            </w:tcBorders>
            <w:noWrap/>
            <w:hideMark/>
          </w:tcPr>
          <w:p w14:paraId="67C6F4D3" w14:textId="77777777" w:rsidR="00312042" w:rsidRPr="00631C1C" w:rsidRDefault="00312042" w:rsidP="009A58EE">
            <w:pPr>
              <w:pStyle w:val="Normal-pool-Table"/>
              <w:jc w:val="right"/>
              <w:rPr>
                <w:szCs w:val="18"/>
              </w:rPr>
            </w:pPr>
            <w:r w:rsidRPr="00631C1C">
              <w:rPr>
                <w:szCs w:val="18"/>
              </w:rPr>
              <w:t>14 294</w:t>
            </w:r>
          </w:p>
        </w:tc>
      </w:tr>
      <w:tr w:rsidR="00F234CD" w:rsidRPr="00631C1C" w14:paraId="463EE04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3A89D" w14:textId="77777777" w:rsidR="00312042" w:rsidRPr="00631C1C" w:rsidRDefault="00312042" w:rsidP="009A58EE">
            <w:pPr>
              <w:pStyle w:val="Normal-pool-Table"/>
              <w:rPr>
                <w:szCs w:val="18"/>
              </w:rPr>
            </w:pPr>
            <w:r w:rsidRPr="00631C1C">
              <w:rPr>
                <w:szCs w:val="18"/>
              </w:rPr>
              <w:t>69</w:t>
            </w:r>
          </w:p>
        </w:tc>
        <w:tc>
          <w:tcPr>
            <w:tcW w:w="2573" w:type="dxa"/>
            <w:tcBorders>
              <w:top w:val="nil"/>
              <w:left w:val="nil"/>
              <w:bottom w:val="single" w:sz="4" w:space="0" w:color="auto"/>
              <w:right w:val="single" w:sz="4" w:space="0" w:color="auto"/>
            </w:tcBorders>
            <w:noWrap/>
            <w:hideMark/>
          </w:tcPr>
          <w:p w14:paraId="12D85373" w14:textId="77777777" w:rsidR="00312042" w:rsidRPr="00631C1C" w:rsidRDefault="00312042" w:rsidP="009A58EE">
            <w:pPr>
              <w:pStyle w:val="Normal-pool-Table"/>
              <w:rPr>
                <w:szCs w:val="18"/>
              </w:rPr>
            </w:pPr>
            <w:r w:rsidRPr="00631C1C">
              <w:rPr>
                <w:szCs w:val="18"/>
              </w:rPr>
              <w:t>Qatar</w:t>
            </w:r>
          </w:p>
        </w:tc>
        <w:tc>
          <w:tcPr>
            <w:tcW w:w="1400" w:type="dxa"/>
            <w:tcBorders>
              <w:top w:val="nil"/>
              <w:left w:val="nil"/>
              <w:bottom w:val="single" w:sz="4" w:space="0" w:color="auto"/>
              <w:right w:val="single" w:sz="4" w:space="0" w:color="auto"/>
            </w:tcBorders>
            <w:noWrap/>
            <w:hideMark/>
          </w:tcPr>
          <w:p w14:paraId="1006100A" w14:textId="79E26E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245</w:t>
            </w:r>
          </w:p>
        </w:tc>
        <w:tc>
          <w:tcPr>
            <w:tcW w:w="1073" w:type="dxa"/>
            <w:tcBorders>
              <w:top w:val="nil"/>
              <w:left w:val="nil"/>
              <w:bottom w:val="single" w:sz="4" w:space="0" w:color="auto"/>
              <w:right w:val="single" w:sz="4" w:space="0" w:color="auto"/>
            </w:tcBorders>
            <w:noWrap/>
            <w:hideMark/>
          </w:tcPr>
          <w:p w14:paraId="53A20F05" w14:textId="7EBEA2E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2473</w:t>
            </w:r>
          </w:p>
        </w:tc>
        <w:tc>
          <w:tcPr>
            <w:tcW w:w="1293" w:type="dxa"/>
            <w:tcBorders>
              <w:top w:val="nil"/>
              <w:left w:val="nil"/>
              <w:bottom w:val="single" w:sz="4" w:space="0" w:color="auto"/>
              <w:right w:val="single" w:sz="4" w:space="0" w:color="auto"/>
            </w:tcBorders>
            <w:noWrap/>
            <w:hideMark/>
          </w:tcPr>
          <w:p w14:paraId="0B272649" w14:textId="77777777" w:rsidR="00312042" w:rsidRPr="00631C1C" w:rsidRDefault="00312042" w:rsidP="009A58EE">
            <w:pPr>
              <w:pStyle w:val="Normal-pool-Table"/>
              <w:jc w:val="right"/>
              <w:rPr>
                <w:szCs w:val="18"/>
              </w:rPr>
            </w:pPr>
            <w:r w:rsidRPr="00631C1C">
              <w:rPr>
                <w:szCs w:val="18"/>
              </w:rPr>
              <w:t>7 625</w:t>
            </w:r>
          </w:p>
        </w:tc>
        <w:tc>
          <w:tcPr>
            <w:tcW w:w="1293" w:type="dxa"/>
            <w:tcBorders>
              <w:top w:val="nil"/>
              <w:left w:val="nil"/>
              <w:bottom w:val="single" w:sz="4" w:space="0" w:color="auto"/>
              <w:right w:val="single" w:sz="4" w:space="0" w:color="auto"/>
            </w:tcBorders>
            <w:noWrap/>
            <w:hideMark/>
          </w:tcPr>
          <w:p w14:paraId="77F46E78" w14:textId="77777777" w:rsidR="00312042" w:rsidRPr="00631C1C" w:rsidRDefault="00312042" w:rsidP="009A58EE">
            <w:pPr>
              <w:pStyle w:val="Normal-pool-Table"/>
              <w:jc w:val="right"/>
              <w:rPr>
                <w:szCs w:val="18"/>
              </w:rPr>
            </w:pPr>
            <w:r w:rsidRPr="00631C1C">
              <w:rPr>
                <w:szCs w:val="18"/>
              </w:rPr>
              <w:t>10 063</w:t>
            </w:r>
          </w:p>
        </w:tc>
        <w:tc>
          <w:tcPr>
            <w:tcW w:w="1313" w:type="dxa"/>
            <w:tcBorders>
              <w:top w:val="nil"/>
              <w:left w:val="nil"/>
              <w:bottom w:val="single" w:sz="4" w:space="0" w:color="auto"/>
              <w:right w:val="single" w:sz="4" w:space="0" w:color="auto"/>
            </w:tcBorders>
            <w:noWrap/>
            <w:hideMark/>
          </w:tcPr>
          <w:p w14:paraId="773EFB62" w14:textId="77777777" w:rsidR="00312042" w:rsidRPr="00631C1C" w:rsidRDefault="00312042" w:rsidP="009A58EE">
            <w:pPr>
              <w:pStyle w:val="Normal-pool-Table"/>
              <w:jc w:val="right"/>
              <w:rPr>
                <w:szCs w:val="18"/>
              </w:rPr>
            </w:pPr>
            <w:r w:rsidRPr="00631C1C">
              <w:rPr>
                <w:szCs w:val="18"/>
              </w:rPr>
              <w:t>17 687</w:t>
            </w:r>
          </w:p>
        </w:tc>
      </w:tr>
      <w:tr w:rsidR="00F234CD" w:rsidRPr="00631C1C" w14:paraId="524EDA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2FD3FE" w14:textId="77777777" w:rsidR="00312042" w:rsidRPr="00631C1C" w:rsidRDefault="00312042" w:rsidP="009A58EE">
            <w:pPr>
              <w:pStyle w:val="Normal-pool-Table"/>
              <w:rPr>
                <w:szCs w:val="18"/>
              </w:rPr>
            </w:pPr>
            <w:r w:rsidRPr="00631C1C">
              <w:rPr>
                <w:szCs w:val="18"/>
              </w:rPr>
              <w:t>70</w:t>
            </w:r>
          </w:p>
        </w:tc>
        <w:tc>
          <w:tcPr>
            <w:tcW w:w="2573" w:type="dxa"/>
            <w:tcBorders>
              <w:top w:val="nil"/>
              <w:left w:val="nil"/>
              <w:bottom w:val="single" w:sz="4" w:space="0" w:color="auto"/>
              <w:right w:val="single" w:sz="4" w:space="0" w:color="auto"/>
            </w:tcBorders>
            <w:noWrap/>
            <w:hideMark/>
          </w:tcPr>
          <w:p w14:paraId="46E4B84D" w14:textId="77777777" w:rsidR="00312042" w:rsidRPr="00631C1C" w:rsidRDefault="00312042" w:rsidP="009A58EE">
            <w:pPr>
              <w:pStyle w:val="Normal-pool-Table"/>
              <w:rPr>
                <w:szCs w:val="18"/>
              </w:rPr>
            </w:pPr>
            <w:r w:rsidRPr="00631C1C">
              <w:rPr>
                <w:szCs w:val="18"/>
              </w:rPr>
              <w:t>Republic of Korea</w:t>
            </w:r>
          </w:p>
        </w:tc>
        <w:tc>
          <w:tcPr>
            <w:tcW w:w="1400" w:type="dxa"/>
            <w:tcBorders>
              <w:top w:val="nil"/>
              <w:left w:val="nil"/>
              <w:bottom w:val="single" w:sz="4" w:space="0" w:color="auto"/>
              <w:right w:val="single" w:sz="4" w:space="0" w:color="auto"/>
            </w:tcBorders>
            <w:noWrap/>
            <w:hideMark/>
          </w:tcPr>
          <w:p w14:paraId="4F7F33B8" w14:textId="727C1669"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349</w:t>
            </w:r>
          </w:p>
        </w:tc>
        <w:tc>
          <w:tcPr>
            <w:tcW w:w="1073" w:type="dxa"/>
            <w:tcBorders>
              <w:top w:val="nil"/>
              <w:left w:val="nil"/>
              <w:bottom w:val="single" w:sz="4" w:space="0" w:color="auto"/>
              <w:right w:val="single" w:sz="4" w:space="0" w:color="auto"/>
            </w:tcBorders>
            <w:noWrap/>
            <w:hideMark/>
          </w:tcPr>
          <w:p w14:paraId="5DEFFA33" w14:textId="1D74B7A7"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3709</w:t>
            </w:r>
          </w:p>
        </w:tc>
        <w:tc>
          <w:tcPr>
            <w:tcW w:w="1293" w:type="dxa"/>
            <w:tcBorders>
              <w:top w:val="nil"/>
              <w:left w:val="nil"/>
              <w:bottom w:val="single" w:sz="4" w:space="0" w:color="auto"/>
              <w:right w:val="single" w:sz="4" w:space="0" w:color="auto"/>
            </w:tcBorders>
            <w:noWrap/>
            <w:hideMark/>
          </w:tcPr>
          <w:p w14:paraId="5A5E66FE" w14:textId="77777777" w:rsidR="00312042" w:rsidRPr="00631C1C" w:rsidRDefault="00312042" w:rsidP="009A58EE">
            <w:pPr>
              <w:pStyle w:val="Normal-pool-Table"/>
              <w:jc w:val="right"/>
              <w:rPr>
                <w:szCs w:val="18"/>
              </w:rPr>
            </w:pPr>
            <w:r w:rsidRPr="00631C1C">
              <w:rPr>
                <w:szCs w:val="18"/>
              </w:rPr>
              <w:t>73 102</w:t>
            </w:r>
          </w:p>
        </w:tc>
        <w:tc>
          <w:tcPr>
            <w:tcW w:w="1293" w:type="dxa"/>
            <w:tcBorders>
              <w:top w:val="nil"/>
              <w:left w:val="nil"/>
              <w:bottom w:val="single" w:sz="4" w:space="0" w:color="auto"/>
              <w:right w:val="single" w:sz="4" w:space="0" w:color="auto"/>
            </w:tcBorders>
            <w:noWrap/>
            <w:hideMark/>
          </w:tcPr>
          <w:p w14:paraId="72A210C3" w14:textId="77777777" w:rsidR="00312042" w:rsidRPr="00631C1C" w:rsidRDefault="00312042" w:rsidP="009A58EE">
            <w:pPr>
              <w:pStyle w:val="Normal-pool-Table"/>
              <w:jc w:val="right"/>
              <w:rPr>
                <w:szCs w:val="18"/>
              </w:rPr>
            </w:pPr>
            <w:r w:rsidRPr="00631C1C">
              <w:rPr>
                <w:szCs w:val="18"/>
              </w:rPr>
              <w:t>96 477</w:t>
            </w:r>
          </w:p>
        </w:tc>
        <w:tc>
          <w:tcPr>
            <w:tcW w:w="1313" w:type="dxa"/>
            <w:tcBorders>
              <w:top w:val="nil"/>
              <w:left w:val="nil"/>
              <w:bottom w:val="single" w:sz="4" w:space="0" w:color="auto"/>
              <w:right w:val="single" w:sz="4" w:space="0" w:color="auto"/>
            </w:tcBorders>
            <w:noWrap/>
            <w:hideMark/>
          </w:tcPr>
          <w:p w14:paraId="4E69F7A9" w14:textId="77777777" w:rsidR="00312042" w:rsidRPr="00631C1C" w:rsidRDefault="00312042" w:rsidP="009A58EE">
            <w:pPr>
              <w:pStyle w:val="Normal-pool-Table"/>
              <w:jc w:val="right"/>
              <w:rPr>
                <w:szCs w:val="18"/>
              </w:rPr>
            </w:pPr>
            <w:r w:rsidRPr="00631C1C">
              <w:rPr>
                <w:szCs w:val="18"/>
              </w:rPr>
              <w:t>169 579</w:t>
            </w:r>
          </w:p>
        </w:tc>
      </w:tr>
      <w:tr w:rsidR="00F234CD" w:rsidRPr="00631C1C" w14:paraId="28742E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AEC0" w14:textId="77777777" w:rsidR="00312042" w:rsidRPr="00631C1C" w:rsidRDefault="00312042" w:rsidP="009A58EE">
            <w:pPr>
              <w:pStyle w:val="Normal-pool-Table"/>
              <w:rPr>
                <w:szCs w:val="18"/>
              </w:rPr>
            </w:pPr>
            <w:r w:rsidRPr="00631C1C">
              <w:rPr>
                <w:szCs w:val="18"/>
              </w:rPr>
              <w:t>71</w:t>
            </w:r>
          </w:p>
        </w:tc>
        <w:tc>
          <w:tcPr>
            <w:tcW w:w="2573" w:type="dxa"/>
            <w:tcBorders>
              <w:top w:val="nil"/>
              <w:left w:val="nil"/>
              <w:bottom w:val="single" w:sz="4" w:space="0" w:color="auto"/>
              <w:right w:val="single" w:sz="4" w:space="0" w:color="auto"/>
            </w:tcBorders>
            <w:noWrap/>
            <w:hideMark/>
          </w:tcPr>
          <w:p w14:paraId="1E7EBBAB" w14:textId="77777777" w:rsidR="00312042" w:rsidRPr="00631C1C" w:rsidRDefault="00312042" w:rsidP="009A58EE">
            <w:pPr>
              <w:pStyle w:val="Normal-pool-Table"/>
              <w:rPr>
                <w:szCs w:val="18"/>
              </w:rPr>
            </w:pPr>
            <w:r w:rsidRPr="00631C1C">
              <w:rPr>
                <w:szCs w:val="18"/>
              </w:rPr>
              <w:t>Samoa</w:t>
            </w:r>
          </w:p>
        </w:tc>
        <w:tc>
          <w:tcPr>
            <w:tcW w:w="1400" w:type="dxa"/>
            <w:tcBorders>
              <w:top w:val="nil"/>
              <w:left w:val="nil"/>
              <w:bottom w:val="single" w:sz="4" w:space="0" w:color="auto"/>
              <w:right w:val="single" w:sz="4" w:space="0" w:color="auto"/>
            </w:tcBorders>
            <w:noWrap/>
            <w:hideMark/>
          </w:tcPr>
          <w:p w14:paraId="7EF24045" w14:textId="21B63E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E989D44" w14:textId="67918D8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FD5F97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ED03A2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554920F" w14:textId="77777777" w:rsidR="00312042" w:rsidRPr="00631C1C" w:rsidRDefault="00312042" w:rsidP="009A58EE">
            <w:pPr>
              <w:pStyle w:val="Normal-pool-Table"/>
              <w:jc w:val="right"/>
              <w:rPr>
                <w:szCs w:val="18"/>
              </w:rPr>
            </w:pPr>
            <w:r w:rsidRPr="00631C1C">
              <w:rPr>
                <w:szCs w:val="18"/>
              </w:rPr>
              <w:t>715</w:t>
            </w:r>
          </w:p>
        </w:tc>
      </w:tr>
      <w:tr w:rsidR="00F234CD" w:rsidRPr="00631C1C" w14:paraId="271ABD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326BC5" w14:textId="77777777" w:rsidR="00312042" w:rsidRPr="00631C1C" w:rsidRDefault="00312042" w:rsidP="009A58EE">
            <w:pPr>
              <w:pStyle w:val="Normal-pool-Table"/>
              <w:rPr>
                <w:szCs w:val="18"/>
              </w:rPr>
            </w:pPr>
            <w:r w:rsidRPr="00631C1C">
              <w:rPr>
                <w:szCs w:val="18"/>
              </w:rPr>
              <w:t>72</w:t>
            </w:r>
          </w:p>
        </w:tc>
        <w:tc>
          <w:tcPr>
            <w:tcW w:w="2573" w:type="dxa"/>
            <w:tcBorders>
              <w:top w:val="nil"/>
              <w:left w:val="nil"/>
              <w:bottom w:val="single" w:sz="4" w:space="0" w:color="auto"/>
              <w:right w:val="single" w:sz="4" w:space="0" w:color="auto"/>
            </w:tcBorders>
            <w:noWrap/>
            <w:hideMark/>
          </w:tcPr>
          <w:p w14:paraId="055D2D40" w14:textId="77777777" w:rsidR="00312042" w:rsidRPr="00631C1C" w:rsidRDefault="00312042" w:rsidP="009A58EE">
            <w:pPr>
              <w:pStyle w:val="Normal-pool-Table"/>
              <w:rPr>
                <w:szCs w:val="18"/>
              </w:rPr>
            </w:pPr>
            <w:r w:rsidRPr="00631C1C">
              <w:rPr>
                <w:szCs w:val="18"/>
              </w:rPr>
              <w:t>Saudi Arabia</w:t>
            </w:r>
          </w:p>
        </w:tc>
        <w:tc>
          <w:tcPr>
            <w:tcW w:w="1400" w:type="dxa"/>
            <w:tcBorders>
              <w:top w:val="nil"/>
              <w:left w:val="nil"/>
              <w:bottom w:val="single" w:sz="4" w:space="0" w:color="auto"/>
              <w:right w:val="single" w:sz="4" w:space="0" w:color="auto"/>
            </w:tcBorders>
            <w:noWrap/>
            <w:hideMark/>
          </w:tcPr>
          <w:p w14:paraId="629DAB11" w14:textId="55F089EE"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217</w:t>
            </w:r>
          </w:p>
        </w:tc>
        <w:tc>
          <w:tcPr>
            <w:tcW w:w="1073" w:type="dxa"/>
            <w:tcBorders>
              <w:top w:val="nil"/>
              <w:left w:val="nil"/>
              <w:bottom w:val="single" w:sz="4" w:space="0" w:color="auto"/>
              <w:right w:val="single" w:sz="4" w:space="0" w:color="auto"/>
            </w:tcBorders>
            <w:noWrap/>
            <w:hideMark/>
          </w:tcPr>
          <w:p w14:paraId="55B89B91" w14:textId="07E84748"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2283</w:t>
            </w:r>
          </w:p>
        </w:tc>
        <w:tc>
          <w:tcPr>
            <w:tcW w:w="1293" w:type="dxa"/>
            <w:tcBorders>
              <w:top w:val="nil"/>
              <w:left w:val="nil"/>
              <w:bottom w:val="single" w:sz="4" w:space="0" w:color="auto"/>
              <w:right w:val="single" w:sz="4" w:space="0" w:color="auto"/>
            </w:tcBorders>
            <w:noWrap/>
            <w:hideMark/>
          </w:tcPr>
          <w:p w14:paraId="2634F533" w14:textId="77777777" w:rsidR="00312042" w:rsidRPr="00631C1C" w:rsidRDefault="00312042" w:rsidP="009A58EE">
            <w:pPr>
              <w:pStyle w:val="Normal-pool-Table"/>
              <w:jc w:val="right"/>
              <w:rPr>
                <w:szCs w:val="18"/>
              </w:rPr>
            </w:pPr>
            <w:r w:rsidRPr="00631C1C">
              <w:rPr>
                <w:szCs w:val="18"/>
              </w:rPr>
              <w:t>37 874</w:t>
            </w:r>
          </w:p>
        </w:tc>
        <w:tc>
          <w:tcPr>
            <w:tcW w:w="1293" w:type="dxa"/>
            <w:tcBorders>
              <w:top w:val="nil"/>
              <w:left w:val="nil"/>
              <w:bottom w:val="single" w:sz="4" w:space="0" w:color="auto"/>
              <w:right w:val="single" w:sz="4" w:space="0" w:color="auto"/>
            </w:tcBorders>
            <w:noWrap/>
            <w:hideMark/>
          </w:tcPr>
          <w:p w14:paraId="58AF721A" w14:textId="77777777" w:rsidR="00312042" w:rsidRPr="00631C1C" w:rsidRDefault="00312042" w:rsidP="009A58EE">
            <w:pPr>
              <w:pStyle w:val="Normal-pool-Table"/>
              <w:jc w:val="right"/>
              <w:rPr>
                <w:szCs w:val="18"/>
              </w:rPr>
            </w:pPr>
            <w:r w:rsidRPr="00631C1C">
              <w:rPr>
                <w:szCs w:val="18"/>
              </w:rPr>
              <w:t>49 984</w:t>
            </w:r>
          </w:p>
        </w:tc>
        <w:tc>
          <w:tcPr>
            <w:tcW w:w="1313" w:type="dxa"/>
            <w:tcBorders>
              <w:top w:val="nil"/>
              <w:left w:val="nil"/>
              <w:bottom w:val="single" w:sz="4" w:space="0" w:color="auto"/>
              <w:right w:val="single" w:sz="4" w:space="0" w:color="auto"/>
            </w:tcBorders>
            <w:noWrap/>
            <w:hideMark/>
          </w:tcPr>
          <w:p w14:paraId="5DB941B6" w14:textId="77777777" w:rsidR="00312042" w:rsidRPr="00631C1C" w:rsidRDefault="00312042" w:rsidP="009A58EE">
            <w:pPr>
              <w:pStyle w:val="Normal-pool-Table"/>
              <w:jc w:val="right"/>
              <w:rPr>
                <w:szCs w:val="18"/>
              </w:rPr>
            </w:pPr>
            <w:r w:rsidRPr="00631C1C">
              <w:rPr>
                <w:szCs w:val="18"/>
              </w:rPr>
              <w:t>87 858</w:t>
            </w:r>
          </w:p>
        </w:tc>
      </w:tr>
      <w:tr w:rsidR="00F234CD" w:rsidRPr="00631C1C" w14:paraId="10750F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D2B48C" w14:textId="77777777" w:rsidR="00312042" w:rsidRPr="00631C1C" w:rsidRDefault="00312042" w:rsidP="009A58EE">
            <w:pPr>
              <w:pStyle w:val="Normal-pool-Table"/>
              <w:rPr>
                <w:szCs w:val="18"/>
              </w:rPr>
            </w:pPr>
            <w:r w:rsidRPr="00631C1C">
              <w:rPr>
                <w:szCs w:val="18"/>
              </w:rPr>
              <w:t>73</w:t>
            </w:r>
          </w:p>
        </w:tc>
        <w:tc>
          <w:tcPr>
            <w:tcW w:w="2573" w:type="dxa"/>
            <w:tcBorders>
              <w:top w:val="nil"/>
              <w:left w:val="nil"/>
              <w:bottom w:val="single" w:sz="4" w:space="0" w:color="auto"/>
              <w:right w:val="single" w:sz="4" w:space="0" w:color="auto"/>
            </w:tcBorders>
            <w:noWrap/>
            <w:hideMark/>
          </w:tcPr>
          <w:p w14:paraId="79653420" w14:textId="77777777" w:rsidR="00312042" w:rsidRPr="00631C1C" w:rsidRDefault="00312042" w:rsidP="009A58EE">
            <w:pPr>
              <w:pStyle w:val="Normal-pool-Table"/>
              <w:rPr>
                <w:szCs w:val="18"/>
              </w:rPr>
            </w:pPr>
            <w:r w:rsidRPr="00631C1C">
              <w:rPr>
                <w:szCs w:val="18"/>
              </w:rPr>
              <w:t>Singapore</w:t>
            </w:r>
          </w:p>
        </w:tc>
        <w:tc>
          <w:tcPr>
            <w:tcW w:w="1400" w:type="dxa"/>
            <w:tcBorders>
              <w:top w:val="nil"/>
              <w:left w:val="nil"/>
              <w:bottom w:val="single" w:sz="4" w:space="0" w:color="auto"/>
              <w:right w:val="single" w:sz="4" w:space="0" w:color="auto"/>
            </w:tcBorders>
            <w:noWrap/>
            <w:hideMark/>
          </w:tcPr>
          <w:p w14:paraId="3A8DA497" w14:textId="7503442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479</w:t>
            </w:r>
          </w:p>
        </w:tc>
        <w:tc>
          <w:tcPr>
            <w:tcW w:w="1073" w:type="dxa"/>
            <w:tcBorders>
              <w:top w:val="nil"/>
              <w:left w:val="nil"/>
              <w:bottom w:val="single" w:sz="4" w:space="0" w:color="auto"/>
              <w:right w:val="single" w:sz="4" w:space="0" w:color="auto"/>
            </w:tcBorders>
            <w:noWrap/>
            <w:hideMark/>
          </w:tcPr>
          <w:p w14:paraId="66EFFD29" w14:textId="1959C84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4835</w:t>
            </w:r>
          </w:p>
        </w:tc>
        <w:tc>
          <w:tcPr>
            <w:tcW w:w="1293" w:type="dxa"/>
            <w:tcBorders>
              <w:top w:val="nil"/>
              <w:left w:val="nil"/>
              <w:bottom w:val="single" w:sz="4" w:space="0" w:color="auto"/>
              <w:right w:val="single" w:sz="4" w:space="0" w:color="auto"/>
            </w:tcBorders>
            <w:noWrap/>
            <w:hideMark/>
          </w:tcPr>
          <w:p w14:paraId="1FCFF29A" w14:textId="77777777" w:rsidR="00312042" w:rsidRPr="00631C1C" w:rsidRDefault="00312042" w:rsidP="009A58EE">
            <w:pPr>
              <w:pStyle w:val="Normal-pool-Table"/>
              <w:jc w:val="right"/>
              <w:rPr>
                <w:szCs w:val="18"/>
              </w:rPr>
            </w:pPr>
            <w:r w:rsidRPr="00631C1C">
              <w:rPr>
                <w:szCs w:val="18"/>
              </w:rPr>
              <w:t>14 907</w:t>
            </w:r>
          </w:p>
        </w:tc>
        <w:tc>
          <w:tcPr>
            <w:tcW w:w="1293" w:type="dxa"/>
            <w:tcBorders>
              <w:top w:val="nil"/>
              <w:left w:val="nil"/>
              <w:bottom w:val="single" w:sz="4" w:space="0" w:color="auto"/>
              <w:right w:val="single" w:sz="4" w:space="0" w:color="auto"/>
            </w:tcBorders>
            <w:noWrap/>
            <w:hideMark/>
          </w:tcPr>
          <w:p w14:paraId="079AB638" w14:textId="77777777" w:rsidR="00312042" w:rsidRPr="00631C1C" w:rsidRDefault="00312042" w:rsidP="009A58EE">
            <w:pPr>
              <w:pStyle w:val="Normal-pool-Table"/>
              <w:jc w:val="right"/>
              <w:rPr>
                <w:szCs w:val="18"/>
              </w:rPr>
            </w:pPr>
            <w:r w:rsidRPr="00631C1C">
              <w:rPr>
                <w:szCs w:val="18"/>
              </w:rPr>
              <w:t>19 673</w:t>
            </w:r>
          </w:p>
        </w:tc>
        <w:tc>
          <w:tcPr>
            <w:tcW w:w="1313" w:type="dxa"/>
            <w:tcBorders>
              <w:top w:val="nil"/>
              <w:left w:val="nil"/>
              <w:bottom w:val="single" w:sz="4" w:space="0" w:color="auto"/>
              <w:right w:val="single" w:sz="4" w:space="0" w:color="auto"/>
            </w:tcBorders>
            <w:noWrap/>
            <w:hideMark/>
          </w:tcPr>
          <w:p w14:paraId="554D45A1" w14:textId="77777777" w:rsidR="00312042" w:rsidRPr="00631C1C" w:rsidRDefault="00312042" w:rsidP="009A58EE">
            <w:pPr>
              <w:pStyle w:val="Normal-pool-Table"/>
              <w:jc w:val="right"/>
              <w:rPr>
                <w:szCs w:val="18"/>
              </w:rPr>
            </w:pPr>
            <w:r w:rsidRPr="00631C1C">
              <w:rPr>
                <w:szCs w:val="18"/>
              </w:rPr>
              <w:t>34 580</w:t>
            </w:r>
          </w:p>
        </w:tc>
      </w:tr>
      <w:tr w:rsidR="00F234CD" w:rsidRPr="00631C1C" w14:paraId="72DC176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71FAF" w14:textId="77777777" w:rsidR="00312042" w:rsidRPr="00631C1C" w:rsidRDefault="00312042" w:rsidP="009A58EE">
            <w:pPr>
              <w:pStyle w:val="Normal-pool-Table"/>
              <w:rPr>
                <w:szCs w:val="18"/>
              </w:rPr>
            </w:pPr>
            <w:r w:rsidRPr="00631C1C">
              <w:rPr>
                <w:szCs w:val="18"/>
              </w:rPr>
              <w:t>74</w:t>
            </w:r>
          </w:p>
        </w:tc>
        <w:tc>
          <w:tcPr>
            <w:tcW w:w="2573" w:type="dxa"/>
            <w:tcBorders>
              <w:top w:val="nil"/>
              <w:left w:val="nil"/>
              <w:bottom w:val="single" w:sz="4" w:space="0" w:color="auto"/>
              <w:right w:val="single" w:sz="4" w:space="0" w:color="auto"/>
            </w:tcBorders>
            <w:noWrap/>
            <w:hideMark/>
          </w:tcPr>
          <w:p w14:paraId="3EB7737C" w14:textId="77777777" w:rsidR="00312042" w:rsidRPr="00631C1C" w:rsidRDefault="00312042" w:rsidP="009A58EE">
            <w:pPr>
              <w:pStyle w:val="Normal-pool-Table"/>
              <w:rPr>
                <w:szCs w:val="18"/>
              </w:rPr>
            </w:pPr>
            <w:r w:rsidRPr="00631C1C">
              <w:rPr>
                <w:szCs w:val="18"/>
              </w:rPr>
              <w:t>Sri Lanka</w:t>
            </w:r>
          </w:p>
        </w:tc>
        <w:tc>
          <w:tcPr>
            <w:tcW w:w="1400" w:type="dxa"/>
            <w:tcBorders>
              <w:top w:val="nil"/>
              <w:left w:val="nil"/>
              <w:bottom w:val="single" w:sz="4" w:space="0" w:color="auto"/>
              <w:right w:val="single" w:sz="4" w:space="0" w:color="auto"/>
            </w:tcBorders>
            <w:noWrap/>
            <w:hideMark/>
          </w:tcPr>
          <w:p w14:paraId="1ED64014" w14:textId="24655CC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038</w:t>
            </w:r>
          </w:p>
        </w:tc>
        <w:tc>
          <w:tcPr>
            <w:tcW w:w="1073" w:type="dxa"/>
            <w:tcBorders>
              <w:top w:val="nil"/>
              <w:left w:val="nil"/>
              <w:bottom w:val="single" w:sz="4" w:space="0" w:color="auto"/>
              <w:right w:val="single" w:sz="4" w:space="0" w:color="auto"/>
            </w:tcBorders>
            <w:noWrap/>
            <w:hideMark/>
          </w:tcPr>
          <w:p w14:paraId="1C65058D" w14:textId="5FA52A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0384</w:t>
            </w:r>
          </w:p>
        </w:tc>
        <w:tc>
          <w:tcPr>
            <w:tcW w:w="1293" w:type="dxa"/>
            <w:tcBorders>
              <w:top w:val="nil"/>
              <w:left w:val="nil"/>
              <w:bottom w:val="single" w:sz="4" w:space="0" w:color="auto"/>
              <w:right w:val="single" w:sz="4" w:space="0" w:color="auto"/>
            </w:tcBorders>
            <w:noWrap/>
            <w:hideMark/>
          </w:tcPr>
          <w:p w14:paraId="6A92B43B" w14:textId="77777777" w:rsidR="00312042" w:rsidRPr="00631C1C" w:rsidRDefault="00312042" w:rsidP="009A58EE">
            <w:pPr>
              <w:pStyle w:val="Normal-pool-Table"/>
              <w:jc w:val="right"/>
              <w:rPr>
                <w:szCs w:val="18"/>
              </w:rPr>
            </w:pPr>
            <w:r w:rsidRPr="00631C1C">
              <w:rPr>
                <w:szCs w:val="18"/>
              </w:rPr>
              <w:t>1 183</w:t>
            </w:r>
          </w:p>
        </w:tc>
        <w:tc>
          <w:tcPr>
            <w:tcW w:w="1293" w:type="dxa"/>
            <w:tcBorders>
              <w:top w:val="nil"/>
              <w:left w:val="nil"/>
              <w:bottom w:val="single" w:sz="4" w:space="0" w:color="auto"/>
              <w:right w:val="single" w:sz="4" w:space="0" w:color="auto"/>
            </w:tcBorders>
            <w:noWrap/>
            <w:hideMark/>
          </w:tcPr>
          <w:p w14:paraId="19193C9D" w14:textId="77777777" w:rsidR="00312042" w:rsidRPr="00631C1C" w:rsidRDefault="00312042" w:rsidP="009A58EE">
            <w:pPr>
              <w:pStyle w:val="Normal-pool-Table"/>
              <w:jc w:val="right"/>
              <w:rPr>
                <w:szCs w:val="18"/>
              </w:rPr>
            </w:pPr>
            <w:r w:rsidRPr="00631C1C">
              <w:rPr>
                <w:szCs w:val="18"/>
              </w:rPr>
              <w:t>1 561</w:t>
            </w:r>
          </w:p>
        </w:tc>
        <w:tc>
          <w:tcPr>
            <w:tcW w:w="1313" w:type="dxa"/>
            <w:tcBorders>
              <w:top w:val="nil"/>
              <w:left w:val="nil"/>
              <w:bottom w:val="single" w:sz="4" w:space="0" w:color="auto"/>
              <w:right w:val="single" w:sz="4" w:space="0" w:color="auto"/>
            </w:tcBorders>
            <w:noWrap/>
            <w:hideMark/>
          </w:tcPr>
          <w:p w14:paraId="78370C34" w14:textId="77777777" w:rsidR="00312042" w:rsidRPr="00631C1C" w:rsidRDefault="00312042" w:rsidP="009A58EE">
            <w:pPr>
              <w:pStyle w:val="Normal-pool-Table"/>
              <w:jc w:val="right"/>
              <w:rPr>
                <w:szCs w:val="18"/>
              </w:rPr>
            </w:pPr>
            <w:r w:rsidRPr="00631C1C">
              <w:rPr>
                <w:szCs w:val="18"/>
              </w:rPr>
              <w:t>2 743</w:t>
            </w:r>
          </w:p>
        </w:tc>
      </w:tr>
      <w:tr w:rsidR="00F234CD" w:rsidRPr="00631C1C" w14:paraId="11A147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07BD093" w14:textId="77777777" w:rsidR="00312042" w:rsidRPr="00631C1C" w:rsidRDefault="00312042" w:rsidP="009A58EE">
            <w:pPr>
              <w:pStyle w:val="Normal-pool-Table"/>
              <w:rPr>
                <w:szCs w:val="18"/>
              </w:rPr>
            </w:pPr>
            <w:r w:rsidRPr="00631C1C">
              <w:rPr>
                <w:szCs w:val="18"/>
              </w:rPr>
              <w:t>75</w:t>
            </w:r>
          </w:p>
        </w:tc>
        <w:tc>
          <w:tcPr>
            <w:tcW w:w="2573" w:type="dxa"/>
            <w:tcBorders>
              <w:top w:val="nil"/>
              <w:left w:val="nil"/>
              <w:bottom w:val="single" w:sz="4" w:space="0" w:color="auto"/>
              <w:right w:val="single" w:sz="4" w:space="0" w:color="auto"/>
            </w:tcBorders>
            <w:noWrap/>
            <w:hideMark/>
          </w:tcPr>
          <w:p w14:paraId="28FD4363" w14:textId="77777777" w:rsidR="00312042" w:rsidRPr="00631C1C" w:rsidRDefault="00312042" w:rsidP="009A58EE">
            <w:pPr>
              <w:pStyle w:val="Normal-pool-Table"/>
              <w:rPr>
                <w:szCs w:val="18"/>
              </w:rPr>
            </w:pPr>
            <w:r w:rsidRPr="00631C1C">
              <w:rPr>
                <w:szCs w:val="18"/>
              </w:rPr>
              <w:t>State of Palestine</w:t>
            </w:r>
          </w:p>
        </w:tc>
        <w:tc>
          <w:tcPr>
            <w:tcW w:w="1400" w:type="dxa"/>
            <w:tcBorders>
              <w:top w:val="nil"/>
              <w:left w:val="nil"/>
              <w:bottom w:val="single" w:sz="4" w:space="0" w:color="auto"/>
              <w:right w:val="single" w:sz="4" w:space="0" w:color="auto"/>
            </w:tcBorders>
            <w:noWrap/>
            <w:hideMark/>
          </w:tcPr>
          <w:p w14:paraId="170EF859" w14:textId="5E56229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345A22F8" w14:textId="297A1D0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00FC61DF"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6D4354B4"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4B1577C9" w14:textId="77777777" w:rsidR="00312042" w:rsidRPr="00631C1C" w:rsidRDefault="00312042" w:rsidP="009A58EE">
            <w:pPr>
              <w:pStyle w:val="Normal-pool-Table"/>
              <w:jc w:val="right"/>
              <w:rPr>
                <w:szCs w:val="18"/>
              </w:rPr>
            </w:pPr>
            <w:r w:rsidRPr="00631C1C">
              <w:rPr>
                <w:szCs w:val="18"/>
              </w:rPr>
              <w:t>794</w:t>
            </w:r>
          </w:p>
        </w:tc>
      </w:tr>
      <w:tr w:rsidR="00F234CD" w:rsidRPr="00631C1C" w14:paraId="6B2373B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406EB5" w14:textId="77777777" w:rsidR="00312042" w:rsidRPr="00631C1C" w:rsidRDefault="00312042" w:rsidP="009A58EE">
            <w:pPr>
              <w:pStyle w:val="Normal-pool-Table"/>
              <w:rPr>
                <w:szCs w:val="18"/>
              </w:rPr>
            </w:pPr>
            <w:r w:rsidRPr="00631C1C">
              <w:rPr>
                <w:szCs w:val="18"/>
              </w:rPr>
              <w:t>76</w:t>
            </w:r>
          </w:p>
        </w:tc>
        <w:tc>
          <w:tcPr>
            <w:tcW w:w="2573" w:type="dxa"/>
            <w:tcBorders>
              <w:top w:val="nil"/>
              <w:left w:val="nil"/>
              <w:bottom w:val="single" w:sz="4" w:space="0" w:color="auto"/>
              <w:right w:val="single" w:sz="4" w:space="0" w:color="auto"/>
            </w:tcBorders>
            <w:noWrap/>
            <w:hideMark/>
          </w:tcPr>
          <w:p w14:paraId="09E40FF7" w14:textId="77777777" w:rsidR="00312042" w:rsidRPr="00631C1C" w:rsidRDefault="00312042" w:rsidP="009A58EE">
            <w:pPr>
              <w:pStyle w:val="Normal-pool-Table"/>
              <w:rPr>
                <w:szCs w:val="18"/>
              </w:rPr>
            </w:pPr>
            <w:r w:rsidRPr="00631C1C">
              <w:rPr>
                <w:szCs w:val="18"/>
              </w:rPr>
              <w:t>Syrian Arab Republic</w:t>
            </w:r>
          </w:p>
        </w:tc>
        <w:tc>
          <w:tcPr>
            <w:tcW w:w="1400" w:type="dxa"/>
            <w:tcBorders>
              <w:top w:val="nil"/>
              <w:left w:val="nil"/>
              <w:bottom w:val="single" w:sz="4" w:space="0" w:color="auto"/>
              <w:right w:val="single" w:sz="4" w:space="0" w:color="auto"/>
            </w:tcBorders>
            <w:noWrap/>
            <w:hideMark/>
          </w:tcPr>
          <w:p w14:paraId="0D45341A" w14:textId="4CB7658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32EC73DB" w14:textId="32BF1F1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4256B0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A88D167"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DD623AE" w14:textId="77777777" w:rsidR="00312042" w:rsidRPr="00631C1C" w:rsidRDefault="00312042" w:rsidP="009A58EE">
            <w:pPr>
              <w:pStyle w:val="Normal-pool-Table"/>
              <w:jc w:val="right"/>
              <w:rPr>
                <w:szCs w:val="18"/>
              </w:rPr>
            </w:pPr>
            <w:r w:rsidRPr="00631C1C">
              <w:rPr>
                <w:szCs w:val="18"/>
              </w:rPr>
              <w:t>715</w:t>
            </w:r>
          </w:p>
        </w:tc>
      </w:tr>
      <w:tr w:rsidR="00F234CD" w:rsidRPr="00631C1C" w14:paraId="166AAD2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1B4BCF" w14:textId="77777777" w:rsidR="00312042" w:rsidRPr="00631C1C" w:rsidRDefault="00312042" w:rsidP="009A58EE">
            <w:pPr>
              <w:pStyle w:val="Normal-pool-Table"/>
              <w:rPr>
                <w:szCs w:val="18"/>
              </w:rPr>
            </w:pPr>
            <w:r w:rsidRPr="00631C1C">
              <w:rPr>
                <w:szCs w:val="18"/>
              </w:rPr>
              <w:t>77</w:t>
            </w:r>
          </w:p>
        </w:tc>
        <w:tc>
          <w:tcPr>
            <w:tcW w:w="2573" w:type="dxa"/>
            <w:tcBorders>
              <w:top w:val="nil"/>
              <w:left w:val="nil"/>
              <w:bottom w:val="single" w:sz="4" w:space="0" w:color="auto"/>
              <w:right w:val="single" w:sz="4" w:space="0" w:color="auto"/>
            </w:tcBorders>
            <w:noWrap/>
            <w:hideMark/>
          </w:tcPr>
          <w:p w14:paraId="143828AE" w14:textId="77777777" w:rsidR="00312042" w:rsidRPr="00631C1C" w:rsidRDefault="00312042" w:rsidP="009A58EE">
            <w:pPr>
              <w:pStyle w:val="Normal-pool-Table"/>
              <w:rPr>
                <w:szCs w:val="18"/>
              </w:rPr>
            </w:pPr>
            <w:r w:rsidRPr="00631C1C">
              <w:rPr>
                <w:szCs w:val="18"/>
              </w:rPr>
              <w:t>Thailand</w:t>
            </w:r>
          </w:p>
        </w:tc>
        <w:tc>
          <w:tcPr>
            <w:tcW w:w="1400" w:type="dxa"/>
            <w:tcBorders>
              <w:top w:val="nil"/>
              <w:left w:val="nil"/>
              <w:bottom w:val="single" w:sz="4" w:space="0" w:color="auto"/>
              <w:right w:val="single" w:sz="4" w:space="0" w:color="auto"/>
            </w:tcBorders>
            <w:noWrap/>
            <w:hideMark/>
          </w:tcPr>
          <w:p w14:paraId="497D64F1" w14:textId="6919C6B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341</w:t>
            </w:r>
          </w:p>
        </w:tc>
        <w:tc>
          <w:tcPr>
            <w:tcW w:w="1073" w:type="dxa"/>
            <w:tcBorders>
              <w:top w:val="nil"/>
              <w:left w:val="nil"/>
              <w:bottom w:val="single" w:sz="4" w:space="0" w:color="auto"/>
              <w:right w:val="single" w:sz="4" w:space="0" w:color="auto"/>
            </w:tcBorders>
            <w:noWrap/>
            <w:hideMark/>
          </w:tcPr>
          <w:p w14:paraId="6A964133" w14:textId="1CEA691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3442</w:t>
            </w:r>
          </w:p>
        </w:tc>
        <w:tc>
          <w:tcPr>
            <w:tcW w:w="1293" w:type="dxa"/>
            <w:tcBorders>
              <w:top w:val="nil"/>
              <w:left w:val="nil"/>
              <w:bottom w:val="single" w:sz="4" w:space="0" w:color="auto"/>
              <w:right w:val="single" w:sz="4" w:space="0" w:color="auto"/>
            </w:tcBorders>
            <w:noWrap/>
            <w:hideMark/>
          </w:tcPr>
          <w:p w14:paraId="21501E97" w14:textId="77777777" w:rsidR="00312042" w:rsidRPr="00631C1C" w:rsidRDefault="00312042" w:rsidP="009A58EE">
            <w:pPr>
              <w:pStyle w:val="Normal-pool-Table"/>
              <w:jc w:val="right"/>
              <w:rPr>
                <w:szCs w:val="18"/>
              </w:rPr>
            </w:pPr>
            <w:r w:rsidRPr="00631C1C">
              <w:rPr>
                <w:szCs w:val="18"/>
              </w:rPr>
              <w:t>10 612</w:t>
            </w:r>
          </w:p>
        </w:tc>
        <w:tc>
          <w:tcPr>
            <w:tcW w:w="1293" w:type="dxa"/>
            <w:tcBorders>
              <w:top w:val="nil"/>
              <w:left w:val="nil"/>
              <w:bottom w:val="single" w:sz="4" w:space="0" w:color="auto"/>
              <w:right w:val="single" w:sz="4" w:space="0" w:color="auto"/>
            </w:tcBorders>
            <w:noWrap/>
            <w:hideMark/>
          </w:tcPr>
          <w:p w14:paraId="19B25143" w14:textId="77777777" w:rsidR="00312042" w:rsidRPr="00631C1C" w:rsidRDefault="00312042" w:rsidP="009A58EE">
            <w:pPr>
              <w:pStyle w:val="Normal-pool-Table"/>
              <w:jc w:val="right"/>
              <w:rPr>
                <w:szCs w:val="18"/>
              </w:rPr>
            </w:pPr>
            <w:r w:rsidRPr="00631C1C">
              <w:rPr>
                <w:szCs w:val="18"/>
              </w:rPr>
              <w:t>14 005</w:t>
            </w:r>
          </w:p>
        </w:tc>
        <w:tc>
          <w:tcPr>
            <w:tcW w:w="1313" w:type="dxa"/>
            <w:tcBorders>
              <w:top w:val="nil"/>
              <w:left w:val="nil"/>
              <w:bottom w:val="single" w:sz="4" w:space="0" w:color="auto"/>
              <w:right w:val="single" w:sz="4" w:space="0" w:color="auto"/>
            </w:tcBorders>
            <w:noWrap/>
            <w:hideMark/>
          </w:tcPr>
          <w:p w14:paraId="68E438FA" w14:textId="77777777" w:rsidR="00312042" w:rsidRPr="00631C1C" w:rsidRDefault="00312042" w:rsidP="009A58EE">
            <w:pPr>
              <w:pStyle w:val="Normal-pool-Table"/>
              <w:jc w:val="right"/>
              <w:rPr>
                <w:szCs w:val="18"/>
              </w:rPr>
            </w:pPr>
            <w:r w:rsidRPr="00631C1C">
              <w:rPr>
                <w:szCs w:val="18"/>
              </w:rPr>
              <w:t>24 618</w:t>
            </w:r>
          </w:p>
        </w:tc>
      </w:tr>
      <w:tr w:rsidR="00F234CD" w:rsidRPr="00631C1C" w14:paraId="54F72A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81A54F" w14:textId="77777777" w:rsidR="00312042" w:rsidRPr="00631C1C" w:rsidRDefault="00312042" w:rsidP="009A58EE">
            <w:pPr>
              <w:pStyle w:val="Normal-pool-Table"/>
              <w:rPr>
                <w:szCs w:val="18"/>
              </w:rPr>
            </w:pPr>
            <w:r w:rsidRPr="00631C1C">
              <w:rPr>
                <w:szCs w:val="18"/>
              </w:rPr>
              <w:t>78</w:t>
            </w:r>
          </w:p>
        </w:tc>
        <w:tc>
          <w:tcPr>
            <w:tcW w:w="2573" w:type="dxa"/>
            <w:tcBorders>
              <w:top w:val="nil"/>
              <w:left w:val="nil"/>
              <w:bottom w:val="single" w:sz="4" w:space="0" w:color="auto"/>
              <w:right w:val="single" w:sz="4" w:space="0" w:color="auto"/>
            </w:tcBorders>
            <w:noWrap/>
            <w:hideMark/>
          </w:tcPr>
          <w:p w14:paraId="29AF9002" w14:textId="77777777" w:rsidR="00312042" w:rsidRPr="00631C1C" w:rsidRDefault="00312042" w:rsidP="009A58EE">
            <w:pPr>
              <w:pStyle w:val="Normal-pool-Table"/>
              <w:rPr>
                <w:szCs w:val="18"/>
              </w:rPr>
            </w:pPr>
            <w:r w:rsidRPr="00631C1C">
              <w:rPr>
                <w:szCs w:val="18"/>
              </w:rPr>
              <w:t>Tonga</w:t>
            </w:r>
          </w:p>
        </w:tc>
        <w:tc>
          <w:tcPr>
            <w:tcW w:w="1400" w:type="dxa"/>
            <w:tcBorders>
              <w:top w:val="nil"/>
              <w:left w:val="nil"/>
              <w:bottom w:val="single" w:sz="4" w:space="0" w:color="auto"/>
              <w:right w:val="single" w:sz="4" w:space="0" w:color="auto"/>
            </w:tcBorders>
            <w:noWrap/>
            <w:hideMark/>
          </w:tcPr>
          <w:p w14:paraId="4F345B11" w14:textId="67CECA8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69679D0" w14:textId="033BC2A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CBE3D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9F0D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7E8B1BC" w14:textId="77777777" w:rsidR="00312042" w:rsidRPr="00631C1C" w:rsidRDefault="00312042" w:rsidP="009A58EE">
            <w:pPr>
              <w:pStyle w:val="Normal-pool-Table"/>
              <w:jc w:val="right"/>
              <w:rPr>
                <w:szCs w:val="18"/>
              </w:rPr>
            </w:pPr>
            <w:r w:rsidRPr="00631C1C">
              <w:rPr>
                <w:szCs w:val="18"/>
              </w:rPr>
              <w:t>715</w:t>
            </w:r>
          </w:p>
        </w:tc>
      </w:tr>
      <w:tr w:rsidR="00F234CD" w:rsidRPr="00631C1C" w14:paraId="097EE0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245D9D" w14:textId="77777777" w:rsidR="00312042" w:rsidRPr="00631C1C" w:rsidRDefault="00312042" w:rsidP="009A58EE">
            <w:pPr>
              <w:pStyle w:val="Normal-pool-Table"/>
              <w:rPr>
                <w:szCs w:val="18"/>
              </w:rPr>
            </w:pPr>
            <w:r w:rsidRPr="00631C1C">
              <w:rPr>
                <w:szCs w:val="18"/>
              </w:rPr>
              <w:t>79</w:t>
            </w:r>
          </w:p>
        </w:tc>
        <w:tc>
          <w:tcPr>
            <w:tcW w:w="2573" w:type="dxa"/>
            <w:tcBorders>
              <w:top w:val="nil"/>
              <w:left w:val="nil"/>
              <w:bottom w:val="single" w:sz="4" w:space="0" w:color="auto"/>
              <w:right w:val="single" w:sz="4" w:space="0" w:color="auto"/>
            </w:tcBorders>
            <w:noWrap/>
            <w:hideMark/>
          </w:tcPr>
          <w:p w14:paraId="73280FB9" w14:textId="77777777" w:rsidR="00312042" w:rsidRPr="00631C1C" w:rsidRDefault="00312042" w:rsidP="009A58EE">
            <w:pPr>
              <w:pStyle w:val="Normal-pool-Table"/>
              <w:rPr>
                <w:szCs w:val="18"/>
              </w:rPr>
            </w:pPr>
            <w:r w:rsidRPr="00631C1C">
              <w:rPr>
                <w:szCs w:val="18"/>
              </w:rPr>
              <w:t>Tuvalu</w:t>
            </w:r>
          </w:p>
        </w:tc>
        <w:tc>
          <w:tcPr>
            <w:tcW w:w="1400" w:type="dxa"/>
            <w:tcBorders>
              <w:top w:val="nil"/>
              <w:left w:val="nil"/>
              <w:bottom w:val="single" w:sz="4" w:space="0" w:color="auto"/>
              <w:right w:val="single" w:sz="4" w:space="0" w:color="auto"/>
            </w:tcBorders>
            <w:noWrap/>
            <w:hideMark/>
          </w:tcPr>
          <w:p w14:paraId="62F0152E" w14:textId="26A864C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F6971FC" w14:textId="252FF34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B46961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DF86CA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6E5350" w14:textId="77777777" w:rsidR="00312042" w:rsidRPr="00631C1C" w:rsidRDefault="00312042" w:rsidP="009A58EE">
            <w:pPr>
              <w:pStyle w:val="Normal-pool-Table"/>
              <w:jc w:val="right"/>
              <w:rPr>
                <w:szCs w:val="18"/>
              </w:rPr>
            </w:pPr>
            <w:r w:rsidRPr="00631C1C">
              <w:rPr>
                <w:szCs w:val="18"/>
              </w:rPr>
              <w:t>715</w:t>
            </w:r>
          </w:p>
        </w:tc>
      </w:tr>
      <w:tr w:rsidR="00F234CD" w:rsidRPr="00631C1C" w14:paraId="64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75AB6A" w14:textId="77777777" w:rsidR="00312042" w:rsidRPr="00631C1C" w:rsidRDefault="00312042" w:rsidP="009A58EE">
            <w:pPr>
              <w:pStyle w:val="Normal-pool-Table"/>
              <w:rPr>
                <w:szCs w:val="18"/>
              </w:rPr>
            </w:pPr>
            <w:r w:rsidRPr="00631C1C">
              <w:rPr>
                <w:szCs w:val="18"/>
              </w:rPr>
              <w:t>80</w:t>
            </w:r>
          </w:p>
        </w:tc>
        <w:tc>
          <w:tcPr>
            <w:tcW w:w="2573" w:type="dxa"/>
            <w:tcBorders>
              <w:top w:val="nil"/>
              <w:left w:val="nil"/>
              <w:bottom w:val="single" w:sz="4" w:space="0" w:color="auto"/>
              <w:right w:val="single" w:sz="4" w:space="0" w:color="auto"/>
            </w:tcBorders>
            <w:noWrap/>
            <w:hideMark/>
          </w:tcPr>
          <w:p w14:paraId="343DE337" w14:textId="77777777" w:rsidR="00312042" w:rsidRPr="00631C1C" w:rsidRDefault="00312042" w:rsidP="009A58EE">
            <w:pPr>
              <w:pStyle w:val="Normal-pool-Table"/>
              <w:rPr>
                <w:szCs w:val="18"/>
              </w:rPr>
            </w:pPr>
            <w:r w:rsidRPr="00631C1C">
              <w:rPr>
                <w:szCs w:val="18"/>
              </w:rPr>
              <w:t>United Arab Emirates</w:t>
            </w:r>
          </w:p>
        </w:tc>
        <w:tc>
          <w:tcPr>
            <w:tcW w:w="1400" w:type="dxa"/>
            <w:tcBorders>
              <w:top w:val="nil"/>
              <w:left w:val="nil"/>
              <w:bottom w:val="single" w:sz="4" w:space="0" w:color="auto"/>
              <w:right w:val="single" w:sz="4" w:space="0" w:color="auto"/>
            </w:tcBorders>
            <w:noWrap/>
            <w:hideMark/>
          </w:tcPr>
          <w:p w14:paraId="4542896D" w14:textId="3B94BD5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574</w:t>
            </w:r>
          </w:p>
        </w:tc>
        <w:tc>
          <w:tcPr>
            <w:tcW w:w="1073" w:type="dxa"/>
            <w:tcBorders>
              <w:top w:val="nil"/>
              <w:left w:val="nil"/>
              <w:bottom w:val="single" w:sz="4" w:space="0" w:color="auto"/>
              <w:right w:val="single" w:sz="4" w:space="0" w:color="auto"/>
            </w:tcBorders>
            <w:noWrap/>
            <w:hideMark/>
          </w:tcPr>
          <w:p w14:paraId="249EE946" w14:textId="543179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5793</w:t>
            </w:r>
          </w:p>
        </w:tc>
        <w:tc>
          <w:tcPr>
            <w:tcW w:w="1293" w:type="dxa"/>
            <w:tcBorders>
              <w:top w:val="nil"/>
              <w:left w:val="nil"/>
              <w:bottom w:val="single" w:sz="4" w:space="0" w:color="auto"/>
              <w:right w:val="single" w:sz="4" w:space="0" w:color="auto"/>
            </w:tcBorders>
            <w:noWrap/>
            <w:hideMark/>
          </w:tcPr>
          <w:p w14:paraId="7F67F1A0" w14:textId="77777777" w:rsidR="00312042" w:rsidRPr="00631C1C" w:rsidRDefault="00312042" w:rsidP="009A58EE">
            <w:pPr>
              <w:pStyle w:val="Normal-pool-Table"/>
              <w:jc w:val="right"/>
              <w:rPr>
                <w:szCs w:val="18"/>
              </w:rPr>
            </w:pPr>
            <w:r w:rsidRPr="00631C1C">
              <w:rPr>
                <w:szCs w:val="18"/>
              </w:rPr>
              <w:t>17 863</w:t>
            </w:r>
          </w:p>
        </w:tc>
        <w:tc>
          <w:tcPr>
            <w:tcW w:w="1293" w:type="dxa"/>
            <w:tcBorders>
              <w:top w:val="nil"/>
              <w:left w:val="nil"/>
              <w:bottom w:val="single" w:sz="4" w:space="0" w:color="auto"/>
              <w:right w:val="single" w:sz="4" w:space="0" w:color="auto"/>
            </w:tcBorders>
            <w:noWrap/>
            <w:hideMark/>
          </w:tcPr>
          <w:p w14:paraId="51AD871A" w14:textId="77777777" w:rsidR="00312042" w:rsidRPr="00631C1C" w:rsidRDefault="00312042" w:rsidP="009A58EE">
            <w:pPr>
              <w:pStyle w:val="Normal-pool-Table"/>
              <w:jc w:val="right"/>
              <w:rPr>
                <w:szCs w:val="18"/>
              </w:rPr>
            </w:pPr>
            <w:r w:rsidRPr="00631C1C">
              <w:rPr>
                <w:szCs w:val="18"/>
              </w:rPr>
              <w:t>23 575</w:t>
            </w:r>
          </w:p>
        </w:tc>
        <w:tc>
          <w:tcPr>
            <w:tcW w:w="1313" w:type="dxa"/>
            <w:tcBorders>
              <w:top w:val="nil"/>
              <w:left w:val="nil"/>
              <w:bottom w:val="single" w:sz="4" w:space="0" w:color="auto"/>
              <w:right w:val="single" w:sz="4" w:space="0" w:color="auto"/>
            </w:tcBorders>
            <w:noWrap/>
            <w:hideMark/>
          </w:tcPr>
          <w:p w14:paraId="0924D394" w14:textId="77777777" w:rsidR="00312042" w:rsidRPr="00631C1C" w:rsidRDefault="00312042" w:rsidP="009A58EE">
            <w:pPr>
              <w:pStyle w:val="Normal-pool-Table"/>
              <w:jc w:val="right"/>
              <w:rPr>
                <w:szCs w:val="18"/>
              </w:rPr>
            </w:pPr>
            <w:r w:rsidRPr="00631C1C">
              <w:rPr>
                <w:szCs w:val="18"/>
              </w:rPr>
              <w:t>41 438</w:t>
            </w:r>
          </w:p>
        </w:tc>
      </w:tr>
      <w:tr w:rsidR="00F234CD" w:rsidRPr="00631C1C" w14:paraId="59B340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0A18FA1" w14:textId="77777777" w:rsidR="00312042" w:rsidRPr="00631C1C" w:rsidRDefault="00312042" w:rsidP="009A58EE">
            <w:pPr>
              <w:pStyle w:val="Normal-pool-Table"/>
              <w:rPr>
                <w:szCs w:val="18"/>
              </w:rPr>
            </w:pPr>
            <w:r w:rsidRPr="00631C1C">
              <w:rPr>
                <w:szCs w:val="18"/>
              </w:rPr>
              <w:lastRenderedPageBreak/>
              <w:t>81</w:t>
            </w:r>
          </w:p>
        </w:tc>
        <w:tc>
          <w:tcPr>
            <w:tcW w:w="2573" w:type="dxa"/>
            <w:tcBorders>
              <w:top w:val="nil"/>
              <w:left w:val="nil"/>
              <w:bottom w:val="single" w:sz="4" w:space="0" w:color="auto"/>
              <w:right w:val="single" w:sz="4" w:space="0" w:color="auto"/>
            </w:tcBorders>
            <w:noWrap/>
            <w:hideMark/>
          </w:tcPr>
          <w:p w14:paraId="0110102C" w14:textId="77777777" w:rsidR="00312042" w:rsidRPr="00631C1C" w:rsidRDefault="00312042" w:rsidP="009A58EE">
            <w:pPr>
              <w:pStyle w:val="Normal-pool-Table"/>
              <w:rPr>
                <w:szCs w:val="18"/>
              </w:rPr>
            </w:pPr>
            <w:r w:rsidRPr="00631C1C">
              <w:rPr>
                <w:szCs w:val="18"/>
              </w:rPr>
              <w:t>Vanuatu</w:t>
            </w:r>
          </w:p>
        </w:tc>
        <w:tc>
          <w:tcPr>
            <w:tcW w:w="1400" w:type="dxa"/>
            <w:tcBorders>
              <w:top w:val="nil"/>
              <w:left w:val="nil"/>
              <w:bottom w:val="single" w:sz="4" w:space="0" w:color="auto"/>
              <w:right w:val="single" w:sz="4" w:space="0" w:color="auto"/>
            </w:tcBorders>
            <w:noWrap/>
            <w:hideMark/>
          </w:tcPr>
          <w:p w14:paraId="6049250D" w14:textId="08FE6AA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711F3EFC" w14:textId="234F3F1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6C037F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730DB3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856EC48" w14:textId="77777777" w:rsidR="00312042" w:rsidRPr="00631C1C" w:rsidRDefault="00312042" w:rsidP="009A58EE">
            <w:pPr>
              <w:pStyle w:val="Normal-pool-Table"/>
              <w:jc w:val="right"/>
              <w:rPr>
                <w:szCs w:val="18"/>
              </w:rPr>
            </w:pPr>
            <w:r w:rsidRPr="00631C1C">
              <w:rPr>
                <w:szCs w:val="18"/>
              </w:rPr>
              <w:t>715</w:t>
            </w:r>
          </w:p>
        </w:tc>
      </w:tr>
      <w:tr w:rsidR="00F234CD" w:rsidRPr="00631C1C" w14:paraId="66E9E6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AE0267" w14:textId="77777777" w:rsidR="00312042" w:rsidRPr="00631C1C" w:rsidRDefault="00312042" w:rsidP="009A58EE">
            <w:pPr>
              <w:pStyle w:val="Normal-pool-Table"/>
              <w:rPr>
                <w:szCs w:val="18"/>
              </w:rPr>
            </w:pPr>
            <w:r w:rsidRPr="00631C1C">
              <w:rPr>
                <w:szCs w:val="18"/>
              </w:rPr>
              <w:t>82</w:t>
            </w:r>
          </w:p>
        </w:tc>
        <w:tc>
          <w:tcPr>
            <w:tcW w:w="2573" w:type="dxa"/>
            <w:tcBorders>
              <w:top w:val="nil"/>
              <w:left w:val="nil"/>
              <w:bottom w:val="single" w:sz="4" w:space="0" w:color="auto"/>
              <w:right w:val="single" w:sz="4" w:space="0" w:color="auto"/>
            </w:tcBorders>
            <w:noWrap/>
            <w:hideMark/>
          </w:tcPr>
          <w:p w14:paraId="4A9EF9AA" w14:textId="77777777" w:rsidR="00312042" w:rsidRPr="00631C1C" w:rsidRDefault="00312042" w:rsidP="009A58EE">
            <w:pPr>
              <w:pStyle w:val="Normal-pool-Table"/>
              <w:rPr>
                <w:szCs w:val="18"/>
              </w:rPr>
            </w:pPr>
            <w:r w:rsidRPr="00631C1C">
              <w:rPr>
                <w:szCs w:val="18"/>
              </w:rPr>
              <w:t>Viet Nam</w:t>
            </w:r>
          </w:p>
        </w:tc>
        <w:tc>
          <w:tcPr>
            <w:tcW w:w="1400" w:type="dxa"/>
            <w:tcBorders>
              <w:top w:val="nil"/>
              <w:left w:val="nil"/>
              <w:bottom w:val="single" w:sz="4" w:space="0" w:color="auto"/>
              <w:right w:val="single" w:sz="4" w:space="0" w:color="auto"/>
            </w:tcBorders>
            <w:noWrap/>
            <w:hideMark/>
          </w:tcPr>
          <w:p w14:paraId="4FDCDD34" w14:textId="32346A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159</w:t>
            </w:r>
          </w:p>
        </w:tc>
        <w:tc>
          <w:tcPr>
            <w:tcW w:w="1073" w:type="dxa"/>
            <w:tcBorders>
              <w:top w:val="nil"/>
              <w:left w:val="nil"/>
              <w:bottom w:val="single" w:sz="4" w:space="0" w:color="auto"/>
              <w:right w:val="single" w:sz="4" w:space="0" w:color="auto"/>
            </w:tcBorders>
            <w:noWrap/>
            <w:hideMark/>
          </w:tcPr>
          <w:p w14:paraId="671EE3B0" w14:textId="1FD99D0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1605</w:t>
            </w:r>
          </w:p>
        </w:tc>
        <w:tc>
          <w:tcPr>
            <w:tcW w:w="1293" w:type="dxa"/>
            <w:tcBorders>
              <w:top w:val="nil"/>
              <w:left w:val="nil"/>
              <w:bottom w:val="single" w:sz="4" w:space="0" w:color="auto"/>
              <w:right w:val="single" w:sz="4" w:space="0" w:color="auto"/>
            </w:tcBorders>
            <w:noWrap/>
            <w:hideMark/>
          </w:tcPr>
          <w:p w14:paraId="2711C1F0" w14:textId="77777777" w:rsidR="00312042" w:rsidRPr="00631C1C" w:rsidRDefault="00312042" w:rsidP="009A58EE">
            <w:pPr>
              <w:pStyle w:val="Normal-pool-Table"/>
              <w:jc w:val="right"/>
              <w:rPr>
                <w:szCs w:val="18"/>
              </w:rPr>
            </w:pPr>
            <w:r w:rsidRPr="00631C1C">
              <w:rPr>
                <w:szCs w:val="18"/>
              </w:rPr>
              <w:t>4 948</w:t>
            </w:r>
          </w:p>
        </w:tc>
        <w:tc>
          <w:tcPr>
            <w:tcW w:w="1293" w:type="dxa"/>
            <w:tcBorders>
              <w:top w:val="nil"/>
              <w:left w:val="nil"/>
              <w:bottom w:val="single" w:sz="4" w:space="0" w:color="auto"/>
              <w:right w:val="single" w:sz="4" w:space="0" w:color="auto"/>
            </w:tcBorders>
            <w:noWrap/>
            <w:hideMark/>
          </w:tcPr>
          <w:p w14:paraId="6F49D659" w14:textId="77777777" w:rsidR="00312042" w:rsidRPr="00631C1C" w:rsidRDefault="00312042" w:rsidP="009A58EE">
            <w:pPr>
              <w:pStyle w:val="Normal-pool-Table"/>
              <w:jc w:val="right"/>
              <w:rPr>
                <w:szCs w:val="18"/>
              </w:rPr>
            </w:pPr>
            <w:r w:rsidRPr="00631C1C">
              <w:rPr>
                <w:szCs w:val="18"/>
              </w:rPr>
              <w:t>6 530</w:t>
            </w:r>
          </w:p>
        </w:tc>
        <w:tc>
          <w:tcPr>
            <w:tcW w:w="1313" w:type="dxa"/>
            <w:tcBorders>
              <w:top w:val="nil"/>
              <w:left w:val="nil"/>
              <w:bottom w:val="single" w:sz="4" w:space="0" w:color="auto"/>
              <w:right w:val="single" w:sz="4" w:space="0" w:color="auto"/>
            </w:tcBorders>
            <w:noWrap/>
            <w:hideMark/>
          </w:tcPr>
          <w:p w14:paraId="7EB0FD14" w14:textId="77777777" w:rsidR="00312042" w:rsidRPr="00631C1C" w:rsidRDefault="00312042" w:rsidP="009A58EE">
            <w:pPr>
              <w:pStyle w:val="Normal-pool-Table"/>
              <w:jc w:val="right"/>
              <w:rPr>
                <w:szCs w:val="18"/>
              </w:rPr>
            </w:pPr>
            <w:r w:rsidRPr="00631C1C">
              <w:rPr>
                <w:szCs w:val="18"/>
              </w:rPr>
              <w:t>11 479</w:t>
            </w:r>
          </w:p>
        </w:tc>
      </w:tr>
      <w:tr w:rsidR="00F234CD" w:rsidRPr="00631C1C"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631C1C" w:rsidRDefault="00312042" w:rsidP="009A58EE">
            <w:pPr>
              <w:pStyle w:val="Normal-pool-Table"/>
              <w:rPr>
                <w:b/>
                <w:bCs/>
                <w:szCs w:val="18"/>
              </w:rPr>
            </w:pPr>
            <w:r w:rsidRPr="00631C1C">
              <w:rPr>
                <w:b/>
                <w:bCs/>
                <w:szCs w:val="18"/>
              </w:rPr>
              <w:t>Eastern European States (19)</w:t>
            </w:r>
          </w:p>
        </w:tc>
      </w:tr>
      <w:tr w:rsidR="00F234CD" w:rsidRPr="00631C1C" w14:paraId="2D8F0F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600E958" w14:textId="77777777" w:rsidR="00312042" w:rsidRPr="00631C1C" w:rsidRDefault="00312042" w:rsidP="009A58EE">
            <w:pPr>
              <w:pStyle w:val="Normal-pool-Table"/>
              <w:rPr>
                <w:szCs w:val="18"/>
              </w:rPr>
            </w:pPr>
            <w:r w:rsidRPr="00631C1C">
              <w:rPr>
                <w:szCs w:val="18"/>
              </w:rPr>
              <w:t>83</w:t>
            </w:r>
          </w:p>
        </w:tc>
        <w:tc>
          <w:tcPr>
            <w:tcW w:w="2573" w:type="dxa"/>
            <w:tcBorders>
              <w:top w:val="nil"/>
              <w:left w:val="nil"/>
              <w:bottom w:val="single" w:sz="4" w:space="0" w:color="auto"/>
              <w:right w:val="single" w:sz="4" w:space="0" w:color="auto"/>
            </w:tcBorders>
            <w:noWrap/>
            <w:hideMark/>
          </w:tcPr>
          <w:p w14:paraId="7C04C50F" w14:textId="77777777" w:rsidR="00312042" w:rsidRPr="00631C1C" w:rsidRDefault="00312042" w:rsidP="009A58EE">
            <w:pPr>
              <w:pStyle w:val="Normal-pool-Table"/>
              <w:rPr>
                <w:szCs w:val="18"/>
              </w:rPr>
            </w:pPr>
            <w:r w:rsidRPr="00631C1C">
              <w:rPr>
                <w:szCs w:val="18"/>
              </w:rPr>
              <w:t>Albania</w:t>
            </w:r>
          </w:p>
        </w:tc>
        <w:tc>
          <w:tcPr>
            <w:tcW w:w="1400" w:type="dxa"/>
            <w:tcBorders>
              <w:top w:val="nil"/>
              <w:left w:val="nil"/>
              <w:bottom w:val="single" w:sz="4" w:space="0" w:color="auto"/>
              <w:right w:val="single" w:sz="4" w:space="0" w:color="auto"/>
            </w:tcBorders>
            <w:noWrap/>
            <w:hideMark/>
          </w:tcPr>
          <w:p w14:paraId="5E08C676" w14:textId="7A6B0D1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11B27A02" w14:textId="77E1C72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06FF49BD"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ABC952E"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FB3BE0E" w14:textId="77777777" w:rsidR="00312042" w:rsidRPr="00631C1C" w:rsidRDefault="00312042" w:rsidP="009A58EE">
            <w:pPr>
              <w:pStyle w:val="Normal-pool-Table"/>
              <w:jc w:val="right"/>
              <w:rPr>
                <w:szCs w:val="18"/>
              </w:rPr>
            </w:pPr>
            <w:r w:rsidRPr="00631C1C">
              <w:rPr>
                <w:szCs w:val="18"/>
              </w:rPr>
              <w:t>722</w:t>
            </w:r>
          </w:p>
        </w:tc>
      </w:tr>
      <w:tr w:rsidR="00F234CD" w:rsidRPr="00631C1C" w14:paraId="3463B04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5A4687" w14:textId="77777777" w:rsidR="00312042" w:rsidRPr="00631C1C" w:rsidRDefault="00312042" w:rsidP="009A58EE">
            <w:pPr>
              <w:pStyle w:val="Normal-pool-Table"/>
              <w:rPr>
                <w:szCs w:val="18"/>
              </w:rPr>
            </w:pPr>
            <w:r w:rsidRPr="00631C1C">
              <w:rPr>
                <w:szCs w:val="18"/>
              </w:rPr>
              <w:t>84</w:t>
            </w:r>
          </w:p>
        </w:tc>
        <w:tc>
          <w:tcPr>
            <w:tcW w:w="2573" w:type="dxa"/>
            <w:tcBorders>
              <w:top w:val="nil"/>
              <w:left w:val="nil"/>
              <w:bottom w:val="single" w:sz="4" w:space="0" w:color="auto"/>
              <w:right w:val="single" w:sz="4" w:space="0" w:color="auto"/>
            </w:tcBorders>
            <w:noWrap/>
            <w:hideMark/>
          </w:tcPr>
          <w:p w14:paraId="76509696" w14:textId="77777777" w:rsidR="00312042" w:rsidRPr="00631C1C" w:rsidRDefault="00312042" w:rsidP="009A58EE">
            <w:pPr>
              <w:pStyle w:val="Normal-pool-Table"/>
              <w:rPr>
                <w:szCs w:val="18"/>
              </w:rPr>
            </w:pPr>
            <w:r w:rsidRPr="00631C1C">
              <w:rPr>
                <w:szCs w:val="18"/>
              </w:rPr>
              <w:t>Armenia</w:t>
            </w:r>
          </w:p>
        </w:tc>
        <w:tc>
          <w:tcPr>
            <w:tcW w:w="1400" w:type="dxa"/>
            <w:tcBorders>
              <w:top w:val="nil"/>
              <w:left w:val="nil"/>
              <w:bottom w:val="single" w:sz="4" w:space="0" w:color="auto"/>
              <w:right w:val="single" w:sz="4" w:space="0" w:color="auto"/>
            </w:tcBorders>
            <w:noWrap/>
            <w:hideMark/>
          </w:tcPr>
          <w:p w14:paraId="0CADE7C4" w14:textId="2BA20BF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06A0F3A4" w14:textId="02B2ED9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7AF9F3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77BC32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1FA24D4" w14:textId="77777777" w:rsidR="00312042" w:rsidRPr="00631C1C" w:rsidRDefault="00312042" w:rsidP="009A58EE">
            <w:pPr>
              <w:pStyle w:val="Normal-pool-Table"/>
              <w:jc w:val="right"/>
              <w:rPr>
                <w:szCs w:val="18"/>
              </w:rPr>
            </w:pPr>
            <w:r w:rsidRPr="00631C1C">
              <w:rPr>
                <w:szCs w:val="18"/>
              </w:rPr>
              <w:t>715</w:t>
            </w:r>
          </w:p>
        </w:tc>
      </w:tr>
      <w:tr w:rsidR="00F234CD" w:rsidRPr="00631C1C" w14:paraId="33B8D0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6F91A0" w14:textId="77777777" w:rsidR="00312042" w:rsidRPr="00631C1C" w:rsidRDefault="00312042" w:rsidP="009A58EE">
            <w:pPr>
              <w:pStyle w:val="Normal-pool-Table"/>
              <w:rPr>
                <w:szCs w:val="18"/>
              </w:rPr>
            </w:pPr>
            <w:r w:rsidRPr="00631C1C">
              <w:rPr>
                <w:szCs w:val="18"/>
              </w:rPr>
              <w:t>85</w:t>
            </w:r>
          </w:p>
        </w:tc>
        <w:tc>
          <w:tcPr>
            <w:tcW w:w="2573" w:type="dxa"/>
            <w:tcBorders>
              <w:top w:val="nil"/>
              <w:left w:val="nil"/>
              <w:bottom w:val="single" w:sz="4" w:space="0" w:color="auto"/>
              <w:right w:val="single" w:sz="4" w:space="0" w:color="auto"/>
            </w:tcBorders>
            <w:noWrap/>
            <w:hideMark/>
          </w:tcPr>
          <w:p w14:paraId="2632998B" w14:textId="77777777" w:rsidR="00312042" w:rsidRPr="00631C1C" w:rsidRDefault="00312042" w:rsidP="009A58EE">
            <w:pPr>
              <w:pStyle w:val="Normal-pool-Table"/>
              <w:rPr>
                <w:szCs w:val="18"/>
              </w:rPr>
            </w:pPr>
            <w:r w:rsidRPr="00631C1C">
              <w:rPr>
                <w:szCs w:val="18"/>
              </w:rPr>
              <w:t>Bulgaria</w:t>
            </w:r>
          </w:p>
        </w:tc>
        <w:tc>
          <w:tcPr>
            <w:tcW w:w="1400" w:type="dxa"/>
            <w:tcBorders>
              <w:top w:val="nil"/>
              <w:left w:val="nil"/>
              <w:bottom w:val="single" w:sz="4" w:space="0" w:color="auto"/>
              <w:right w:val="single" w:sz="4" w:space="0" w:color="auto"/>
            </w:tcBorders>
            <w:noWrap/>
            <w:hideMark/>
          </w:tcPr>
          <w:p w14:paraId="7E392B0E" w14:textId="2552477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071</w:t>
            </w:r>
          </w:p>
        </w:tc>
        <w:tc>
          <w:tcPr>
            <w:tcW w:w="1073" w:type="dxa"/>
            <w:tcBorders>
              <w:top w:val="nil"/>
              <w:left w:val="nil"/>
              <w:bottom w:val="single" w:sz="4" w:space="0" w:color="auto"/>
              <w:right w:val="single" w:sz="4" w:space="0" w:color="auto"/>
            </w:tcBorders>
            <w:noWrap/>
            <w:hideMark/>
          </w:tcPr>
          <w:p w14:paraId="7235B5D0" w14:textId="608BCF1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0717</w:t>
            </w:r>
          </w:p>
        </w:tc>
        <w:tc>
          <w:tcPr>
            <w:tcW w:w="1293" w:type="dxa"/>
            <w:tcBorders>
              <w:top w:val="nil"/>
              <w:left w:val="nil"/>
              <w:bottom w:val="single" w:sz="4" w:space="0" w:color="auto"/>
              <w:right w:val="single" w:sz="4" w:space="0" w:color="auto"/>
            </w:tcBorders>
            <w:noWrap/>
            <w:hideMark/>
          </w:tcPr>
          <w:p w14:paraId="118CE4FA" w14:textId="77777777" w:rsidR="00312042" w:rsidRPr="00631C1C" w:rsidRDefault="00312042" w:rsidP="009A58EE">
            <w:pPr>
              <w:pStyle w:val="Normal-pool-Table"/>
              <w:jc w:val="right"/>
              <w:rPr>
                <w:szCs w:val="18"/>
              </w:rPr>
            </w:pPr>
            <w:r w:rsidRPr="00631C1C">
              <w:rPr>
                <w:szCs w:val="18"/>
              </w:rPr>
              <w:t>2 210</w:t>
            </w:r>
          </w:p>
        </w:tc>
        <w:tc>
          <w:tcPr>
            <w:tcW w:w="1293" w:type="dxa"/>
            <w:tcBorders>
              <w:top w:val="nil"/>
              <w:left w:val="nil"/>
              <w:bottom w:val="single" w:sz="4" w:space="0" w:color="auto"/>
              <w:right w:val="single" w:sz="4" w:space="0" w:color="auto"/>
            </w:tcBorders>
            <w:noWrap/>
            <w:hideMark/>
          </w:tcPr>
          <w:p w14:paraId="6538FA66" w14:textId="77777777" w:rsidR="00312042" w:rsidRPr="00631C1C" w:rsidRDefault="00312042" w:rsidP="009A58EE">
            <w:pPr>
              <w:pStyle w:val="Normal-pool-Table"/>
              <w:jc w:val="right"/>
              <w:rPr>
                <w:szCs w:val="18"/>
              </w:rPr>
            </w:pPr>
            <w:r w:rsidRPr="00631C1C">
              <w:rPr>
                <w:szCs w:val="18"/>
              </w:rPr>
              <w:t>2 916</w:t>
            </w:r>
          </w:p>
        </w:tc>
        <w:tc>
          <w:tcPr>
            <w:tcW w:w="1313" w:type="dxa"/>
            <w:tcBorders>
              <w:top w:val="nil"/>
              <w:left w:val="nil"/>
              <w:bottom w:val="single" w:sz="4" w:space="0" w:color="auto"/>
              <w:right w:val="single" w:sz="4" w:space="0" w:color="auto"/>
            </w:tcBorders>
            <w:noWrap/>
            <w:hideMark/>
          </w:tcPr>
          <w:p w14:paraId="55EB0201" w14:textId="77777777" w:rsidR="00312042" w:rsidRPr="00631C1C" w:rsidRDefault="00312042" w:rsidP="009A58EE">
            <w:pPr>
              <w:pStyle w:val="Normal-pool-Table"/>
              <w:jc w:val="right"/>
              <w:rPr>
                <w:szCs w:val="18"/>
              </w:rPr>
            </w:pPr>
            <w:r w:rsidRPr="00631C1C">
              <w:rPr>
                <w:szCs w:val="18"/>
              </w:rPr>
              <w:t>5 126</w:t>
            </w:r>
          </w:p>
        </w:tc>
      </w:tr>
      <w:tr w:rsidR="00F234CD" w:rsidRPr="00631C1C" w14:paraId="5517A7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19488A" w14:textId="77777777" w:rsidR="00312042" w:rsidRPr="00631C1C" w:rsidRDefault="00312042" w:rsidP="009A58EE">
            <w:pPr>
              <w:pStyle w:val="Normal-pool-Table"/>
              <w:rPr>
                <w:szCs w:val="18"/>
              </w:rPr>
            </w:pPr>
            <w:r w:rsidRPr="00631C1C">
              <w:rPr>
                <w:szCs w:val="18"/>
              </w:rPr>
              <w:t>86</w:t>
            </w:r>
          </w:p>
        </w:tc>
        <w:tc>
          <w:tcPr>
            <w:tcW w:w="2573" w:type="dxa"/>
            <w:tcBorders>
              <w:top w:val="nil"/>
              <w:left w:val="nil"/>
              <w:bottom w:val="single" w:sz="4" w:space="0" w:color="auto"/>
              <w:right w:val="single" w:sz="4" w:space="0" w:color="auto"/>
            </w:tcBorders>
            <w:noWrap/>
            <w:hideMark/>
          </w:tcPr>
          <w:p w14:paraId="6900BF8E" w14:textId="77777777" w:rsidR="00312042" w:rsidRPr="00631C1C" w:rsidRDefault="00312042" w:rsidP="009A58EE">
            <w:pPr>
              <w:pStyle w:val="Normal-pool-Table"/>
              <w:rPr>
                <w:szCs w:val="18"/>
              </w:rPr>
            </w:pPr>
            <w:r w:rsidRPr="00631C1C">
              <w:rPr>
                <w:szCs w:val="18"/>
              </w:rPr>
              <w:t>Croatia</w:t>
            </w:r>
          </w:p>
        </w:tc>
        <w:tc>
          <w:tcPr>
            <w:tcW w:w="1400" w:type="dxa"/>
            <w:tcBorders>
              <w:top w:val="nil"/>
              <w:left w:val="nil"/>
              <w:bottom w:val="single" w:sz="4" w:space="0" w:color="auto"/>
              <w:right w:val="single" w:sz="4" w:space="0" w:color="auto"/>
            </w:tcBorders>
            <w:noWrap/>
            <w:hideMark/>
          </w:tcPr>
          <w:p w14:paraId="5CC19A3A" w14:textId="6E94545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088</w:t>
            </w:r>
          </w:p>
        </w:tc>
        <w:tc>
          <w:tcPr>
            <w:tcW w:w="1073" w:type="dxa"/>
            <w:tcBorders>
              <w:top w:val="nil"/>
              <w:left w:val="nil"/>
              <w:bottom w:val="single" w:sz="4" w:space="0" w:color="auto"/>
              <w:right w:val="single" w:sz="4" w:space="0" w:color="auto"/>
            </w:tcBorders>
            <w:noWrap/>
            <w:hideMark/>
          </w:tcPr>
          <w:p w14:paraId="0A4695A4" w14:textId="4B743CC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0888</w:t>
            </w:r>
          </w:p>
        </w:tc>
        <w:tc>
          <w:tcPr>
            <w:tcW w:w="1293" w:type="dxa"/>
            <w:tcBorders>
              <w:top w:val="nil"/>
              <w:left w:val="nil"/>
              <w:bottom w:val="single" w:sz="4" w:space="0" w:color="auto"/>
              <w:right w:val="single" w:sz="4" w:space="0" w:color="auto"/>
            </w:tcBorders>
            <w:noWrap/>
            <w:hideMark/>
          </w:tcPr>
          <w:p w14:paraId="50E75DA3" w14:textId="77777777" w:rsidR="00312042" w:rsidRPr="00631C1C" w:rsidRDefault="00312042" w:rsidP="009A58EE">
            <w:pPr>
              <w:pStyle w:val="Normal-pool-Table"/>
              <w:jc w:val="right"/>
              <w:rPr>
                <w:szCs w:val="18"/>
              </w:rPr>
            </w:pPr>
            <w:r w:rsidRPr="00631C1C">
              <w:rPr>
                <w:szCs w:val="18"/>
              </w:rPr>
              <w:t>2 739</w:t>
            </w:r>
          </w:p>
        </w:tc>
        <w:tc>
          <w:tcPr>
            <w:tcW w:w="1293" w:type="dxa"/>
            <w:tcBorders>
              <w:top w:val="nil"/>
              <w:left w:val="nil"/>
              <w:bottom w:val="single" w:sz="4" w:space="0" w:color="auto"/>
              <w:right w:val="single" w:sz="4" w:space="0" w:color="auto"/>
            </w:tcBorders>
            <w:noWrap/>
            <w:hideMark/>
          </w:tcPr>
          <w:p w14:paraId="570024BC" w14:textId="77777777" w:rsidR="00312042" w:rsidRPr="00631C1C" w:rsidRDefault="00312042" w:rsidP="009A58EE">
            <w:pPr>
              <w:pStyle w:val="Normal-pool-Table"/>
              <w:jc w:val="right"/>
              <w:rPr>
                <w:szCs w:val="18"/>
              </w:rPr>
            </w:pPr>
            <w:r w:rsidRPr="00631C1C">
              <w:rPr>
                <w:szCs w:val="18"/>
              </w:rPr>
              <w:t>3 614</w:t>
            </w:r>
          </w:p>
        </w:tc>
        <w:tc>
          <w:tcPr>
            <w:tcW w:w="1313" w:type="dxa"/>
            <w:tcBorders>
              <w:top w:val="nil"/>
              <w:left w:val="nil"/>
              <w:bottom w:val="single" w:sz="4" w:space="0" w:color="auto"/>
              <w:right w:val="single" w:sz="4" w:space="0" w:color="auto"/>
            </w:tcBorders>
            <w:noWrap/>
            <w:hideMark/>
          </w:tcPr>
          <w:p w14:paraId="3B8E1710" w14:textId="77777777" w:rsidR="00312042" w:rsidRPr="00631C1C" w:rsidRDefault="00312042" w:rsidP="009A58EE">
            <w:pPr>
              <w:pStyle w:val="Normal-pool-Table"/>
              <w:jc w:val="right"/>
              <w:rPr>
                <w:szCs w:val="18"/>
              </w:rPr>
            </w:pPr>
            <w:r w:rsidRPr="00631C1C">
              <w:rPr>
                <w:szCs w:val="18"/>
              </w:rPr>
              <w:t>6 353</w:t>
            </w:r>
          </w:p>
        </w:tc>
      </w:tr>
      <w:tr w:rsidR="00F234CD" w:rsidRPr="00631C1C" w14:paraId="6BDF70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88F3D7" w14:textId="77777777" w:rsidR="00312042" w:rsidRPr="00631C1C" w:rsidRDefault="00312042" w:rsidP="009A58EE">
            <w:pPr>
              <w:pStyle w:val="Normal-pool-Table"/>
              <w:rPr>
                <w:szCs w:val="18"/>
              </w:rPr>
            </w:pPr>
            <w:r w:rsidRPr="00631C1C">
              <w:rPr>
                <w:szCs w:val="18"/>
              </w:rPr>
              <w:t>87</w:t>
            </w:r>
          </w:p>
        </w:tc>
        <w:tc>
          <w:tcPr>
            <w:tcW w:w="2573" w:type="dxa"/>
            <w:tcBorders>
              <w:top w:val="nil"/>
              <w:left w:val="nil"/>
              <w:bottom w:val="single" w:sz="4" w:space="0" w:color="auto"/>
              <w:right w:val="single" w:sz="4" w:space="0" w:color="auto"/>
            </w:tcBorders>
            <w:noWrap/>
            <w:hideMark/>
          </w:tcPr>
          <w:p w14:paraId="2BFF3DF9" w14:textId="77777777" w:rsidR="00312042" w:rsidRPr="00631C1C" w:rsidRDefault="00312042" w:rsidP="009A58EE">
            <w:pPr>
              <w:pStyle w:val="Normal-pool-Table"/>
              <w:rPr>
                <w:szCs w:val="18"/>
              </w:rPr>
            </w:pPr>
            <w:r w:rsidRPr="00631C1C">
              <w:rPr>
                <w:szCs w:val="18"/>
              </w:rPr>
              <w:t>Czechia</w:t>
            </w:r>
          </w:p>
        </w:tc>
        <w:tc>
          <w:tcPr>
            <w:tcW w:w="1400" w:type="dxa"/>
            <w:tcBorders>
              <w:top w:val="nil"/>
              <w:left w:val="nil"/>
              <w:bottom w:val="single" w:sz="4" w:space="0" w:color="auto"/>
              <w:right w:val="single" w:sz="4" w:space="0" w:color="auto"/>
            </w:tcBorders>
            <w:noWrap/>
            <w:hideMark/>
          </w:tcPr>
          <w:p w14:paraId="79F93C24" w14:textId="454DBBD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344</w:t>
            </w:r>
          </w:p>
        </w:tc>
        <w:tc>
          <w:tcPr>
            <w:tcW w:w="1073" w:type="dxa"/>
            <w:tcBorders>
              <w:top w:val="nil"/>
              <w:left w:val="nil"/>
              <w:bottom w:val="single" w:sz="4" w:space="0" w:color="auto"/>
              <w:right w:val="single" w:sz="4" w:space="0" w:color="auto"/>
            </w:tcBorders>
            <w:noWrap/>
            <w:hideMark/>
          </w:tcPr>
          <w:p w14:paraId="6985243E" w14:textId="522B53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3472</w:t>
            </w:r>
          </w:p>
        </w:tc>
        <w:tc>
          <w:tcPr>
            <w:tcW w:w="1293" w:type="dxa"/>
            <w:tcBorders>
              <w:top w:val="nil"/>
              <w:left w:val="nil"/>
              <w:bottom w:val="single" w:sz="4" w:space="0" w:color="auto"/>
              <w:right w:val="single" w:sz="4" w:space="0" w:color="auto"/>
            </w:tcBorders>
            <w:noWrap/>
            <w:hideMark/>
          </w:tcPr>
          <w:p w14:paraId="33CC3F68" w14:textId="77777777" w:rsidR="00312042" w:rsidRPr="00631C1C" w:rsidRDefault="00312042" w:rsidP="009A58EE">
            <w:pPr>
              <w:pStyle w:val="Normal-pool-Table"/>
              <w:jc w:val="right"/>
              <w:rPr>
                <w:szCs w:val="18"/>
              </w:rPr>
            </w:pPr>
            <w:r w:rsidRPr="00631C1C">
              <w:rPr>
                <w:szCs w:val="18"/>
              </w:rPr>
              <w:t>10 705</w:t>
            </w:r>
          </w:p>
        </w:tc>
        <w:tc>
          <w:tcPr>
            <w:tcW w:w="1293" w:type="dxa"/>
            <w:tcBorders>
              <w:top w:val="nil"/>
              <w:left w:val="nil"/>
              <w:bottom w:val="single" w:sz="4" w:space="0" w:color="auto"/>
              <w:right w:val="single" w:sz="4" w:space="0" w:color="auto"/>
            </w:tcBorders>
            <w:noWrap/>
            <w:hideMark/>
          </w:tcPr>
          <w:p w14:paraId="3DA94D4D" w14:textId="77777777" w:rsidR="00312042" w:rsidRPr="00631C1C" w:rsidRDefault="00312042" w:rsidP="009A58EE">
            <w:pPr>
              <w:pStyle w:val="Normal-pool-Table"/>
              <w:jc w:val="right"/>
              <w:rPr>
                <w:szCs w:val="18"/>
              </w:rPr>
            </w:pPr>
            <w:r w:rsidRPr="00631C1C">
              <w:rPr>
                <w:szCs w:val="18"/>
              </w:rPr>
              <w:t>14 129</w:t>
            </w:r>
          </w:p>
        </w:tc>
        <w:tc>
          <w:tcPr>
            <w:tcW w:w="1313" w:type="dxa"/>
            <w:tcBorders>
              <w:top w:val="nil"/>
              <w:left w:val="nil"/>
              <w:bottom w:val="single" w:sz="4" w:space="0" w:color="auto"/>
              <w:right w:val="single" w:sz="4" w:space="0" w:color="auto"/>
            </w:tcBorders>
            <w:noWrap/>
            <w:hideMark/>
          </w:tcPr>
          <w:p w14:paraId="2307589E" w14:textId="77777777" w:rsidR="00312042" w:rsidRPr="00631C1C" w:rsidRDefault="00312042" w:rsidP="009A58EE">
            <w:pPr>
              <w:pStyle w:val="Normal-pool-Table"/>
              <w:jc w:val="right"/>
              <w:rPr>
                <w:szCs w:val="18"/>
              </w:rPr>
            </w:pPr>
            <w:r w:rsidRPr="00631C1C">
              <w:rPr>
                <w:szCs w:val="18"/>
              </w:rPr>
              <w:t>24 834</w:t>
            </w:r>
          </w:p>
        </w:tc>
      </w:tr>
      <w:tr w:rsidR="00F234CD" w:rsidRPr="00631C1C" w14:paraId="7C286EA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AD24E" w14:textId="77777777" w:rsidR="00312042" w:rsidRPr="00631C1C" w:rsidRDefault="00312042" w:rsidP="009A58EE">
            <w:pPr>
              <w:pStyle w:val="Normal-pool-Table"/>
              <w:rPr>
                <w:szCs w:val="18"/>
              </w:rPr>
            </w:pPr>
            <w:r w:rsidRPr="00631C1C">
              <w:rPr>
                <w:szCs w:val="18"/>
              </w:rPr>
              <w:t>88</w:t>
            </w:r>
          </w:p>
        </w:tc>
        <w:tc>
          <w:tcPr>
            <w:tcW w:w="2573" w:type="dxa"/>
            <w:tcBorders>
              <w:top w:val="nil"/>
              <w:left w:val="nil"/>
              <w:bottom w:val="single" w:sz="4" w:space="0" w:color="auto"/>
              <w:right w:val="single" w:sz="4" w:space="0" w:color="auto"/>
            </w:tcBorders>
            <w:noWrap/>
            <w:hideMark/>
          </w:tcPr>
          <w:p w14:paraId="4C930062" w14:textId="77777777" w:rsidR="00312042" w:rsidRPr="00631C1C" w:rsidRDefault="00312042" w:rsidP="009A58EE">
            <w:pPr>
              <w:pStyle w:val="Normal-pool-Table"/>
              <w:rPr>
                <w:szCs w:val="18"/>
              </w:rPr>
            </w:pPr>
            <w:r w:rsidRPr="00631C1C">
              <w:rPr>
                <w:szCs w:val="18"/>
              </w:rPr>
              <w:t>Estonia</w:t>
            </w:r>
          </w:p>
        </w:tc>
        <w:tc>
          <w:tcPr>
            <w:tcW w:w="1400" w:type="dxa"/>
            <w:tcBorders>
              <w:top w:val="nil"/>
              <w:left w:val="nil"/>
              <w:bottom w:val="single" w:sz="4" w:space="0" w:color="auto"/>
              <w:right w:val="single" w:sz="4" w:space="0" w:color="auto"/>
            </w:tcBorders>
            <w:noWrap/>
            <w:hideMark/>
          </w:tcPr>
          <w:p w14:paraId="3E8287CB" w14:textId="6328E1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045</w:t>
            </w:r>
          </w:p>
        </w:tc>
        <w:tc>
          <w:tcPr>
            <w:tcW w:w="1073" w:type="dxa"/>
            <w:tcBorders>
              <w:top w:val="nil"/>
              <w:left w:val="nil"/>
              <w:bottom w:val="single" w:sz="4" w:space="0" w:color="auto"/>
              <w:right w:val="single" w:sz="4" w:space="0" w:color="auto"/>
            </w:tcBorders>
            <w:noWrap/>
            <w:hideMark/>
          </w:tcPr>
          <w:p w14:paraId="30A04892" w14:textId="325590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0454</w:t>
            </w:r>
          </w:p>
        </w:tc>
        <w:tc>
          <w:tcPr>
            <w:tcW w:w="1293" w:type="dxa"/>
            <w:tcBorders>
              <w:top w:val="nil"/>
              <w:left w:val="nil"/>
              <w:bottom w:val="single" w:sz="4" w:space="0" w:color="auto"/>
              <w:right w:val="single" w:sz="4" w:space="0" w:color="auto"/>
            </w:tcBorders>
            <w:noWrap/>
            <w:hideMark/>
          </w:tcPr>
          <w:p w14:paraId="100CCA01" w14:textId="77777777" w:rsidR="00312042" w:rsidRPr="00631C1C" w:rsidRDefault="00312042" w:rsidP="009A58EE">
            <w:pPr>
              <w:pStyle w:val="Normal-pool-Table"/>
              <w:jc w:val="right"/>
              <w:rPr>
                <w:szCs w:val="18"/>
              </w:rPr>
            </w:pPr>
            <w:r w:rsidRPr="00631C1C">
              <w:rPr>
                <w:szCs w:val="18"/>
              </w:rPr>
              <w:t>1 400</w:t>
            </w:r>
          </w:p>
        </w:tc>
        <w:tc>
          <w:tcPr>
            <w:tcW w:w="1293" w:type="dxa"/>
            <w:tcBorders>
              <w:top w:val="nil"/>
              <w:left w:val="nil"/>
              <w:bottom w:val="single" w:sz="4" w:space="0" w:color="auto"/>
              <w:right w:val="single" w:sz="4" w:space="0" w:color="auto"/>
            </w:tcBorders>
            <w:noWrap/>
            <w:hideMark/>
          </w:tcPr>
          <w:p w14:paraId="55AE4E58" w14:textId="77777777" w:rsidR="00312042" w:rsidRPr="00631C1C" w:rsidRDefault="00312042" w:rsidP="009A58EE">
            <w:pPr>
              <w:pStyle w:val="Normal-pool-Table"/>
              <w:jc w:val="right"/>
              <w:rPr>
                <w:szCs w:val="18"/>
              </w:rPr>
            </w:pPr>
            <w:r w:rsidRPr="00631C1C">
              <w:rPr>
                <w:szCs w:val="18"/>
              </w:rPr>
              <w:t>1 848</w:t>
            </w:r>
          </w:p>
        </w:tc>
        <w:tc>
          <w:tcPr>
            <w:tcW w:w="1313" w:type="dxa"/>
            <w:tcBorders>
              <w:top w:val="nil"/>
              <w:left w:val="nil"/>
              <w:bottom w:val="single" w:sz="4" w:space="0" w:color="auto"/>
              <w:right w:val="single" w:sz="4" w:space="0" w:color="auto"/>
            </w:tcBorders>
            <w:noWrap/>
            <w:hideMark/>
          </w:tcPr>
          <w:p w14:paraId="1B0078D6" w14:textId="77777777" w:rsidR="00312042" w:rsidRPr="00631C1C" w:rsidRDefault="00312042" w:rsidP="009A58EE">
            <w:pPr>
              <w:pStyle w:val="Normal-pool-Table"/>
              <w:jc w:val="right"/>
              <w:rPr>
                <w:szCs w:val="18"/>
              </w:rPr>
            </w:pPr>
            <w:r w:rsidRPr="00631C1C">
              <w:rPr>
                <w:szCs w:val="18"/>
              </w:rPr>
              <w:t>3 249</w:t>
            </w:r>
          </w:p>
        </w:tc>
      </w:tr>
      <w:tr w:rsidR="00F234CD" w:rsidRPr="00631C1C" w14:paraId="6A316B8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C0E2" w14:textId="77777777" w:rsidR="00312042" w:rsidRPr="00631C1C" w:rsidRDefault="00312042" w:rsidP="009A58EE">
            <w:pPr>
              <w:pStyle w:val="Normal-pool-Table"/>
              <w:rPr>
                <w:szCs w:val="18"/>
              </w:rPr>
            </w:pPr>
            <w:r w:rsidRPr="00631C1C">
              <w:rPr>
                <w:szCs w:val="18"/>
              </w:rPr>
              <w:t>89</w:t>
            </w:r>
          </w:p>
        </w:tc>
        <w:tc>
          <w:tcPr>
            <w:tcW w:w="2573" w:type="dxa"/>
            <w:tcBorders>
              <w:top w:val="nil"/>
              <w:left w:val="nil"/>
              <w:bottom w:val="single" w:sz="4" w:space="0" w:color="auto"/>
              <w:right w:val="single" w:sz="4" w:space="0" w:color="auto"/>
            </w:tcBorders>
            <w:noWrap/>
            <w:hideMark/>
          </w:tcPr>
          <w:p w14:paraId="21367672" w14:textId="77777777" w:rsidR="00312042" w:rsidRPr="00631C1C" w:rsidRDefault="00312042" w:rsidP="009A58EE">
            <w:pPr>
              <w:pStyle w:val="Normal-pool-Table"/>
              <w:rPr>
                <w:szCs w:val="18"/>
              </w:rPr>
            </w:pPr>
            <w:r w:rsidRPr="00631C1C">
              <w:rPr>
                <w:szCs w:val="18"/>
              </w:rPr>
              <w:t>Georgia</w:t>
            </w:r>
          </w:p>
        </w:tc>
        <w:tc>
          <w:tcPr>
            <w:tcW w:w="1400" w:type="dxa"/>
            <w:tcBorders>
              <w:top w:val="nil"/>
              <w:left w:val="nil"/>
              <w:bottom w:val="single" w:sz="4" w:space="0" w:color="auto"/>
              <w:right w:val="single" w:sz="4" w:space="0" w:color="auto"/>
            </w:tcBorders>
            <w:noWrap/>
            <w:hideMark/>
          </w:tcPr>
          <w:p w14:paraId="416AACCF" w14:textId="178A6A8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009</w:t>
            </w:r>
          </w:p>
        </w:tc>
        <w:tc>
          <w:tcPr>
            <w:tcW w:w="1073" w:type="dxa"/>
            <w:tcBorders>
              <w:top w:val="nil"/>
              <w:left w:val="nil"/>
              <w:bottom w:val="single" w:sz="4" w:space="0" w:color="auto"/>
              <w:right w:val="single" w:sz="4" w:space="0" w:color="auto"/>
            </w:tcBorders>
            <w:noWrap/>
            <w:hideMark/>
          </w:tcPr>
          <w:p w14:paraId="34746049" w14:textId="342530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F9E974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21D5E1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BAEC111" w14:textId="77777777" w:rsidR="00312042" w:rsidRPr="00631C1C" w:rsidRDefault="00312042" w:rsidP="009A58EE">
            <w:pPr>
              <w:pStyle w:val="Normal-pool-Table"/>
              <w:jc w:val="right"/>
              <w:rPr>
                <w:szCs w:val="18"/>
              </w:rPr>
            </w:pPr>
            <w:r w:rsidRPr="00631C1C">
              <w:rPr>
                <w:szCs w:val="18"/>
              </w:rPr>
              <w:t>715</w:t>
            </w:r>
          </w:p>
        </w:tc>
      </w:tr>
      <w:tr w:rsidR="00F234CD" w:rsidRPr="00631C1C" w14:paraId="3C8893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F84A9C" w14:textId="77777777" w:rsidR="00312042" w:rsidRPr="00631C1C" w:rsidRDefault="00312042" w:rsidP="009A58EE">
            <w:pPr>
              <w:pStyle w:val="Normal-pool-Table"/>
              <w:rPr>
                <w:szCs w:val="18"/>
              </w:rPr>
            </w:pPr>
            <w:r w:rsidRPr="00631C1C">
              <w:rPr>
                <w:szCs w:val="18"/>
              </w:rPr>
              <w:t>90</w:t>
            </w:r>
          </w:p>
        </w:tc>
        <w:tc>
          <w:tcPr>
            <w:tcW w:w="2573" w:type="dxa"/>
            <w:tcBorders>
              <w:top w:val="nil"/>
              <w:left w:val="nil"/>
              <w:bottom w:val="single" w:sz="4" w:space="0" w:color="auto"/>
              <w:right w:val="single" w:sz="4" w:space="0" w:color="auto"/>
            </w:tcBorders>
            <w:noWrap/>
            <w:hideMark/>
          </w:tcPr>
          <w:p w14:paraId="4452E73D" w14:textId="77777777" w:rsidR="00312042" w:rsidRPr="00631C1C" w:rsidRDefault="00312042" w:rsidP="009A58EE">
            <w:pPr>
              <w:pStyle w:val="Normal-pool-Table"/>
              <w:rPr>
                <w:szCs w:val="18"/>
              </w:rPr>
            </w:pPr>
            <w:r w:rsidRPr="00631C1C">
              <w:rPr>
                <w:szCs w:val="18"/>
              </w:rPr>
              <w:t>Hungary</w:t>
            </w:r>
          </w:p>
        </w:tc>
        <w:tc>
          <w:tcPr>
            <w:tcW w:w="1400" w:type="dxa"/>
            <w:tcBorders>
              <w:top w:val="nil"/>
              <w:left w:val="nil"/>
              <w:bottom w:val="single" w:sz="4" w:space="0" w:color="auto"/>
              <w:right w:val="single" w:sz="4" w:space="0" w:color="auto"/>
            </w:tcBorders>
            <w:noWrap/>
            <w:hideMark/>
          </w:tcPr>
          <w:p w14:paraId="3B7DDB37" w14:textId="11BAFED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223</w:t>
            </w:r>
          </w:p>
        </w:tc>
        <w:tc>
          <w:tcPr>
            <w:tcW w:w="1073" w:type="dxa"/>
            <w:tcBorders>
              <w:top w:val="nil"/>
              <w:left w:val="nil"/>
              <w:bottom w:val="single" w:sz="4" w:space="0" w:color="auto"/>
              <w:right w:val="single" w:sz="4" w:space="0" w:color="auto"/>
            </w:tcBorders>
            <w:noWrap/>
            <w:hideMark/>
          </w:tcPr>
          <w:p w14:paraId="664F8E77" w14:textId="4DCE9A0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2251</w:t>
            </w:r>
          </w:p>
        </w:tc>
        <w:tc>
          <w:tcPr>
            <w:tcW w:w="1293" w:type="dxa"/>
            <w:tcBorders>
              <w:top w:val="nil"/>
              <w:left w:val="nil"/>
              <w:bottom w:val="single" w:sz="4" w:space="0" w:color="auto"/>
              <w:right w:val="single" w:sz="4" w:space="0" w:color="auto"/>
            </w:tcBorders>
            <w:noWrap/>
            <w:hideMark/>
          </w:tcPr>
          <w:p w14:paraId="151961FF" w14:textId="77777777" w:rsidR="00312042" w:rsidRPr="00631C1C" w:rsidRDefault="00312042" w:rsidP="009A58EE">
            <w:pPr>
              <w:pStyle w:val="Normal-pool-Table"/>
              <w:jc w:val="right"/>
              <w:rPr>
                <w:szCs w:val="18"/>
              </w:rPr>
            </w:pPr>
            <w:r w:rsidRPr="00631C1C">
              <w:rPr>
                <w:szCs w:val="18"/>
              </w:rPr>
              <w:t>6 940</w:t>
            </w:r>
          </w:p>
        </w:tc>
        <w:tc>
          <w:tcPr>
            <w:tcW w:w="1293" w:type="dxa"/>
            <w:tcBorders>
              <w:top w:val="nil"/>
              <w:left w:val="nil"/>
              <w:bottom w:val="single" w:sz="4" w:space="0" w:color="auto"/>
              <w:right w:val="single" w:sz="4" w:space="0" w:color="auto"/>
            </w:tcBorders>
            <w:noWrap/>
            <w:hideMark/>
          </w:tcPr>
          <w:p w14:paraId="09D1234B" w14:textId="77777777" w:rsidR="00312042" w:rsidRPr="00631C1C" w:rsidRDefault="00312042" w:rsidP="009A58EE">
            <w:pPr>
              <w:pStyle w:val="Normal-pool-Table"/>
              <w:jc w:val="right"/>
              <w:rPr>
                <w:szCs w:val="18"/>
              </w:rPr>
            </w:pPr>
            <w:r w:rsidRPr="00631C1C">
              <w:rPr>
                <w:szCs w:val="18"/>
              </w:rPr>
              <w:t>9 159</w:t>
            </w:r>
          </w:p>
        </w:tc>
        <w:tc>
          <w:tcPr>
            <w:tcW w:w="1313" w:type="dxa"/>
            <w:tcBorders>
              <w:top w:val="nil"/>
              <w:left w:val="nil"/>
              <w:bottom w:val="single" w:sz="4" w:space="0" w:color="auto"/>
              <w:right w:val="single" w:sz="4" w:space="0" w:color="auto"/>
            </w:tcBorders>
            <w:noWrap/>
            <w:hideMark/>
          </w:tcPr>
          <w:p w14:paraId="3743BBCE" w14:textId="77777777" w:rsidR="00312042" w:rsidRPr="00631C1C" w:rsidRDefault="00312042" w:rsidP="009A58EE">
            <w:pPr>
              <w:pStyle w:val="Normal-pool-Table"/>
              <w:jc w:val="right"/>
              <w:rPr>
                <w:szCs w:val="18"/>
              </w:rPr>
            </w:pPr>
            <w:r w:rsidRPr="00631C1C">
              <w:rPr>
                <w:szCs w:val="18"/>
              </w:rPr>
              <w:t>16 099</w:t>
            </w:r>
          </w:p>
        </w:tc>
      </w:tr>
      <w:tr w:rsidR="00F234CD" w:rsidRPr="00631C1C" w14:paraId="7ED36B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84ACD3" w14:textId="77777777" w:rsidR="00312042" w:rsidRPr="00631C1C" w:rsidRDefault="00312042" w:rsidP="009A58EE">
            <w:pPr>
              <w:pStyle w:val="Normal-pool-Table"/>
              <w:rPr>
                <w:szCs w:val="18"/>
              </w:rPr>
            </w:pPr>
            <w:r w:rsidRPr="00631C1C">
              <w:rPr>
                <w:szCs w:val="18"/>
              </w:rPr>
              <w:t>91</w:t>
            </w:r>
          </w:p>
        </w:tc>
        <w:tc>
          <w:tcPr>
            <w:tcW w:w="2573" w:type="dxa"/>
            <w:tcBorders>
              <w:top w:val="nil"/>
              <w:left w:val="nil"/>
              <w:bottom w:val="single" w:sz="4" w:space="0" w:color="auto"/>
              <w:right w:val="single" w:sz="4" w:space="0" w:color="auto"/>
            </w:tcBorders>
            <w:noWrap/>
            <w:hideMark/>
          </w:tcPr>
          <w:p w14:paraId="22E7008F" w14:textId="77777777" w:rsidR="00312042" w:rsidRPr="00631C1C" w:rsidRDefault="00312042" w:rsidP="009A58EE">
            <w:pPr>
              <w:pStyle w:val="Normal-pool-Table"/>
              <w:rPr>
                <w:szCs w:val="18"/>
              </w:rPr>
            </w:pPr>
            <w:r w:rsidRPr="00631C1C">
              <w:rPr>
                <w:szCs w:val="18"/>
              </w:rPr>
              <w:t>Latvia</w:t>
            </w:r>
          </w:p>
        </w:tc>
        <w:tc>
          <w:tcPr>
            <w:tcW w:w="1400" w:type="dxa"/>
            <w:tcBorders>
              <w:top w:val="nil"/>
              <w:left w:val="nil"/>
              <w:bottom w:val="single" w:sz="4" w:space="0" w:color="auto"/>
              <w:right w:val="single" w:sz="4" w:space="0" w:color="auto"/>
            </w:tcBorders>
            <w:noWrap/>
            <w:hideMark/>
          </w:tcPr>
          <w:p w14:paraId="130D22A0" w14:textId="09F6D86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w:t>
            </w:r>
          </w:p>
        </w:tc>
        <w:tc>
          <w:tcPr>
            <w:tcW w:w="1073" w:type="dxa"/>
            <w:tcBorders>
              <w:top w:val="nil"/>
              <w:left w:val="nil"/>
              <w:bottom w:val="single" w:sz="4" w:space="0" w:color="auto"/>
              <w:right w:val="single" w:sz="4" w:space="0" w:color="auto"/>
            </w:tcBorders>
            <w:noWrap/>
            <w:hideMark/>
          </w:tcPr>
          <w:p w14:paraId="79F62232" w14:textId="5DD9B30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0505</w:t>
            </w:r>
          </w:p>
        </w:tc>
        <w:tc>
          <w:tcPr>
            <w:tcW w:w="1293" w:type="dxa"/>
            <w:tcBorders>
              <w:top w:val="nil"/>
              <w:left w:val="nil"/>
              <w:bottom w:val="single" w:sz="4" w:space="0" w:color="auto"/>
              <w:right w:val="single" w:sz="4" w:space="0" w:color="auto"/>
            </w:tcBorders>
            <w:noWrap/>
            <w:hideMark/>
          </w:tcPr>
          <w:p w14:paraId="728AE2B4" w14:textId="77777777" w:rsidR="00312042" w:rsidRPr="00631C1C" w:rsidRDefault="00312042" w:rsidP="009A58EE">
            <w:pPr>
              <w:pStyle w:val="Normal-pool-Table"/>
              <w:jc w:val="right"/>
              <w:rPr>
                <w:szCs w:val="18"/>
              </w:rPr>
            </w:pPr>
            <w:r w:rsidRPr="00631C1C">
              <w:rPr>
                <w:szCs w:val="18"/>
              </w:rPr>
              <w:t>1 556</w:t>
            </w:r>
          </w:p>
        </w:tc>
        <w:tc>
          <w:tcPr>
            <w:tcW w:w="1293" w:type="dxa"/>
            <w:tcBorders>
              <w:top w:val="nil"/>
              <w:left w:val="nil"/>
              <w:bottom w:val="single" w:sz="4" w:space="0" w:color="auto"/>
              <w:right w:val="single" w:sz="4" w:space="0" w:color="auto"/>
            </w:tcBorders>
            <w:noWrap/>
            <w:hideMark/>
          </w:tcPr>
          <w:p w14:paraId="55280E0C" w14:textId="77777777" w:rsidR="00312042" w:rsidRPr="00631C1C" w:rsidRDefault="00312042" w:rsidP="009A58EE">
            <w:pPr>
              <w:pStyle w:val="Normal-pool-Table"/>
              <w:jc w:val="right"/>
              <w:rPr>
                <w:szCs w:val="18"/>
              </w:rPr>
            </w:pPr>
            <w:r w:rsidRPr="00631C1C">
              <w:rPr>
                <w:szCs w:val="18"/>
              </w:rPr>
              <w:t>2 054</w:t>
            </w:r>
          </w:p>
        </w:tc>
        <w:tc>
          <w:tcPr>
            <w:tcW w:w="1313" w:type="dxa"/>
            <w:tcBorders>
              <w:top w:val="nil"/>
              <w:left w:val="nil"/>
              <w:bottom w:val="single" w:sz="4" w:space="0" w:color="auto"/>
              <w:right w:val="single" w:sz="4" w:space="0" w:color="auto"/>
            </w:tcBorders>
            <w:noWrap/>
            <w:hideMark/>
          </w:tcPr>
          <w:p w14:paraId="7CAFC988" w14:textId="77777777" w:rsidR="00312042" w:rsidRPr="00631C1C" w:rsidRDefault="00312042" w:rsidP="009A58EE">
            <w:pPr>
              <w:pStyle w:val="Normal-pool-Table"/>
              <w:jc w:val="right"/>
              <w:rPr>
                <w:szCs w:val="18"/>
              </w:rPr>
            </w:pPr>
            <w:r w:rsidRPr="00631C1C">
              <w:rPr>
                <w:szCs w:val="18"/>
              </w:rPr>
              <w:t>3 610</w:t>
            </w:r>
          </w:p>
        </w:tc>
      </w:tr>
      <w:tr w:rsidR="00F234CD" w:rsidRPr="00631C1C" w14:paraId="69056E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C39875" w14:textId="77777777" w:rsidR="00312042" w:rsidRPr="00631C1C" w:rsidRDefault="00312042" w:rsidP="009A58EE">
            <w:pPr>
              <w:pStyle w:val="Normal-pool-Table"/>
              <w:rPr>
                <w:szCs w:val="18"/>
              </w:rPr>
            </w:pPr>
            <w:r w:rsidRPr="00631C1C">
              <w:rPr>
                <w:szCs w:val="18"/>
              </w:rPr>
              <w:t>92</w:t>
            </w:r>
          </w:p>
        </w:tc>
        <w:tc>
          <w:tcPr>
            <w:tcW w:w="2573" w:type="dxa"/>
            <w:tcBorders>
              <w:top w:val="nil"/>
              <w:left w:val="nil"/>
              <w:bottom w:val="single" w:sz="4" w:space="0" w:color="auto"/>
              <w:right w:val="single" w:sz="4" w:space="0" w:color="auto"/>
            </w:tcBorders>
            <w:noWrap/>
            <w:hideMark/>
          </w:tcPr>
          <w:p w14:paraId="5DBC84C3" w14:textId="77777777" w:rsidR="00312042" w:rsidRPr="00631C1C" w:rsidRDefault="00312042" w:rsidP="009A58EE">
            <w:pPr>
              <w:pStyle w:val="Normal-pool-Table"/>
              <w:rPr>
                <w:szCs w:val="18"/>
              </w:rPr>
            </w:pPr>
            <w:r w:rsidRPr="00631C1C">
              <w:rPr>
                <w:szCs w:val="18"/>
              </w:rPr>
              <w:t>Lithuania</w:t>
            </w:r>
          </w:p>
        </w:tc>
        <w:tc>
          <w:tcPr>
            <w:tcW w:w="1400" w:type="dxa"/>
            <w:tcBorders>
              <w:top w:val="nil"/>
              <w:left w:val="nil"/>
              <w:bottom w:val="single" w:sz="4" w:space="0" w:color="auto"/>
              <w:right w:val="single" w:sz="4" w:space="0" w:color="auto"/>
            </w:tcBorders>
            <w:noWrap/>
            <w:hideMark/>
          </w:tcPr>
          <w:p w14:paraId="243E18E3" w14:textId="03B6D15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081</w:t>
            </w:r>
          </w:p>
        </w:tc>
        <w:tc>
          <w:tcPr>
            <w:tcW w:w="1073" w:type="dxa"/>
            <w:tcBorders>
              <w:top w:val="nil"/>
              <w:left w:val="nil"/>
              <w:bottom w:val="single" w:sz="4" w:space="0" w:color="auto"/>
              <w:right w:val="single" w:sz="4" w:space="0" w:color="auto"/>
            </w:tcBorders>
            <w:noWrap/>
            <w:hideMark/>
          </w:tcPr>
          <w:p w14:paraId="7D4D9374" w14:textId="1788D0D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0818</w:t>
            </w:r>
          </w:p>
        </w:tc>
        <w:tc>
          <w:tcPr>
            <w:tcW w:w="1293" w:type="dxa"/>
            <w:tcBorders>
              <w:top w:val="nil"/>
              <w:left w:val="nil"/>
              <w:bottom w:val="single" w:sz="4" w:space="0" w:color="auto"/>
              <w:right w:val="single" w:sz="4" w:space="0" w:color="auto"/>
            </w:tcBorders>
            <w:noWrap/>
            <w:hideMark/>
          </w:tcPr>
          <w:p w14:paraId="241EC4ED" w14:textId="77777777" w:rsidR="00312042" w:rsidRPr="00631C1C" w:rsidRDefault="00312042" w:rsidP="009A58EE">
            <w:pPr>
              <w:pStyle w:val="Normal-pool-Table"/>
              <w:jc w:val="right"/>
              <w:rPr>
                <w:szCs w:val="18"/>
              </w:rPr>
            </w:pPr>
            <w:r w:rsidRPr="00631C1C">
              <w:rPr>
                <w:szCs w:val="18"/>
              </w:rPr>
              <w:t>2 521</w:t>
            </w:r>
          </w:p>
        </w:tc>
        <w:tc>
          <w:tcPr>
            <w:tcW w:w="1293" w:type="dxa"/>
            <w:tcBorders>
              <w:top w:val="nil"/>
              <w:left w:val="nil"/>
              <w:bottom w:val="single" w:sz="4" w:space="0" w:color="auto"/>
              <w:right w:val="single" w:sz="4" w:space="0" w:color="auto"/>
            </w:tcBorders>
            <w:noWrap/>
            <w:hideMark/>
          </w:tcPr>
          <w:p w14:paraId="4B756E45" w14:textId="77777777" w:rsidR="00312042" w:rsidRPr="00631C1C" w:rsidRDefault="00312042" w:rsidP="009A58EE">
            <w:pPr>
              <w:pStyle w:val="Normal-pool-Table"/>
              <w:jc w:val="right"/>
              <w:rPr>
                <w:szCs w:val="18"/>
              </w:rPr>
            </w:pPr>
            <w:r w:rsidRPr="00631C1C">
              <w:rPr>
                <w:szCs w:val="18"/>
              </w:rPr>
              <w:t>3 327</w:t>
            </w:r>
          </w:p>
        </w:tc>
        <w:tc>
          <w:tcPr>
            <w:tcW w:w="1313" w:type="dxa"/>
            <w:tcBorders>
              <w:top w:val="nil"/>
              <w:left w:val="nil"/>
              <w:bottom w:val="single" w:sz="4" w:space="0" w:color="auto"/>
              <w:right w:val="single" w:sz="4" w:space="0" w:color="auto"/>
            </w:tcBorders>
            <w:noWrap/>
            <w:hideMark/>
          </w:tcPr>
          <w:p w14:paraId="7314336A" w14:textId="77777777" w:rsidR="00312042" w:rsidRPr="00631C1C" w:rsidRDefault="00312042" w:rsidP="009A58EE">
            <w:pPr>
              <w:pStyle w:val="Normal-pool-Table"/>
              <w:jc w:val="right"/>
              <w:rPr>
                <w:szCs w:val="18"/>
              </w:rPr>
            </w:pPr>
            <w:r w:rsidRPr="00631C1C">
              <w:rPr>
                <w:szCs w:val="18"/>
              </w:rPr>
              <w:t>5 848</w:t>
            </w:r>
          </w:p>
        </w:tc>
      </w:tr>
      <w:tr w:rsidR="00F234CD" w:rsidRPr="00631C1C" w14:paraId="762F44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06774D9" w14:textId="77777777" w:rsidR="00312042" w:rsidRPr="00631C1C" w:rsidRDefault="00312042" w:rsidP="009A58EE">
            <w:pPr>
              <w:pStyle w:val="Normal-pool-Table"/>
              <w:rPr>
                <w:szCs w:val="18"/>
              </w:rPr>
            </w:pPr>
            <w:r w:rsidRPr="00631C1C">
              <w:rPr>
                <w:szCs w:val="18"/>
              </w:rPr>
              <w:t>93</w:t>
            </w:r>
          </w:p>
        </w:tc>
        <w:tc>
          <w:tcPr>
            <w:tcW w:w="2573" w:type="dxa"/>
            <w:tcBorders>
              <w:top w:val="nil"/>
              <w:left w:val="nil"/>
              <w:bottom w:val="single" w:sz="4" w:space="0" w:color="auto"/>
              <w:right w:val="single" w:sz="4" w:space="0" w:color="auto"/>
            </w:tcBorders>
            <w:noWrap/>
            <w:hideMark/>
          </w:tcPr>
          <w:p w14:paraId="6BFA6FDD" w14:textId="77777777" w:rsidR="00312042" w:rsidRPr="00631C1C" w:rsidRDefault="00312042" w:rsidP="009A58EE">
            <w:pPr>
              <w:pStyle w:val="Normal-pool-Table"/>
              <w:rPr>
                <w:szCs w:val="18"/>
              </w:rPr>
            </w:pPr>
            <w:r w:rsidRPr="00631C1C">
              <w:rPr>
                <w:szCs w:val="18"/>
              </w:rPr>
              <w:t>Montenegro</w:t>
            </w:r>
          </w:p>
        </w:tc>
        <w:tc>
          <w:tcPr>
            <w:tcW w:w="1400" w:type="dxa"/>
            <w:tcBorders>
              <w:top w:val="nil"/>
              <w:left w:val="nil"/>
              <w:bottom w:val="single" w:sz="4" w:space="0" w:color="auto"/>
              <w:right w:val="single" w:sz="4" w:space="0" w:color="auto"/>
            </w:tcBorders>
            <w:noWrap/>
            <w:hideMark/>
          </w:tcPr>
          <w:p w14:paraId="01A2529F" w14:textId="76C190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4B484F70" w14:textId="7AC677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01C65F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C7F7CD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1E5C123" w14:textId="77777777" w:rsidR="00312042" w:rsidRPr="00631C1C" w:rsidRDefault="00312042" w:rsidP="009A58EE">
            <w:pPr>
              <w:pStyle w:val="Normal-pool-Table"/>
              <w:jc w:val="right"/>
              <w:rPr>
                <w:szCs w:val="18"/>
              </w:rPr>
            </w:pPr>
            <w:r w:rsidRPr="00631C1C">
              <w:rPr>
                <w:szCs w:val="18"/>
              </w:rPr>
              <w:t>715</w:t>
            </w:r>
          </w:p>
        </w:tc>
      </w:tr>
      <w:tr w:rsidR="00F234CD" w:rsidRPr="00631C1C" w14:paraId="680E57A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739FC0" w14:textId="77777777" w:rsidR="00312042" w:rsidRPr="00631C1C" w:rsidRDefault="00312042" w:rsidP="009A58EE">
            <w:pPr>
              <w:pStyle w:val="Normal-pool-Table"/>
              <w:rPr>
                <w:szCs w:val="18"/>
              </w:rPr>
            </w:pPr>
            <w:r w:rsidRPr="00631C1C">
              <w:rPr>
                <w:szCs w:val="18"/>
              </w:rPr>
              <w:t>94</w:t>
            </w:r>
          </w:p>
        </w:tc>
        <w:tc>
          <w:tcPr>
            <w:tcW w:w="2573" w:type="dxa"/>
            <w:tcBorders>
              <w:top w:val="nil"/>
              <w:left w:val="nil"/>
              <w:bottom w:val="single" w:sz="4" w:space="0" w:color="auto"/>
              <w:right w:val="single" w:sz="4" w:space="0" w:color="auto"/>
            </w:tcBorders>
            <w:noWrap/>
            <w:hideMark/>
          </w:tcPr>
          <w:p w14:paraId="04C43B08" w14:textId="77777777" w:rsidR="00312042" w:rsidRPr="00631C1C" w:rsidRDefault="00312042" w:rsidP="009A58EE">
            <w:pPr>
              <w:pStyle w:val="Normal-pool-Table"/>
              <w:rPr>
                <w:szCs w:val="18"/>
              </w:rPr>
            </w:pPr>
            <w:r w:rsidRPr="00631C1C">
              <w:rPr>
                <w:szCs w:val="18"/>
              </w:rPr>
              <w:t>North Macedonia</w:t>
            </w:r>
          </w:p>
        </w:tc>
        <w:tc>
          <w:tcPr>
            <w:tcW w:w="1400" w:type="dxa"/>
            <w:tcBorders>
              <w:top w:val="nil"/>
              <w:left w:val="nil"/>
              <w:bottom w:val="single" w:sz="4" w:space="0" w:color="auto"/>
              <w:right w:val="single" w:sz="4" w:space="0" w:color="auto"/>
            </w:tcBorders>
            <w:noWrap/>
            <w:hideMark/>
          </w:tcPr>
          <w:p w14:paraId="771950CF" w14:textId="2ADCBA5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213E0A2A" w14:textId="70E579F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418B59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FA3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908A16" w14:textId="77777777" w:rsidR="00312042" w:rsidRPr="00631C1C" w:rsidRDefault="00312042" w:rsidP="009A58EE">
            <w:pPr>
              <w:pStyle w:val="Normal-pool-Table"/>
              <w:jc w:val="right"/>
              <w:rPr>
                <w:szCs w:val="18"/>
              </w:rPr>
            </w:pPr>
            <w:r w:rsidRPr="00631C1C">
              <w:rPr>
                <w:szCs w:val="18"/>
              </w:rPr>
              <w:t>715</w:t>
            </w:r>
          </w:p>
        </w:tc>
      </w:tr>
      <w:tr w:rsidR="00F234CD" w:rsidRPr="00631C1C" w14:paraId="5A5F6A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450CEB" w14:textId="77777777" w:rsidR="00312042" w:rsidRPr="00631C1C" w:rsidRDefault="00312042" w:rsidP="009A58EE">
            <w:pPr>
              <w:pStyle w:val="Normal-pool-Table"/>
              <w:rPr>
                <w:szCs w:val="18"/>
              </w:rPr>
            </w:pPr>
            <w:r w:rsidRPr="00631C1C">
              <w:rPr>
                <w:szCs w:val="18"/>
              </w:rPr>
              <w:t>95</w:t>
            </w:r>
          </w:p>
        </w:tc>
        <w:tc>
          <w:tcPr>
            <w:tcW w:w="2573" w:type="dxa"/>
            <w:tcBorders>
              <w:top w:val="nil"/>
              <w:left w:val="nil"/>
              <w:bottom w:val="single" w:sz="4" w:space="0" w:color="auto"/>
              <w:right w:val="single" w:sz="4" w:space="0" w:color="auto"/>
            </w:tcBorders>
            <w:noWrap/>
            <w:hideMark/>
          </w:tcPr>
          <w:p w14:paraId="390D3AC9" w14:textId="77777777" w:rsidR="00312042" w:rsidRPr="00631C1C" w:rsidRDefault="00312042" w:rsidP="009A58EE">
            <w:pPr>
              <w:pStyle w:val="Normal-pool-Table"/>
              <w:rPr>
                <w:szCs w:val="18"/>
              </w:rPr>
            </w:pPr>
            <w:r w:rsidRPr="00631C1C">
              <w:rPr>
                <w:szCs w:val="18"/>
              </w:rPr>
              <w:t>Poland</w:t>
            </w:r>
          </w:p>
        </w:tc>
        <w:tc>
          <w:tcPr>
            <w:tcW w:w="1400" w:type="dxa"/>
            <w:tcBorders>
              <w:top w:val="nil"/>
              <w:left w:val="nil"/>
              <w:bottom w:val="single" w:sz="4" w:space="0" w:color="auto"/>
              <w:right w:val="single" w:sz="4" w:space="0" w:color="auto"/>
            </w:tcBorders>
            <w:noWrap/>
            <w:hideMark/>
          </w:tcPr>
          <w:p w14:paraId="4B94F953" w14:textId="2E83E0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831</w:t>
            </w:r>
          </w:p>
        </w:tc>
        <w:tc>
          <w:tcPr>
            <w:tcW w:w="1073" w:type="dxa"/>
            <w:tcBorders>
              <w:top w:val="nil"/>
              <w:left w:val="nil"/>
              <w:bottom w:val="single" w:sz="4" w:space="0" w:color="auto"/>
              <w:right w:val="single" w:sz="4" w:space="0" w:color="auto"/>
            </w:tcBorders>
            <w:noWrap/>
            <w:hideMark/>
          </w:tcPr>
          <w:p w14:paraId="2D2DC9DC" w14:textId="1441BEF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8387</w:t>
            </w:r>
          </w:p>
        </w:tc>
        <w:tc>
          <w:tcPr>
            <w:tcW w:w="1293" w:type="dxa"/>
            <w:tcBorders>
              <w:top w:val="nil"/>
              <w:left w:val="nil"/>
              <w:bottom w:val="single" w:sz="4" w:space="0" w:color="auto"/>
              <w:right w:val="single" w:sz="4" w:space="0" w:color="auto"/>
            </w:tcBorders>
            <w:noWrap/>
            <w:hideMark/>
          </w:tcPr>
          <w:p w14:paraId="50A5B531" w14:textId="77777777" w:rsidR="00312042" w:rsidRPr="00631C1C" w:rsidRDefault="00312042" w:rsidP="009A58EE">
            <w:pPr>
              <w:pStyle w:val="Normal-pool-Table"/>
              <w:jc w:val="right"/>
              <w:rPr>
                <w:szCs w:val="18"/>
              </w:rPr>
            </w:pPr>
            <w:r w:rsidRPr="00631C1C">
              <w:rPr>
                <w:szCs w:val="18"/>
              </w:rPr>
              <w:t>25 861</w:t>
            </w:r>
          </w:p>
        </w:tc>
        <w:tc>
          <w:tcPr>
            <w:tcW w:w="1293" w:type="dxa"/>
            <w:tcBorders>
              <w:top w:val="nil"/>
              <w:left w:val="nil"/>
              <w:bottom w:val="single" w:sz="4" w:space="0" w:color="auto"/>
              <w:right w:val="single" w:sz="4" w:space="0" w:color="auto"/>
            </w:tcBorders>
            <w:noWrap/>
            <w:hideMark/>
          </w:tcPr>
          <w:p w14:paraId="00250274" w14:textId="77777777" w:rsidR="00312042" w:rsidRPr="00631C1C" w:rsidRDefault="00312042" w:rsidP="009A58EE">
            <w:pPr>
              <w:pStyle w:val="Normal-pool-Table"/>
              <w:jc w:val="right"/>
              <w:rPr>
                <w:szCs w:val="18"/>
              </w:rPr>
            </w:pPr>
            <w:r w:rsidRPr="00631C1C">
              <w:rPr>
                <w:szCs w:val="18"/>
              </w:rPr>
              <w:t>34 130</w:t>
            </w:r>
          </w:p>
        </w:tc>
        <w:tc>
          <w:tcPr>
            <w:tcW w:w="1313" w:type="dxa"/>
            <w:tcBorders>
              <w:top w:val="nil"/>
              <w:left w:val="nil"/>
              <w:bottom w:val="single" w:sz="4" w:space="0" w:color="auto"/>
              <w:right w:val="single" w:sz="4" w:space="0" w:color="auto"/>
            </w:tcBorders>
            <w:noWrap/>
            <w:hideMark/>
          </w:tcPr>
          <w:p w14:paraId="26DBD3F7" w14:textId="77777777" w:rsidR="00312042" w:rsidRPr="00631C1C" w:rsidRDefault="00312042" w:rsidP="009A58EE">
            <w:pPr>
              <w:pStyle w:val="Normal-pool-Table"/>
              <w:jc w:val="right"/>
              <w:rPr>
                <w:szCs w:val="18"/>
              </w:rPr>
            </w:pPr>
            <w:r w:rsidRPr="00631C1C">
              <w:rPr>
                <w:szCs w:val="18"/>
              </w:rPr>
              <w:t>59 992</w:t>
            </w:r>
          </w:p>
        </w:tc>
      </w:tr>
      <w:tr w:rsidR="00F234CD" w:rsidRPr="00631C1C" w14:paraId="669089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98841FA" w14:textId="77777777" w:rsidR="00312042" w:rsidRPr="00631C1C" w:rsidRDefault="00312042" w:rsidP="009A58EE">
            <w:pPr>
              <w:pStyle w:val="Normal-pool-Table"/>
              <w:rPr>
                <w:szCs w:val="18"/>
              </w:rPr>
            </w:pPr>
            <w:r w:rsidRPr="00631C1C">
              <w:rPr>
                <w:szCs w:val="18"/>
              </w:rPr>
              <w:t>96</w:t>
            </w:r>
          </w:p>
        </w:tc>
        <w:tc>
          <w:tcPr>
            <w:tcW w:w="2573" w:type="dxa"/>
            <w:tcBorders>
              <w:top w:val="nil"/>
              <w:left w:val="nil"/>
              <w:bottom w:val="single" w:sz="4" w:space="0" w:color="auto"/>
              <w:right w:val="single" w:sz="4" w:space="0" w:color="auto"/>
            </w:tcBorders>
            <w:noWrap/>
            <w:hideMark/>
          </w:tcPr>
          <w:p w14:paraId="1B57CC9E" w14:textId="77777777" w:rsidR="00312042" w:rsidRPr="00631C1C" w:rsidRDefault="00312042" w:rsidP="009A58EE">
            <w:pPr>
              <w:pStyle w:val="Normal-pool-Table"/>
              <w:rPr>
                <w:szCs w:val="18"/>
              </w:rPr>
            </w:pPr>
            <w:r w:rsidRPr="00631C1C">
              <w:rPr>
                <w:szCs w:val="18"/>
              </w:rPr>
              <w:t>Republic of Moldova</w:t>
            </w:r>
          </w:p>
        </w:tc>
        <w:tc>
          <w:tcPr>
            <w:tcW w:w="1400" w:type="dxa"/>
            <w:tcBorders>
              <w:top w:val="nil"/>
              <w:left w:val="nil"/>
              <w:bottom w:val="single" w:sz="4" w:space="0" w:color="auto"/>
              <w:right w:val="single" w:sz="4" w:space="0" w:color="auto"/>
            </w:tcBorders>
            <w:noWrap/>
            <w:hideMark/>
          </w:tcPr>
          <w:p w14:paraId="1251971A" w14:textId="394822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5F1E81C8" w14:textId="1F695CB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065BE7B"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A4952F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9FFD4B8" w14:textId="77777777" w:rsidR="00312042" w:rsidRPr="00631C1C" w:rsidRDefault="00312042" w:rsidP="009A58EE">
            <w:pPr>
              <w:pStyle w:val="Normal-pool-Table"/>
              <w:jc w:val="right"/>
              <w:rPr>
                <w:szCs w:val="18"/>
              </w:rPr>
            </w:pPr>
            <w:r w:rsidRPr="00631C1C">
              <w:rPr>
                <w:szCs w:val="18"/>
              </w:rPr>
              <w:t>715</w:t>
            </w:r>
          </w:p>
        </w:tc>
      </w:tr>
      <w:tr w:rsidR="00F234CD" w:rsidRPr="00631C1C" w14:paraId="63440C8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1FCF02E" w14:textId="77777777" w:rsidR="00312042" w:rsidRPr="00631C1C" w:rsidRDefault="00312042" w:rsidP="009A58EE">
            <w:pPr>
              <w:pStyle w:val="Normal-pool-Table"/>
              <w:rPr>
                <w:szCs w:val="18"/>
              </w:rPr>
            </w:pPr>
            <w:r w:rsidRPr="00631C1C">
              <w:rPr>
                <w:szCs w:val="18"/>
              </w:rPr>
              <w:t>97</w:t>
            </w:r>
          </w:p>
        </w:tc>
        <w:tc>
          <w:tcPr>
            <w:tcW w:w="2573" w:type="dxa"/>
            <w:tcBorders>
              <w:top w:val="nil"/>
              <w:left w:val="nil"/>
              <w:bottom w:val="single" w:sz="4" w:space="0" w:color="auto"/>
              <w:right w:val="single" w:sz="4" w:space="0" w:color="auto"/>
            </w:tcBorders>
            <w:noWrap/>
            <w:hideMark/>
          </w:tcPr>
          <w:p w14:paraId="6F96F6DD" w14:textId="77777777" w:rsidR="00312042" w:rsidRPr="00631C1C" w:rsidRDefault="00312042" w:rsidP="009A58EE">
            <w:pPr>
              <w:pStyle w:val="Normal-pool-Table"/>
              <w:rPr>
                <w:szCs w:val="18"/>
              </w:rPr>
            </w:pPr>
            <w:r w:rsidRPr="00631C1C">
              <w:rPr>
                <w:szCs w:val="18"/>
              </w:rPr>
              <w:t>Romania</w:t>
            </w:r>
          </w:p>
        </w:tc>
        <w:tc>
          <w:tcPr>
            <w:tcW w:w="1400" w:type="dxa"/>
            <w:tcBorders>
              <w:top w:val="nil"/>
              <w:left w:val="nil"/>
              <w:bottom w:val="single" w:sz="4" w:space="0" w:color="auto"/>
              <w:right w:val="single" w:sz="4" w:space="0" w:color="auto"/>
            </w:tcBorders>
            <w:noWrap/>
            <w:hideMark/>
          </w:tcPr>
          <w:p w14:paraId="0D897A8B" w14:textId="2815B6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358</w:t>
            </w:r>
          </w:p>
        </w:tc>
        <w:tc>
          <w:tcPr>
            <w:tcW w:w="1073" w:type="dxa"/>
            <w:tcBorders>
              <w:top w:val="nil"/>
              <w:left w:val="nil"/>
              <w:bottom w:val="single" w:sz="4" w:space="0" w:color="auto"/>
              <w:right w:val="single" w:sz="4" w:space="0" w:color="auto"/>
            </w:tcBorders>
            <w:noWrap/>
            <w:hideMark/>
          </w:tcPr>
          <w:p w14:paraId="6E2EDC84" w14:textId="6400D86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3613</w:t>
            </w:r>
          </w:p>
        </w:tc>
        <w:tc>
          <w:tcPr>
            <w:tcW w:w="1293" w:type="dxa"/>
            <w:tcBorders>
              <w:top w:val="nil"/>
              <w:left w:val="nil"/>
              <w:bottom w:val="single" w:sz="4" w:space="0" w:color="auto"/>
              <w:right w:val="single" w:sz="4" w:space="0" w:color="auto"/>
            </w:tcBorders>
            <w:noWrap/>
            <w:hideMark/>
          </w:tcPr>
          <w:p w14:paraId="16CEB2BC" w14:textId="77777777" w:rsidR="00312042" w:rsidRPr="00631C1C" w:rsidRDefault="00312042" w:rsidP="009A58EE">
            <w:pPr>
              <w:pStyle w:val="Normal-pool-Table"/>
              <w:jc w:val="right"/>
              <w:rPr>
                <w:szCs w:val="18"/>
              </w:rPr>
            </w:pPr>
            <w:r w:rsidRPr="00631C1C">
              <w:rPr>
                <w:szCs w:val="18"/>
              </w:rPr>
              <w:t>11 141</w:t>
            </w:r>
          </w:p>
        </w:tc>
        <w:tc>
          <w:tcPr>
            <w:tcW w:w="1293" w:type="dxa"/>
            <w:tcBorders>
              <w:top w:val="nil"/>
              <w:left w:val="nil"/>
              <w:bottom w:val="single" w:sz="4" w:space="0" w:color="auto"/>
              <w:right w:val="single" w:sz="4" w:space="0" w:color="auto"/>
            </w:tcBorders>
            <w:noWrap/>
            <w:hideMark/>
          </w:tcPr>
          <w:p w14:paraId="12AB96AA" w14:textId="77777777" w:rsidR="00312042" w:rsidRPr="00631C1C" w:rsidRDefault="00312042" w:rsidP="009A58EE">
            <w:pPr>
              <w:pStyle w:val="Normal-pool-Table"/>
              <w:jc w:val="right"/>
              <w:rPr>
                <w:szCs w:val="18"/>
              </w:rPr>
            </w:pPr>
            <w:r w:rsidRPr="00631C1C">
              <w:rPr>
                <w:szCs w:val="18"/>
              </w:rPr>
              <w:t>14 704</w:t>
            </w:r>
          </w:p>
        </w:tc>
        <w:tc>
          <w:tcPr>
            <w:tcW w:w="1313" w:type="dxa"/>
            <w:tcBorders>
              <w:top w:val="nil"/>
              <w:left w:val="nil"/>
              <w:bottom w:val="single" w:sz="4" w:space="0" w:color="auto"/>
              <w:right w:val="single" w:sz="4" w:space="0" w:color="auto"/>
            </w:tcBorders>
            <w:noWrap/>
            <w:hideMark/>
          </w:tcPr>
          <w:p w14:paraId="5BBFAC5B" w14:textId="77777777" w:rsidR="00312042" w:rsidRPr="00631C1C" w:rsidRDefault="00312042" w:rsidP="009A58EE">
            <w:pPr>
              <w:pStyle w:val="Normal-pool-Table"/>
              <w:jc w:val="right"/>
              <w:rPr>
                <w:szCs w:val="18"/>
              </w:rPr>
            </w:pPr>
            <w:r w:rsidRPr="00631C1C">
              <w:rPr>
                <w:szCs w:val="18"/>
              </w:rPr>
              <w:t>25 845</w:t>
            </w:r>
          </w:p>
        </w:tc>
      </w:tr>
      <w:tr w:rsidR="00F234CD" w:rsidRPr="00631C1C" w14:paraId="69A0243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A17F58" w14:textId="77777777" w:rsidR="00312042" w:rsidRPr="00631C1C" w:rsidRDefault="00312042" w:rsidP="009A58EE">
            <w:pPr>
              <w:pStyle w:val="Normal-pool-Table"/>
              <w:rPr>
                <w:szCs w:val="18"/>
              </w:rPr>
            </w:pPr>
            <w:r w:rsidRPr="00631C1C">
              <w:rPr>
                <w:szCs w:val="18"/>
              </w:rPr>
              <w:t>98</w:t>
            </w:r>
          </w:p>
        </w:tc>
        <w:tc>
          <w:tcPr>
            <w:tcW w:w="2573" w:type="dxa"/>
            <w:tcBorders>
              <w:top w:val="nil"/>
              <w:left w:val="nil"/>
              <w:bottom w:val="single" w:sz="4" w:space="0" w:color="auto"/>
              <w:right w:val="single" w:sz="4" w:space="0" w:color="auto"/>
            </w:tcBorders>
            <w:noWrap/>
            <w:hideMark/>
          </w:tcPr>
          <w:p w14:paraId="029F26D1" w14:textId="77777777" w:rsidR="00312042" w:rsidRPr="00631C1C" w:rsidRDefault="00312042" w:rsidP="009A58EE">
            <w:pPr>
              <w:pStyle w:val="Normal-pool-Table"/>
              <w:rPr>
                <w:szCs w:val="18"/>
              </w:rPr>
            </w:pPr>
            <w:r w:rsidRPr="00631C1C">
              <w:rPr>
                <w:szCs w:val="18"/>
              </w:rPr>
              <w:t>Serbia</w:t>
            </w:r>
          </w:p>
        </w:tc>
        <w:tc>
          <w:tcPr>
            <w:tcW w:w="1400" w:type="dxa"/>
            <w:tcBorders>
              <w:top w:val="nil"/>
              <w:left w:val="nil"/>
              <w:bottom w:val="single" w:sz="4" w:space="0" w:color="auto"/>
              <w:right w:val="single" w:sz="4" w:space="0" w:color="auto"/>
            </w:tcBorders>
            <w:noWrap/>
            <w:hideMark/>
          </w:tcPr>
          <w:p w14:paraId="2EA0DD38" w14:textId="0F7A0AF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w:t>
            </w:r>
          </w:p>
        </w:tc>
        <w:tc>
          <w:tcPr>
            <w:tcW w:w="1073" w:type="dxa"/>
            <w:tcBorders>
              <w:top w:val="nil"/>
              <w:left w:val="nil"/>
              <w:bottom w:val="single" w:sz="4" w:space="0" w:color="auto"/>
              <w:right w:val="single" w:sz="4" w:space="0" w:color="auto"/>
            </w:tcBorders>
            <w:noWrap/>
            <w:hideMark/>
          </w:tcPr>
          <w:p w14:paraId="6C537726" w14:textId="58032D4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0404</w:t>
            </w:r>
          </w:p>
        </w:tc>
        <w:tc>
          <w:tcPr>
            <w:tcW w:w="1293" w:type="dxa"/>
            <w:tcBorders>
              <w:top w:val="nil"/>
              <w:left w:val="nil"/>
              <w:bottom w:val="single" w:sz="4" w:space="0" w:color="auto"/>
              <w:right w:val="single" w:sz="4" w:space="0" w:color="auto"/>
            </w:tcBorders>
            <w:noWrap/>
            <w:hideMark/>
          </w:tcPr>
          <w:p w14:paraId="590EDA6C" w14:textId="77777777" w:rsidR="00312042" w:rsidRPr="00631C1C" w:rsidRDefault="00312042" w:rsidP="009A58EE">
            <w:pPr>
              <w:pStyle w:val="Normal-pool-Table"/>
              <w:jc w:val="right"/>
              <w:rPr>
                <w:szCs w:val="18"/>
              </w:rPr>
            </w:pPr>
            <w:r w:rsidRPr="00631C1C">
              <w:rPr>
                <w:szCs w:val="18"/>
              </w:rPr>
              <w:t>1 245</w:t>
            </w:r>
          </w:p>
        </w:tc>
        <w:tc>
          <w:tcPr>
            <w:tcW w:w="1293" w:type="dxa"/>
            <w:tcBorders>
              <w:top w:val="nil"/>
              <w:left w:val="nil"/>
              <w:bottom w:val="single" w:sz="4" w:space="0" w:color="auto"/>
              <w:right w:val="single" w:sz="4" w:space="0" w:color="auto"/>
            </w:tcBorders>
            <w:noWrap/>
            <w:hideMark/>
          </w:tcPr>
          <w:p w14:paraId="29DE578C" w14:textId="77777777" w:rsidR="00312042" w:rsidRPr="00631C1C" w:rsidRDefault="00312042" w:rsidP="009A58EE">
            <w:pPr>
              <w:pStyle w:val="Normal-pool-Table"/>
              <w:jc w:val="right"/>
              <w:rPr>
                <w:szCs w:val="18"/>
              </w:rPr>
            </w:pPr>
            <w:r w:rsidRPr="00631C1C">
              <w:rPr>
                <w:szCs w:val="18"/>
              </w:rPr>
              <w:t>1 643</w:t>
            </w:r>
          </w:p>
        </w:tc>
        <w:tc>
          <w:tcPr>
            <w:tcW w:w="1313" w:type="dxa"/>
            <w:tcBorders>
              <w:top w:val="nil"/>
              <w:left w:val="nil"/>
              <w:bottom w:val="single" w:sz="4" w:space="0" w:color="auto"/>
              <w:right w:val="single" w:sz="4" w:space="0" w:color="auto"/>
            </w:tcBorders>
            <w:noWrap/>
            <w:hideMark/>
          </w:tcPr>
          <w:p w14:paraId="51D1686E" w14:textId="77777777" w:rsidR="00312042" w:rsidRPr="00631C1C" w:rsidRDefault="00312042" w:rsidP="009A58EE">
            <w:pPr>
              <w:pStyle w:val="Normal-pool-Table"/>
              <w:jc w:val="right"/>
              <w:rPr>
                <w:szCs w:val="18"/>
              </w:rPr>
            </w:pPr>
            <w:r w:rsidRPr="00631C1C">
              <w:rPr>
                <w:szCs w:val="18"/>
              </w:rPr>
              <w:t>2 888</w:t>
            </w:r>
          </w:p>
        </w:tc>
      </w:tr>
      <w:tr w:rsidR="00F234CD" w:rsidRPr="00631C1C" w14:paraId="535CA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9B4806" w14:textId="77777777" w:rsidR="00312042" w:rsidRPr="00631C1C" w:rsidRDefault="00312042" w:rsidP="009A58EE">
            <w:pPr>
              <w:pStyle w:val="Normal-pool-Table"/>
              <w:rPr>
                <w:szCs w:val="18"/>
              </w:rPr>
            </w:pPr>
            <w:r w:rsidRPr="00631C1C">
              <w:rPr>
                <w:szCs w:val="18"/>
              </w:rPr>
              <w:t>99</w:t>
            </w:r>
          </w:p>
        </w:tc>
        <w:tc>
          <w:tcPr>
            <w:tcW w:w="2573" w:type="dxa"/>
            <w:tcBorders>
              <w:top w:val="nil"/>
              <w:left w:val="nil"/>
              <w:bottom w:val="single" w:sz="4" w:space="0" w:color="auto"/>
              <w:right w:val="single" w:sz="4" w:space="0" w:color="auto"/>
            </w:tcBorders>
            <w:noWrap/>
            <w:hideMark/>
          </w:tcPr>
          <w:p w14:paraId="4326DE6E" w14:textId="77777777" w:rsidR="00312042" w:rsidRPr="00631C1C" w:rsidRDefault="00312042" w:rsidP="009A58EE">
            <w:pPr>
              <w:pStyle w:val="Normal-pool-Table"/>
              <w:rPr>
                <w:szCs w:val="18"/>
              </w:rPr>
            </w:pPr>
            <w:r w:rsidRPr="00631C1C">
              <w:rPr>
                <w:szCs w:val="18"/>
              </w:rPr>
              <w:t>Slovakia</w:t>
            </w:r>
          </w:p>
        </w:tc>
        <w:tc>
          <w:tcPr>
            <w:tcW w:w="1400" w:type="dxa"/>
            <w:tcBorders>
              <w:top w:val="nil"/>
              <w:left w:val="nil"/>
              <w:bottom w:val="single" w:sz="4" w:space="0" w:color="auto"/>
              <w:right w:val="single" w:sz="4" w:space="0" w:color="auto"/>
            </w:tcBorders>
            <w:noWrap/>
            <w:hideMark/>
          </w:tcPr>
          <w:p w14:paraId="452FEA0B" w14:textId="0CEDA3B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149</w:t>
            </w:r>
          </w:p>
        </w:tc>
        <w:tc>
          <w:tcPr>
            <w:tcW w:w="1073" w:type="dxa"/>
            <w:tcBorders>
              <w:top w:val="nil"/>
              <w:left w:val="nil"/>
              <w:bottom w:val="single" w:sz="4" w:space="0" w:color="auto"/>
              <w:right w:val="single" w:sz="4" w:space="0" w:color="auto"/>
            </w:tcBorders>
            <w:noWrap/>
            <w:hideMark/>
          </w:tcPr>
          <w:p w14:paraId="5A3277CB" w14:textId="13AE54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1504</w:t>
            </w:r>
          </w:p>
        </w:tc>
        <w:tc>
          <w:tcPr>
            <w:tcW w:w="1293" w:type="dxa"/>
            <w:tcBorders>
              <w:top w:val="nil"/>
              <w:left w:val="nil"/>
              <w:bottom w:val="single" w:sz="4" w:space="0" w:color="auto"/>
              <w:right w:val="single" w:sz="4" w:space="0" w:color="auto"/>
            </w:tcBorders>
            <w:noWrap/>
            <w:hideMark/>
          </w:tcPr>
          <w:p w14:paraId="5D2A91BE" w14:textId="77777777" w:rsidR="00312042" w:rsidRPr="00631C1C" w:rsidRDefault="00312042" w:rsidP="009A58EE">
            <w:pPr>
              <w:pStyle w:val="Normal-pool-Table"/>
              <w:jc w:val="right"/>
              <w:rPr>
                <w:szCs w:val="18"/>
              </w:rPr>
            </w:pPr>
            <w:r w:rsidRPr="00631C1C">
              <w:rPr>
                <w:szCs w:val="18"/>
              </w:rPr>
              <w:t>4 637</w:t>
            </w:r>
          </w:p>
        </w:tc>
        <w:tc>
          <w:tcPr>
            <w:tcW w:w="1293" w:type="dxa"/>
            <w:tcBorders>
              <w:top w:val="nil"/>
              <w:left w:val="nil"/>
              <w:bottom w:val="single" w:sz="4" w:space="0" w:color="auto"/>
              <w:right w:val="single" w:sz="4" w:space="0" w:color="auto"/>
            </w:tcBorders>
            <w:noWrap/>
            <w:hideMark/>
          </w:tcPr>
          <w:p w14:paraId="45260E8C" w14:textId="77777777" w:rsidR="00312042" w:rsidRPr="00631C1C" w:rsidRDefault="00312042" w:rsidP="009A58EE">
            <w:pPr>
              <w:pStyle w:val="Normal-pool-Table"/>
              <w:jc w:val="right"/>
              <w:rPr>
                <w:szCs w:val="18"/>
              </w:rPr>
            </w:pPr>
            <w:r w:rsidRPr="00631C1C">
              <w:rPr>
                <w:szCs w:val="18"/>
              </w:rPr>
              <w:t>6 120</w:t>
            </w:r>
          </w:p>
        </w:tc>
        <w:tc>
          <w:tcPr>
            <w:tcW w:w="1313" w:type="dxa"/>
            <w:tcBorders>
              <w:top w:val="nil"/>
              <w:left w:val="nil"/>
              <w:bottom w:val="single" w:sz="4" w:space="0" w:color="auto"/>
              <w:right w:val="single" w:sz="4" w:space="0" w:color="auto"/>
            </w:tcBorders>
            <w:noWrap/>
            <w:hideMark/>
          </w:tcPr>
          <w:p w14:paraId="6008F99C" w14:textId="77777777" w:rsidR="00312042" w:rsidRPr="00631C1C" w:rsidRDefault="00312042" w:rsidP="009A58EE">
            <w:pPr>
              <w:pStyle w:val="Normal-pool-Table"/>
              <w:jc w:val="right"/>
              <w:rPr>
                <w:szCs w:val="18"/>
              </w:rPr>
            </w:pPr>
            <w:r w:rsidRPr="00631C1C">
              <w:rPr>
                <w:szCs w:val="18"/>
              </w:rPr>
              <w:t>10 757</w:t>
            </w:r>
          </w:p>
        </w:tc>
      </w:tr>
      <w:tr w:rsidR="00F234CD" w:rsidRPr="00631C1C" w14:paraId="34A028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644AA9" w14:textId="77777777" w:rsidR="00312042" w:rsidRPr="00631C1C" w:rsidRDefault="00312042" w:rsidP="009A58EE">
            <w:pPr>
              <w:pStyle w:val="Normal-pool-Table"/>
              <w:rPr>
                <w:szCs w:val="18"/>
              </w:rPr>
            </w:pPr>
            <w:r w:rsidRPr="00631C1C">
              <w:rPr>
                <w:szCs w:val="18"/>
              </w:rPr>
              <w:t>100</w:t>
            </w:r>
          </w:p>
        </w:tc>
        <w:tc>
          <w:tcPr>
            <w:tcW w:w="2573" w:type="dxa"/>
            <w:tcBorders>
              <w:top w:val="nil"/>
              <w:left w:val="nil"/>
              <w:bottom w:val="single" w:sz="4" w:space="0" w:color="auto"/>
              <w:right w:val="single" w:sz="4" w:space="0" w:color="auto"/>
            </w:tcBorders>
            <w:noWrap/>
            <w:hideMark/>
          </w:tcPr>
          <w:p w14:paraId="13910173" w14:textId="77777777" w:rsidR="00312042" w:rsidRPr="00631C1C" w:rsidRDefault="00312042" w:rsidP="009A58EE">
            <w:pPr>
              <w:pStyle w:val="Normal-pool-Table"/>
              <w:rPr>
                <w:szCs w:val="18"/>
              </w:rPr>
            </w:pPr>
            <w:r w:rsidRPr="00631C1C">
              <w:rPr>
                <w:szCs w:val="18"/>
              </w:rPr>
              <w:t>Slovenia</w:t>
            </w:r>
          </w:p>
        </w:tc>
        <w:tc>
          <w:tcPr>
            <w:tcW w:w="1400" w:type="dxa"/>
            <w:tcBorders>
              <w:top w:val="nil"/>
              <w:left w:val="nil"/>
              <w:bottom w:val="single" w:sz="4" w:space="0" w:color="auto"/>
              <w:right w:val="single" w:sz="4" w:space="0" w:color="auto"/>
            </w:tcBorders>
            <w:noWrap/>
            <w:hideMark/>
          </w:tcPr>
          <w:p w14:paraId="3CF15A44" w14:textId="21EECAD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077</w:t>
            </w:r>
          </w:p>
        </w:tc>
        <w:tc>
          <w:tcPr>
            <w:tcW w:w="1073" w:type="dxa"/>
            <w:tcBorders>
              <w:top w:val="nil"/>
              <w:left w:val="nil"/>
              <w:bottom w:val="single" w:sz="4" w:space="0" w:color="auto"/>
              <w:right w:val="single" w:sz="4" w:space="0" w:color="auto"/>
            </w:tcBorders>
            <w:noWrap/>
            <w:hideMark/>
          </w:tcPr>
          <w:p w14:paraId="1220B31B" w14:textId="60E777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0777</w:t>
            </w:r>
          </w:p>
        </w:tc>
        <w:tc>
          <w:tcPr>
            <w:tcW w:w="1293" w:type="dxa"/>
            <w:tcBorders>
              <w:top w:val="nil"/>
              <w:left w:val="nil"/>
              <w:bottom w:val="single" w:sz="4" w:space="0" w:color="auto"/>
              <w:right w:val="single" w:sz="4" w:space="0" w:color="auto"/>
            </w:tcBorders>
            <w:noWrap/>
            <w:hideMark/>
          </w:tcPr>
          <w:p w14:paraId="0B83C277" w14:textId="77777777" w:rsidR="00312042" w:rsidRPr="00631C1C" w:rsidRDefault="00312042" w:rsidP="009A58EE">
            <w:pPr>
              <w:pStyle w:val="Normal-pool-Table"/>
              <w:jc w:val="right"/>
              <w:rPr>
                <w:szCs w:val="18"/>
              </w:rPr>
            </w:pPr>
            <w:r w:rsidRPr="00631C1C">
              <w:rPr>
                <w:szCs w:val="18"/>
              </w:rPr>
              <w:t>2 396</w:t>
            </w:r>
          </w:p>
        </w:tc>
        <w:tc>
          <w:tcPr>
            <w:tcW w:w="1293" w:type="dxa"/>
            <w:tcBorders>
              <w:top w:val="nil"/>
              <w:left w:val="nil"/>
              <w:bottom w:val="single" w:sz="4" w:space="0" w:color="auto"/>
              <w:right w:val="single" w:sz="4" w:space="0" w:color="auto"/>
            </w:tcBorders>
            <w:noWrap/>
            <w:hideMark/>
          </w:tcPr>
          <w:p w14:paraId="58C816C9" w14:textId="77777777" w:rsidR="00312042" w:rsidRPr="00631C1C" w:rsidRDefault="00312042" w:rsidP="009A58EE">
            <w:pPr>
              <w:pStyle w:val="Normal-pool-Table"/>
              <w:jc w:val="right"/>
              <w:rPr>
                <w:szCs w:val="18"/>
              </w:rPr>
            </w:pPr>
            <w:r w:rsidRPr="00631C1C">
              <w:rPr>
                <w:szCs w:val="18"/>
              </w:rPr>
              <w:t>3 163</w:t>
            </w:r>
          </w:p>
        </w:tc>
        <w:tc>
          <w:tcPr>
            <w:tcW w:w="1313" w:type="dxa"/>
            <w:tcBorders>
              <w:top w:val="nil"/>
              <w:left w:val="nil"/>
              <w:bottom w:val="single" w:sz="4" w:space="0" w:color="auto"/>
              <w:right w:val="single" w:sz="4" w:space="0" w:color="auto"/>
            </w:tcBorders>
            <w:noWrap/>
            <w:hideMark/>
          </w:tcPr>
          <w:p w14:paraId="0F1F08C5" w14:textId="77777777" w:rsidR="00312042" w:rsidRPr="00631C1C" w:rsidRDefault="00312042" w:rsidP="009A58EE">
            <w:pPr>
              <w:pStyle w:val="Normal-pool-Table"/>
              <w:jc w:val="right"/>
              <w:rPr>
                <w:szCs w:val="18"/>
              </w:rPr>
            </w:pPr>
            <w:r w:rsidRPr="00631C1C">
              <w:rPr>
                <w:szCs w:val="18"/>
              </w:rPr>
              <w:t>5 559</w:t>
            </w:r>
          </w:p>
        </w:tc>
      </w:tr>
      <w:tr w:rsidR="00F234CD" w:rsidRPr="00631C1C" w14:paraId="71DDA6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F45A779" w14:textId="77777777" w:rsidR="00312042" w:rsidRPr="00631C1C" w:rsidRDefault="00312042" w:rsidP="009A58EE">
            <w:pPr>
              <w:pStyle w:val="Normal-pool-Table"/>
              <w:rPr>
                <w:szCs w:val="18"/>
              </w:rPr>
            </w:pPr>
            <w:r w:rsidRPr="00631C1C">
              <w:rPr>
                <w:szCs w:val="18"/>
              </w:rPr>
              <w:t>101</w:t>
            </w:r>
          </w:p>
        </w:tc>
        <w:tc>
          <w:tcPr>
            <w:tcW w:w="2573" w:type="dxa"/>
            <w:tcBorders>
              <w:top w:val="nil"/>
              <w:left w:val="nil"/>
              <w:bottom w:val="single" w:sz="4" w:space="0" w:color="auto"/>
              <w:right w:val="single" w:sz="4" w:space="0" w:color="auto"/>
            </w:tcBorders>
            <w:noWrap/>
            <w:hideMark/>
          </w:tcPr>
          <w:p w14:paraId="2E36CE5C" w14:textId="77777777" w:rsidR="00312042" w:rsidRPr="00631C1C" w:rsidRDefault="00312042" w:rsidP="009A58EE">
            <w:pPr>
              <w:pStyle w:val="Normal-pool-Table"/>
              <w:rPr>
                <w:szCs w:val="18"/>
              </w:rPr>
            </w:pPr>
            <w:r w:rsidRPr="00631C1C">
              <w:rPr>
                <w:szCs w:val="18"/>
              </w:rPr>
              <w:t>Ukraine</w:t>
            </w:r>
          </w:p>
        </w:tc>
        <w:tc>
          <w:tcPr>
            <w:tcW w:w="1400" w:type="dxa"/>
            <w:tcBorders>
              <w:top w:val="nil"/>
              <w:left w:val="nil"/>
              <w:bottom w:val="single" w:sz="4" w:space="0" w:color="auto"/>
              <w:right w:val="single" w:sz="4" w:space="0" w:color="auto"/>
            </w:tcBorders>
            <w:noWrap/>
            <w:hideMark/>
          </w:tcPr>
          <w:p w14:paraId="07976D93" w14:textId="2AE94FE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074</w:t>
            </w:r>
          </w:p>
        </w:tc>
        <w:tc>
          <w:tcPr>
            <w:tcW w:w="1073" w:type="dxa"/>
            <w:tcBorders>
              <w:top w:val="nil"/>
              <w:left w:val="nil"/>
              <w:bottom w:val="single" w:sz="4" w:space="0" w:color="auto"/>
              <w:right w:val="single" w:sz="4" w:space="0" w:color="auto"/>
            </w:tcBorders>
            <w:noWrap/>
            <w:hideMark/>
          </w:tcPr>
          <w:p w14:paraId="5753652F" w14:textId="53AAF3E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0747</w:t>
            </w:r>
          </w:p>
        </w:tc>
        <w:tc>
          <w:tcPr>
            <w:tcW w:w="1293" w:type="dxa"/>
            <w:tcBorders>
              <w:top w:val="nil"/>
              <w:left w:val="nil"/>
              <w:bottom w:val="single" w:sz="4" w:space="0" w:color="auto"/>
              <w:right w:val="single" w:sz="4" w:space="0" w:color="auto"/>
            </w:tcBorders>
            <w:noWrap/>
            <w:hideMark/>
          </w:tcPr>
          <w:p w14:paraId="355DB289" w14:textId="77777777" w:rsidR="00312042" w:rsidRPr="00631C1C" w:rsidRDefault="00312042" w:rsidP="009A58EE">
            <w:pPr>
              <w:pStyle w:val="Normal-pool-Table"/>
              <w:jc w:val="right"/>
              <w:rPr>
                <w:szCs w:val="18"/>
              </w:rPr>
            </w:pPr>
            <w:r w:rsidRPr="00631C1C">
              <w:rPr>
                <w:szCs w:val="18"/>
              </w:rPr>
              <w:t>2 303</w:t>
            </w:r>
          </w:p>
        </w:tc>
        <w:tc>
          <w:tcPr>
            <w:tcW w:w="1293" w:type="dxa"/>
            <w:tcBorders>
              <w:top w:val="nil"/>
              <w:left w:val="nil"/>
              <w:bottom w:val="single" w:sz="4" w:space="0" w:color="auto"/>
              <w:right w:val="single" w:sz="4" w:space="0" w:color="auto"/>
            </w:tcBorders>
            <w:noWrap/>
            <w:hideMark/>
          </w:tcPr>
          <w:p w14:paraId="66971246" w14:textId="77777777" w:rsidR="00312042" w:rsidRPr="00631C1C" w:rsidRDefault="00312042" w:rsidP="009A58EE">
            <w:pPr>
              <w:pStyle w:val="Normal-pool-Table"/>
              <w:jc w:val="right"/>
              <w:rPr>
                <w:szCs w:val="18"/>
              </w:rPr>
            </w:pPr>
            <w:r w:rsidRPr="00631C1C">
              <w:rPr>
                <w:szCs w:val="18"/>
              </w:rPr>
              <w:t>3 039</w:t>
            </w:r>
          </w:p>
        </w:tc>
        <w:tc>
          <w:tcPr>
            <w:tcW w:w="1313" w:type="dxa"/>
            <w:tcBorders>
              <w:top w:val="nil"/>
              <w:left w:val="nil"/>
              <w:bottom w:val="single" w:sz="4" w:space="0" w:color="auto"/>
              <w:right w:val="single" w:sz="4" w:space="0" w:color="auto"/>
            </w:tcBorders>
            <w:noWrap/>
            <w:hideMark/>
          </w:tcPr>
          <w:p w14:paraId="4CA505D5" w14:textId="77777777" w:rsidR="00312042" w:rsidRPr="00631C1C" w:rsidRDefault="00312042" w:rsidP="009A58EE">
            <w:pPr>
              <w:pStyle w:val="Normal-pool-Table"/>
              <w:jc w:val="right"/>
              <w:rPr>
                <w:szCs w:val="18"/>
              </w:rPr>
            </w:pPr>
            <w:r w:rsidRPr="00631C1C">
              <w:rPr>
                <w:szCs w:val="18"/>
              </w:rPr>
              <w:t>5 342</w:t>
            </w:r>
          </w:p>
        </w:tc>
      </w:tr>
      <w:tr w:rsidR="00F234CD" w:rsidRPr="00631C1C"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631C1C" w:rsidRDefault="00312042" w:rsidP="009A58EE">
            <w:pPr>
              <w:pStyle w:val="Normal-pool-Table"/>
              <w:rPr>
                <w:b/>
                <w:bCs/>
                <w:szCs w:val="18"/>
              </w:rPr>
            </w:pPr>
            <w:r w:rsidRPr="00631C1C">
              <w:rPr>
                <w:b/>
                <w:bCs/>
                <w:szCs w:val="18"/>
              </w:rPr>
              <w:t>Latin America and Caribbean States (26)</w:t>
            </w:r>
          </w:p>
        </w:tc>
      </w:tr>
      <w:tr w:rsidR="00F234CD" w:rsidRPr="00631C1C" w14:paraId="0FAE34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5066F8" w14:textId="77777777" w:rsidR="00312042" w:rsidRPr="00631C1C" w:rsidRDefault="00312042" w:rsidP="009A58EE">
            <w:pPr>
              <w:pStyle w:val="Normal-pool-Table"/>
              <w:rPr>
                <w:szCs w:val="18"/>
              </w:rPr>
            </w:pPr>
            <w:r w:rsidRPr="00631C1C">
              <w:rPr>
                <w:szCs w:val="18"/>
              </w:rPr>
              <w:t>102</w:t>
            </w:r>
          </w:p>
        </w:tc>
        <w:tc>
          <w:tcPr>
            <w:tcW w:w="2573" w:type="dxa"/>
            <w:tcBorders>
              <w:top w:val="nil"/>
              <w:left w:val="nil"/>
              <w:bottom w:val="single" w:sz="4" w:space="0" w:color="auto"/>
              <w:right w:val="single" w:sz="4" w:space="0" w:color="auto"/>
            </w:tcBorders>
            <w:noWrap/>
            <w:hideMark/>
          </w:tcPr>
          <w:p w14:paraId="7A8B221D" w14:textId="77777777" w:rsidR="00312042" w:rsidRPr="00631C1C" w:rsidRDefault="00312042" w:rsidP="009A58EE">
            <w:pPr>
              <w:pStyle w:val="Normal-pool-Table"/>
              <w:rPr>
                <w:szCs w:val="18"/>
              </w:rPr>
            </w:pPr>
            <w:r w:rsidRPr="00631C1C">
              <w:rPr>
                <w:szCs w:val="18"/>
              </w:rPr>
              <w:t>Antigua and Barbuda</w:t>
            </w:r>
          </w:p>
        </w:tc>
        <w:tc>
          <w:tcPr>
            <w:tcW w:w="1400" w:type="dxa"/>
            <w:tcBorders>
              <w:top w:val="nil"/>
              <w:left w:val="nil"/>
              <w:bottom w:val="single" w:sz="4" w:space="0" w:color="auto"/>
              <w:right w:val="single" w:sz="4" w:space="0" w:color="auto"/>
            </w:tcBorders>
            <w:noWrap/>
            <w:hideMark/>
          </w:tcPr>
          <w:p w14:paraId="46A8B3A3" w14:textId="605C04D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51004CDB" w14:textId="453191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39142D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BD8D9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0EEAEA0" w14:textId="77777777" w:rsidR="00312042" w:rsidRPr="00631C1C" w:rsidRDefault="00312042" w:rsidP="009A58EE">
            <w:pPr>
              <w:pStyle w:val="Normal-pool-Table"/>
              <w:jc w:val="right"/>
              <w:rPr>
                <w:szCs w:val="18"/>
              </w:rPr>
            </w:pPr>
            <w:r w:rsidRPr="00631C1C">
              <w:rPr>
                <w:szCs w:val="18"/>
              </w:rPr>
              <w:t>715</w:t>
            </w:r>
          </w:p>
        </w:tc>
      </w:tr>
      <w:tr w:rsidR="00F234CD" w:rsidRPr="00631C1C" w14:paraId="68C6CD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16518A" w14:textId="77777777" w:rsidR="00312042" w:rsidRPr="00631C1C" w:rsidRDefault="00312042" w:rsidP="009A58EE">
            <w:pPr>
              <w:pStyle w:val="Normal-pool-Table"/>
              <w:rPr>
                <w:szCs w:val="18"/>
              </w:rPr>
            </w:pPr>
            <w:r w:rsidRPr="00631C1C">
              <w:rPr>
                <w:szCs w:val="18"/>
              </w:rPr>
              <w:t>103</w:t>
            </w:r>
          </w:p>
        </w:tc>
        <w:tc>
          <w:tcPr>
            <w:tcW w:w="2573" w:type="dxa"/>
            <w:tcBorders>
              <w:top w:val="nil"/>
              <w:left w:val="nil"/>
              <w:bottom w:val="single" w:sz="4" w:space="0" w:color="auto"/>
              <w:right w:val="single" w:sz="4" w:space="0" w:color="auto"/>
            </w:tcBorders>
            <w:noWrap/>
            <w:hideMark/>
          </w:tcPr>
          <w:p w14:paraId="5842E503" w14:textId="77777777" w:rsidR="00312042" w:rsidRPr="00246C31" w:rsidRDefault="00312042" w:rsidP="009A58EE">
            <w:pPr>
              <w:pStyle w:val="Normal-pool-Table"/>
              <w:rPr>
                <w:szCs w:val="18"/>
              </w:rPr>
            </w:pPr>
            <w:r w:rsidRPr="00246C31">
              <w:rPr>
                <w:szCs w:val="18"/>
              </w:rPr>
              <w:t>Argentina</w:t>
            </w:r>
          </w:p>
        </w:tc>
        <w:tc>
          <w:tcPr>
            <w:tcW w:w="1400" w:type="dxa"/>
            <w:tcBorders>
              <w:top w:val="nil"/>
              <w:left w:val="nil"/>
              <w:bottom w:val="single" w:sz="4" w:space="0" w:color="auto"/>
              <w:right w:val="single" w:sz="4" w:space="0" w:color="auto"/>
            </w:tcBorders>
            <w:noWrap/>
            <w:hideMark/>
          </w:tcPr>
          <w:p w14:paraId="195881AE" w14:textId="199D4CF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49</w:t>
            </w:r>
          </w:p>
        </w:tc>
        <w:tc>
          <w:tcPr>
            <w:tcW w:w="1073" w:type="dxa"/>
            <w:tcBorders>
              <w:top w:val="nil"/>
              <w:left w:val="nil"/>
              <w:bottom w:val="single" w:sz="4" w:space="0" w:color="auto"/>
              <w:right w:val="single" w:sz="4" w:space="0" w:color="auto"/>
            </w:tcBorders>
            <w:noWrap/>
            <w:hideMark/>
          </w:tcPr>
          <w:p w14:paraId="73739EAA" w14:textId="429E72F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4946</w:t>
            </w:r>
          </w:p>
        </w:tc>
        <w:tc>
          <w:tcPr>
            <w:tcW w:w="1293" w:type="dxa"/>
            <w:tcBorders>
              <w:top w:val="nil"/>
              <w:left w:val="nil"/>
              <w:bottom w:val="single" w:sz="4" w:space="0" w:color="auto"/>
              <w:right w:val="single" w:sz="4" w:space="0" w:color="auto"/>
            </w:tcBorders>
            <w:noWrap/>
            <w:hideMark/>
          </w:tcPr>
          <w:p w14:paraId="359AD146" w14:textId="77777777" w:rsidR="00312042" w:rsidRPr="00631C1C" w:rsidRDefault="00312042" w:rsidP="009A58EE">
            <w:pPr>
              <w:pStyle w:val="Normal-pool-Table"/>
              <w:jc w:val="right"/>
              <w:rPr>
                <w:szCs w:val="18"/>
              </w:rPr>
            </w:pPr>
            <w:r w:rsidRPr="00631C1C">
              <w:rPr>
                <w:szCs w:val="18"/>
              </w:rPr>
              <w:t>15 249</w:t>
            </w:r>
          </w:p>
        </w:tc>
        <w:tc>
          <w:tcPr>
            <w:tcW w:w="1293" w:type="dxa"/>
            <w:tcBorders>
              <w:top w:val="nil"/>
              <w:left w:val="nil"/>
              <w:bottom w:val="single" w:sz="4" w:space="0" w:color="auto"/>
              <w:right w:val="single" w:sz="4" w:space="0" w:color="auto"/>
            </w:tcBorders>
            <w:noWrap/>
            <w:hideMark/>
          </w:tcPr>
          <w:p w14:paraId="0F5B4B77" w14:textId="77777777" w:rsidR="00312042" w:rsidRPr="00631C1C" w:rsidRDefault="00312042" w:rsidP="009A58EE">
            <w:pPr>
              <w:pStyle w:val="Normal-pool-Table"/>
              <w:jc w:val="right"/>
              <w:rPr>
                <w:szCs w:val="18"/>
              </w:rPr>
            </w:pPr>
            <w:r w:rsidRPr="00631C1C">
              <w:rPr>
                <w:szCs w:val="18"/>
              </w:rPr>
              <w:t>20 125</w:t>
            </w:r>
          </w:p>
        </w:tc>
        <w:tc>
          <w:tcPr>
            <w:tcW w:w="1313" w:type="dxa"/>
            <w:tcBorders>
              <w:top w:val="nil"/>
              <w:left w:val="nil"/>
              <w:bottom w:val="single" w:sz="4" w:space="0" w:color="auto"/>
              <w:right w:val="single" w:sz="4" w:space="0" w:color="auto"/>
            </w:tcBorders>
            <w:noWrap/>
            <w:hideMark/>
          </w:tcPr>
          <w:p w14:paraId="3C6AD053" w14:textId="77777777" w:rsidR="00312042" w:rsidRPr="00631C1C" w:rsidRDefault="00312042" w:rsidP="009A58EE">
            <w:pPr>
              <w:pStyle w:val="Normal-pool-Table"/>
              <w:jc w:val="right"/>
              <w:rPr>
                <w:szCs w:val="18"/>
              </w:rPr>
            </w:pPr>
            <w:r w:rsidRPr="00631C1C">
              <w:rPr>
                <w:szCs w:val="18"/>
              </w:rPr>
              <w:t>35 374</w:t>
            </w:r>
          </w:p>
        </w:tc>
      </w:tr>
      <w:tr w:rsidR="00F234CD" w:rsidRPr="00631C1C" w14:paraId="3CE3C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DC88C6A" w14:textId="77777777" w:rsidR="00312042" w:rsidRPr="00631C1C" w:rsidRDefault="00312042" w:rsidP="009A58EE">
            <w:pPr>
              <w:pStyle w:val="Normal-pool-Table"/>
              <w:rPr>
                <w:szCs w:val="18"/>
              </w:rPr>
            </w:pPr>
            <w:r w:rsidRPr="00631C1C">
              <w:rPr>
                <w:szCs w:val="18"/>
              </w:rPr>
              <w:t>104</w:t>
            </w:r>
          </w:p>
        </w:tc>
        <w:tc>
          <w:tcPr>
            <w:tcW w:w="2573" w:type="dxa"/>
            <w:tcBorders>
              <w:top w:val="nil"/>
              <w:left w:val="nil"/>
              <w:bottom w:val="single" w:sz="4" w:space="0" w:color="auto"/>
              <w:right w:val="single" w:sz="4" w:space="0" w:color="auto"/>
            </w:tcBorders>
            <w:noWrap/>
            <w:hideMark/>
          </w:tcPr>
          <w:p w14:paraId="01BF9175" w14:textId="50BD06FC" w:rsidR="00312042" w:rsidRPr="00246C31" w:rsidRDefault="00312042" w:rsidP="009A58EE">
            <w:pPr>
              <w:pStyle w:val="Normal-pool-Table"/>
              <w:rPr>
                <w:szCs w:val="18"/>
              </w:rPr>
            </w:pPr>
            <w:r w:rsidRPr="00246C31">
              <w:rPr>
                <w:szCs w:val="18"/>
              </w:rPr>
              <w:t>Bahamas</w:t>
            </w:r>
            <w:r w:rsidR="005D12FE" w:rsidRPr="00246C31">
              <w:rPr>
                <w:szCs w:val="18"/>
              </w:rPr>
              <w:t xml:space="preserve"> (The)</w:t>
            </w:r>
          </w:p>
        </w:tc>
        <w:tc>
          <w:tcPr>
            <w:tcW w:w="1400" w:type="dxa"/>
            <w:tcBorders>
              <w:top w:val="nil"/>
              <w:left w:val="nil"/>
              <w:bottom w:val="single" w:sz="4" w:space="0" w:color="auto"/>
              <w:right w:val="single" w:sz="4" w:space="0" w:color="auto"/>
            </w:tcBorders>
            <w:noWrap/>
            <w:hideMark/>
          </w:tcPr>
          <w:p w14:paraId="2D3BEBE7" w14:textId="53ADB31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015</w:t>
            </w:r>
          </w:p>
        </w:tc>
        <w:tc>
          <w:tcPr>
            <w:tcW w:w="1073" w:type="dxa"/>
            <w:tcBorders>
              <w:top w:val="nil"/>
              <w:left w:val="nil"/>
              <w:bottom w:val="single" w:sz="4" w:space="0" w:color="auto"/>
              <w:right w:val="single" w:sz="4" w:space="0" w:color="auto"/>
            </w:tcBorders>
            <w:noWrap/>
            <w:hideMark/>
          </w:tcPr>
          <w:p w14:paraId="6ED5D1D0" w14:textId="49BC642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0151</w:t>
            </w:r>
          </w:p>
        </w:tc>
        <w:tc>
          <w:tcPr>
            <w:tcW w:w="1293" w:type="dxa"/>
            <w:tcBorders>
              <w:top w:val="nil"/>
              <w:left w:val="nil"/>
              <w:bottom w:val="single" w:sz="4" w:space="0" w:color="auto"/>
              <w:right w:val="single" w:sz="4" w:space="0" w:color="auto"/>
            </w:tcBorders>
            <w:noWrap/>
            <w:hideMark/>
          </w:tcPr>
          <w:p w14:paraId="1BDF01B0" w14:textId="77777777" w:rsidR="00312042" w:rsidRPr="00631C1C" w:rsidRDefault="00312042" w:rsidP="009A58EE">
            <w:pPr>
              <w:pStyle w:val="Normal-pool-Table"/>
              <w:jc w:val="right"/>
              <w:rPr>
                <w:szCs w:val="18"/>
              </w:rPr>
            </w:pPr>
            <w:r w:rsidRPr="00631C1C">
              <w:rPr>
                <w:szCs w:val="18"/>
              </w:rPr>
              <w:t>467</w:t>
            </w:r>
          </w:p>
        </w:tc>
        <w:tc>
          <w:tcPr>
            <w:tcW w:w="1293" w:type="dxa"/>
            <w:tcBorders>
              <w:top w:val="nil"/>
              <w:left w:val="nil"/>
              <w:bottom w:val="single" w:sz="4" w:space="0" w:color="auto"/>
              <w:right w:val="single" w:sz="4" w:space="0" w:color="auto"/>
            </w:tcBorders>
            <w:noWrap/>
            <w:hideMark/>
          </w:tcPr>
          <w:p w14:paraId="555090C8" w14:textId="77777777" w:rsidR="00312042" w:rsidRPr="00631C1C" w:rsidRDefault="00312042" w:rsidP="009A58EE">
            <w:pPr>
              <w:pStyle w:val="Normal-pool-Table"/>
              <w:jc w:val="right"/>
              <w:rPr>
                <w:szCs w:val="18"/>
              </w:rPr>
            </w:pPr>
            <w:r w:rsidRPr="00631C1C">
              <w:rPr>
                <w:szCs w:val="18"/>
              </w:rPr>
              <w:t>616</w:t>
            </w:r>
          </w:p>
        </w:tc>
        <w:tc>
          <w:tcPr>
            <w:tcW w:w="1313" w:type="dxa"/>
            <w:tcBorders>
              <w:top w:val="nil"/>
              <w:left w:val="nil"/>
              <w:bottom w:val="single" w:sz="4" w:space="0" w:color="auto"/>
              <w:right w:val="single" w:sz="4" w:space="0" w:color="auto"/>
            </w:tcBorders>
            <w:noWrap/>
            <w:hideMark/>
          </w:tcPr>
          <w:p w14:paraId="0ECF2C50" w14:textId="77777777" w:rsidR="00312042" w:rsidRPr="00631C1C" w:rsidRDefault="00312042" w:rsidP="009A58EE">
            <w:pPr>
              <w:pStyle w:val="Normal-pool-Table"/>
              <w:jc w:val="right"/>
              <w:rPr>
                <w:szCs w:val="18"/>
              </w:rPr>
            </w:pPr>
            <w:r w:rsidRPr="00631C1C">
              <w:rPr>
                <w:szCs w:val="18"/>
              </w:rPr>
              <w:t>1 083</w:t>
            </w:r>
          </w:p>
        </w:tc>
      </w:tr>
      <w:tr w:rsidR="00F234CD" w:rsidRPr="00631C1C" w14:paraId="60EC371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79545" w14:textId="77777777" w:rsidR="00312042" w:rsidRPr="00631C1C" w:rsidRDefault="00312042" w:rsidP="009A58EE">
            <w:pPr>
              <w:pStyle w:val="Normal-pool-Table"/>
              <w:rPr>
                <w:szCs w:val="18"/>
              </w:rPr>
            </w:pPr>
            <w:r w:rsidRPr="00631C1C">
              <w:rPr>
                <w:szCs w:val="18"/>
              </w:rPr>
              <w:t>105</w:t>
            </w:r>
          </w:p>
        </w:tc>
        <w:tc>
          <w:tcPr>
            <w:tcW w:w="2573" w:type="dxa"/>
            <w:tcBorders>
              <w:top w:val="nil"/>
              <w:left w:val="nil"/>
              <w:bottom w:val="single" w:sz="4" w:space="0" w:color="auto"/>
              <w:right w:val="single" w:sz="4" w:space="0" w:color="auto"/>
            </w:tcBorders>
            <w:noWrap/>
            <w:hideMark/>
          </w:tcPr>
          <w:p w14:paraId="05E62AA6" w14:textId="77777777" w:rsidR="00312042" w:rsidRPr="00631C1C" w:rsidRDefault="00312042" w:rsidP="009A58EE">
            <w:pPr>
              <w:pStyle w:val="Normal-pool-Table"/>
              <w:rPr>
                <w:szCs w:val="18"/>
              </w:rPr>
            </w:pPr>
            <w:r w:rsidRPr="00631C1C">
              <w:rPr>
                <w:szCs w:val="18"/>
              </w:rPr>
              <w:t>Belize</w:t>
            </w:r>
          </w:p>
        </w:tc>
        <w:tc>
          <w:tcPr>
            <w:tcW w:w="1400" w:type="dxa"/>
            <w:tcBorders>
              <w:top w:val="nil"/>
              <w:left w:val="nil"/>
              <w:bottom w:val="single" w:sz="4" w:space="0" w:color="auto"/>
              <w:right w:val="single" w:sz="4" w:space="0" w:color="auto"/>
            </w:tcBorders>
            <w:noWrap/>
            <w:hideMark/>
          </w:tcPr>
          <w:p w14:paraId="69FEC6B8" w14:textId="5B5A19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E1A6552" w14:textId="2A95446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5ADEAE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C18AFB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A1B35CF" w14:textId="77777777" w:rsidR="00312042" w:rsidRPr="00631C1C" w:rsidRDefault="00312042" w:rsidP="009A58EE">
            <w:pPr>
              <w:pStyle w:val="Normal-pool-Table"/>
              <w:jc w:val="right"/>
              <w:rPr>
                <w:szCs w:val="18"/>
              </w:rPr>
            </w:pPr>
            <w:r w:rsidRPr="00631C1C">
              <w:rPr>
                <w:szCs w:val="18"/>
              </w:rPr>
              <w:t>715</w:t>
            </w:r>
          </w:p>
        </w:tc>
      </w:tr>
      <w:tr w:rsidR="00F234CD" w:rsidRPr="00631C1C" w14:paraId="46D4B4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0B4978" w14:textId="77777777" w:rsidR="00312042" w:rsidRPr="00631C1C" w:rsidRDefault="00312042" w:rsidP="009A58EE">
            <w:pPr>
              <w:pStyle w:val="Normal-pool-Table"/>
              <w:rPr>
                <w:szCs w:val="18"/>
              </w:rPr>
            </w:pPr>
            <w:r w:rsidRPr="00631C1C">
              <w:rPr>
                <w:szCs w:val="18"/>
              </w:rPr>
              <w:t>106</w:t>
            </w:r>
          </w:p>
        </w:tc>
        <w:tc>
          <w:tcPr>
            <w:tcW w:w="2573" w:type="dxa"/>
            <w:tcBorders>
              <w:top w:val="nil"/>
              <w:left w:val="nil"/>
              <w:bottom w:val="single" w:sz="4" w:space="0" w:color="auto"/>
              <w:right w:val="single" w:sz="4" w:space="0" w:color="auto"/>
            </w:tcBorders>
            <w:noWrap/>
            <w:hideMark/>
          </w:tcPr>
          <w:p w14:paraId="090E7D0E" w14:textId="77777777" w:rsidR="00312042" w:rsidRPr="00631C1C" w:rsidRDefault="00312042" w:rsidP="009A58EE">
            <w:pPr>
              <w:pStyle w:val="Normal-pool-Table"/>
              <w:rPr>
                <w:szCs w:val="18"/>
              </w:rPr>
            </w:pPr>
            <w:r w:rsidRPr="00631C1C">
              <w:rPr>
                <w:szCs w:val="18"/>
              </w:rPr>
              <w:t>Bolivia (Plurinational State of)</w:t>
            </w:r>
          </w:p>
        </w:tc>
        <w:tc>
          <w:tcPr>
            <w:tcW w:w="1400" w:type="dxa"/>
            <w:tcBorders>
              <w:top w:val="nil"/>
              <w:left w:val="nil"/>
              <w:bottom w:val="single" w:sz="4" w:space="0" w:color="auto"/>
              <w:right w:val="single" w:sz="4" w:space="0" w:color="auto"/>
            </w:tcBorders>
            <w:noWrap/>
            <w:hideMark/>
          </w:tcPr>
          <w:p w14:paraId="0BE02A40" w14:textId="3B6EB96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018</w:t>
            </w:r>
          </w:p>
        </w:tc>
        <w:tc>
          <w:tcPr>
            <w:tcW w:w="1073" w:type="dxa"/>
            <w:tcBorders>
              <w:top w:val="nil"/>
              <w:left w:val="nil"/>
              <w:bottom w:val="single" w:sz="4" w:space="0" w:color="auto"/>
              <w:right w:val="single" w:sz="4" w:space="0" w:color="auto"/>
            </w:tcBorders>
            <w:noWrap/>
            <w:hideMark/>
          </w:tcPr>
          <w:p w14:paraId="31C19A84" w14:textId="21CB79E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0182</w:t>
            </w:r>
          </w:p>
        </w:tc>
        <w:tc>
          <w:tcPr>
            <w:tcW w:w="1293" w:type="dxa"/>
            <w:tcBorders>
              <w:top w:val="nil"/>
              <w:left w:val="nil"/>
              <w:bottom w:val="single" w:sz="4" w:space="0" w:color="auto"/>
              <w:right w:val="single" w:sz="4" w:space="0" w:color="auto"/>
            </w:tcBorders>
            <w:noWrap/>
            <w:hideMark/>
          </w:tcPr>
          <w:p w14:paraId="6B517572" w14:textId="77777777" w:rsidR="00312042" w:rsidRPr="00631C1C" w:rsidRDefault="00312042" w:rsidP="009A58EE">
            <w:pPr>
              <w:pStyle w:val="Normal-pool-Table"/>
              <w:jc w:val="right"/>
              <w:rPr>
                <w:szCs w:val="18"/>
              </w:rPr>
            </w:pPr>
            <w:r w:rsidRPr="00631C1C">
              <w:rPr>
                <w:szCs w:val="18"/>
              </w:rPr>
              <w:t>560</w:t>
            </w:r>
          </w:p>
        </w:tc>
        <w:tc>
          <w:tcPr>
            <w:tcW w:w="1293" w:type="dxa"/>
            <w:tcBorders>
              <w:top w:val="nil"/>
              <w:left w:val="nil"/>
              <w:bottom w:val="single" w:sz="4" w:space="0" w:color="auto"/>
              <w:right w:val="single" w:sz="4" w:space="0" w:color="auto"/>
            </w:tcBorders>
            <w:noWrap/>
            <w:hideMark/>
          </w:tcPr>
          <w:p w14:paraId="2F1378CC" w14:textId="77777777" w:rsidR="00312042" w:rsidRPr="00631C1C" w:rsidRDefault="00312042" w:rsidP="009A58EE">
            <w:pPr>
              <w:pStyle w:val="Normal-pool-Table"/>
              <w:jc w:val="right"/>
              <w:rPr>
                <w:szCs w:val="18"/>
              </w:rPr>
            </w:pPr>
            <w:r w:rsidRPr="00631C1C">
              <w:rPr>
                <w:szCs w:val="18"/>
              </w:rPr>
              <w:t>739</w:t>
            </w:r>
          </w:p>
        </w:tc>
        <w:tc>
          <w:tcPr>
            <w:tcW w:w="1313" w:type="dxa"/>
            <w:tcBorders>
              <w:top w:val="nil"/>
              <w:left w:val="nil"/>
              <w:bottom w:val="single" w:sz="4" w:space="0" w:color="auto"/>
              <w:right w:val="single" w:sz="4" w:space="0" w:color="auto"/>
            </w:tcBorders>
            <w:noWrap/>
            <w:hideMark/>
          </w:tcPr>
          <w:p w14:paraId="190DF09F" w14:textId="77777777" w:rsidR="00312042" w:rsidRPr="00631C1C" w:rsidRDefault="00312042" w:rsidP="009A58EE">
            <w:pPr>
              <w:pStyle w:val="Normal-pool-Table"/>
              <w:jc w:val="right"/>
              <w:rPr>
                <w:szCs w:val="18"/>
              </w:rPr>
            </w:pPr>
            <w:r w:rsidRPr="00631C1C">
              <w:rPr>
                <w:szCs w:val="18"/>
              </w:rPr>
              <w:t>1 299</w:t>
            </w:r>
          </w:p>
        </w:tc>
      </w:tr>
      <w:tr w:rsidR="00F234CD" w:rsidRPr="00631C1C" w14:paraId="557B7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91655E0" w14:textId="77777777" w:rsidR="00312042" w:rsidRPr="00631C1C" w:rsidRDefault="00312042" w:rsidP="009A58EE">
            <w:pPr>
              <w:pStyle w:val="Normal-pool-Table"/>
              <w:rPr>
                <w:szCs w:val="18"/>
              </w:rPr>
            </w:pPr>
            <w:r w:rsidRPr="00631C1C">
              <w:rPr>
                <w:szCs w:val="18"/>
              </w:rPr>
              <w:t>107</w:t>
            </w:r>
          </w:p>
        </w:tc>
        <w:tc>
          <w:tcPr>
            <w:tcW w:w="2573" w:type="dxa"/>
            <w:tcBorders>
              <w:top w:val="nil"/>
              <w:left w:val="nil"/>
              <w:bottom w:val="single" w:sz="4" w:space="0" w:color="auto"/>
              <w:right w:val="single" w:sz="4" w:space="0" w:color="auto"/>
            </w:tcBorders>
            <w:noWrap/>
            <w:hideMark/>
          </w:tcPr>
          <w:p w14:paraId="18E95309" w14:textId="77777777" w:rsidR="00312042" w:rsidRPr="00631C1C" w:rsidRDefault="00312042" w:rsidP="009A58EE">
            <w:pPr>
              <w:pStyle w:val="Normal-pool-Table"/>
              <w:rPr>
                <w:szCs w:val="18"/>
              </w:rPr>
            </w:pPr>
            <w:r w:rsidRPr="00631C1C">
              <w:rPr>
                <w:szCs w:val="18"/>
              </w:rPr>
              <w:t>Brazil</w:t>
            </w:r>
          </w:p>
        </w:tc>
        <w:tc>
          <w:tcPr>
            <w:tcW w:w="1400" w:type="dxa"/>
            <w:tcBorders>
              <w:top w:val="nil"/>
              <w:left w:val="nil"/>
              <w:bottom w:val="single" w:sz="4" w:space="0" w:color="auto"/>
              <w:right w:val="single" w:sz="4" w:space="0" w:color="auto"/>
            </w:tcBorders>
            <w:noWrap/>
            <w:hideMark/>
          </w:tcPr>
          <w:p w14:paraId="4A233FE2" w14:textId="1610C327"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411</w:t>
            </w:r>
          </w:p>
        </w:tc>
        <w:tc>
          <w:tcPr>
            <w:tcW w:w="1073" w:type="dxa"/>
            <w:tcBorders>
              <w:top w:val="nil"/>
              <w:left w:val="nil"/>
              <w:bottom w:val="single" w:sz="4" w:space="0" w:color="auto"/>
              <w:right w:val="single" w:sz="4" w:space="0" w:color="auto"/>
            </w:tcBorders>
            <w:noWrap/>
            <w:hideMark/>
          </w:tcPr>
          <w:p w14:paraId="4556A31C" w14:textId="1C1B6B0A"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4241</w:t>
            </w:r>
          </w:p>
        </w:tc>
        <w:tc>
          <w:tcPr>
            <w:tcW w:w="1293" w:type="dxa"/>
            <w:tcBorders>
              <w:top w:val="nil"/>
              <w:left w:val="nil"/>
              <w:bottom w:val="single" w:sz="4" w:space="0" w:color="auto"/>
              <w:right w:val="single" w:sz="4" w:space="0" w:color="auto"/>
            </w:tcBorders>
            <w:noWrap/>
            <w:hideMark/>
          </w:tcPr>
          <w:p w14:paraId="27BC3321" w14:textId="77777777" w:rsidR="00312042" w:rsidRPr="00631C1C" w:rsidRDefault="00312042" w:rsidP="009A58EE">
            <w:pPr>
              <w:pStyle w:val="Normal-pool-Table"/>
              <w:jc w:val="right"/>
              <w:rPr>
                <w:szCs w:val="18"/>
              </w:rPr>
            </w:pPr>
            <w:r w:rsidRPr="00631C1C">
              <w:rPr>
                <w:szCs w:val="18"/>
              </w:rPr>
              <w:t>43 911</w:t>
            </w:r>
          </w:p>
        </w:tc>
        <w:tc>
          <w:tcPr>
            <w:tcW w:w="1293" w:type="dxa"/>
            <w:tcBorders>
              <w:top w:val="nil"/>
              <w:left w:val="nil"/>
              <w:bottom w:val="single" w:sz="4" w:space="0" w:color="auto"/>
              <w:right w:val="single" w:sz="4" w:space="0" w:color="auto"/>
            </w:tcBorders>
            <w:noWrap/>
            <w:hideMark/>
          </w:tcPr>
          <w:p w14:paraId="7A02372D" w14:textId="77777777" w:rsidR="00312042" w:rsidRPr="00631C1C" w:rsidRDefault="00312042" w:rsidP="009A58EE">
            <w:pPr>
              <w:pStyle w:val="Normal-pool-Table"/>
              <w:jc w:val="right"/>
              <w:rPr>
                <w:szCs w:val="18"/>
              </w:rPr>
            </w:pPr>
            <w:r w:rsidRPr="00631C1C">
              <w:rPr>
                <w:szCs w:val="18"/>
              </w:rPr>
              <w:t>57 952</w:t>
            </w:r>
          </w:p>
        </w:tc>
        <w:tc>
          <w:tcPr>
            <w:tcW w:w="1313" w:type="dxa"/>
            <w:tcBorders>
              <w:top w:val="nil"/>
              <w:left w:val="nil"/>
              <w:bottom w:val="single" w:sz="4" w:space="0" w:color="auto"/>
              <w:right w:val="single" w:sz="4" w:space="0" w:color="auto"/>
            </w:tcBorders>
            <w:noWrap/>
            <w:hideMark/>
          </w:tcPr>
          <w:p w14:paraId="420BB069" w14:textId="77777777" w:rsidR="00312042" w:rsidRPr="00631C1C" w:rsidRDefault="00312042" w:rsidP="009A58EE">
            <w:pPr>
              <w:pStyle w:val="Normal-pool-Table"/>
              <w:jc w:val="right"/>
              <w:rPr>
                <w:szCs w:val="18"/>
              </w:rPr>
            </w:pPr>
            <w:r w:rsidRPr="00631C1C">
              <w:rPr>
                <w:szCs w:val="18"/>
              </w:rPr>
              <w:t>101 863</w:t>
            </w:r>
          </w:p>
        </w:tc>
      </w:tr>
      <w:tr w:rsidR="00F234CD" w:rsidRPr="00631C1C" w14:paraId="35D65D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ADBECA" w14:textId="77777777" w:rsidR="00312042" w:rsidRPr="00631C1C" w:rsidRDefault="00312042" w:rsidP="009A58EE">
            <w:pPr>
              <w:pStyle w:val="Normal-pool-Table"/>
              <w:rPr>
                <w:szCs w:val="18"/>
              </w:rPr>
            </w:pPr>
            <w:r w:rsidRPr="00631C1C">
              <w:rPr>
                <w:szCs w:val="18"/>
              </w:rPr>
              <w:t>108</w:t>
            </w:r>
          </w:p>
        </w:tc>
        <w:tc>
          <w:tcPr>
            <w:tcW w:w="2573" w:type="dxa"/>
            <w:tcBorders>
              <w:top w:val="nil"/>
              <w:left w:val="nil"/>
              <w:bottom w:val="single" w:sz="4" w:space="0" w:color="auto"/>
              <w:right w:val="single" w:sz="4" w:space="0" w:color="auto"/>
            </w:tcBorders>
            <w:noWrap/>
            <w:hideMark/>
          </w:tcPr>
          <w:p w14:paraId="307D3482" w14:textId="77777777" w:rsidR="00312042" w:rsidRPr="00631C1C" w:rsidRDefault="00312042" w:rsidP="009A58EE">
            <w:pPr>
              <w:pStyle w:val="Normal-pool-Table"/>
              <w:rPr>
                <w:szCs w:val="18"/>
              </w:rPr>
            </w:pPr>
            <w:r w:rsidRPr="00631C1C">
              <w:rPr>
                <w:szCs w:val="18"/>
              </w:rPr>
              <w:t>Chile</w:t>
            </w:r>
          </w:p>
        </w:tc>
        <w:tc>
          <w:tcPr>
            <w:tcW w:w="1400" w:type="dxa"/>
            <w:tcBorders>
              <w:top w:val="nil"/>
              <w:left w:val="nil"/>
              <w:bottom w:val="single" w:sz="4" w:space="0" w:color="auto"/>
              <w:right w:val="single" w:sz="4" w:space="0" w:color="auto"/>
            </w:tcBorders>
            <w:noWrap/>
            <w:hideMark/>
          </w:tcPr>
          <w:p w14:paraId="4E543312" w14:textId="62E6172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374</w:t>
            </w:r>
          </w:p>
        </w:tc>
        <w:tc>
          <w:tcPr>
            <w:tcW w:w="1073" w:type="dxa"/>
            <w:tcBorders>
              <w:top w:val="nil"/>
              <w:left w:val="nil"/>
              <w:bottom w:val="single" w:sz="4" w:space="0" w:color="auto"/>
              <w:right w:val="single" w:sz="4" w:space="0" w:color="auto"/>
            </w:tcBorders>
            <w:noWrap/>
            <w:hideMark/>
          </w:tcPr>
          <w:p w14:paraId="0F381D32" w14:textId="3012252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3775</w:t>
            </w:r>
          </w:p>
        </w:tc>
        <w:tc>
          <w:tcPr>
            <w:tcW w:w="1293" w:type="dxa"/>
            <w:tcBorders>
              <w:top w:val="nil"/>
              <w:left w:val="nil"/>
              <w:bottom w:val="single" w:sz="4" w:space="0" w:color="auto"/>
              <w:right w:val="single" w:sz="4" w:space="0" w:color="auto"/>
            </w:tcBorders>
            <w:noWrap/>
            <w:hideMark/>
          </w:tcPr>
          <w:p w14:paraId="76C4D0F7" w14:textId="77777777" w:rsidR="00312042" w:rsidRPr="00631C1C" w:rsidRDefault="00312042" w:rsidP="009A58EE">
            <w:pPr>
              <w:pStyle w:val="Normal-pool-Table"/>
              <w:jc w:val="right"/>
              <w:rPr>
                <w:szCs w:val="18"/>
              </w:rPr>
            </w:pPr>
            <w:r w:rsidRPr="00631C1C">
              <w:rPr>
                <w:szCs w:val="18"/>
              </w:rPr>
              <w:t>11 639</w:t>
            </w:r>
          </w:p>
        </w:tc>
        <w:tc>
          <w:tcPr>
            <w:tcW w:w="1293" w:type="dxa"/>
            <w:tcBorders>
              <w:top w:val="nil"/>
              <w:left w:val="nil"/>
              <w:bottom w:val="single" w:sz="4" w:space="0" w:color="auto"/>
              <w:right w:val="single" w:sz="4" w:space="0" w:color="auto"/>
            </w:tcBorders>
            <w:noWrap/>
            <w:hideMark/>
          </w:tcPr>
          <w:p w14:paraId="779190B5" w14:textId="77777777" w:rsidR="00312042" w:rsidRPr="00631C1C" w:rsidRDefault="00312042" w:rsidP="009A58EE">
            <w:pPr>
              <w:pStyle w:val="Normal-pool-Table"/>
              <w:jc w:val="right"/>
              <w:rPr>
                <w:szCs w:val="18"/>
              </w:rPr>
            </w:pPr>
            <w:r w:rsidRPr="00631C1C">
              <w:rPr>
                <w:szCs w:val="18"/>
              </w:rPr>
              <w:t>15 361</w:t>
            </w:r>
          </w:p>
        </w:tc>
        <w:tc>
          <w:tcPr>
            <w:tcW w:w="1313" w:type="dxa"/>
            <w:tcBorders>
              <w:top w:val="nil"/>
              <w:left w:val="nil"/>
              <w:bottom w:val="single" w:sz="4" w:space="0" w:color="auto"/>
              <w:right w:val="single" w:sz="4" w:space="0" w:color="auto"/>
            </w:tcBorders>
            <w:noWrap/>
            <w:hideMark/>
          </w:tcPr>
          <w:p w14:paraId="26696F0F" w14:textId="77777777" w:rsidR="00312042" w:rsidRPr="00631C1C" w:rsidRDefault="00312042" w:rsidP="009A58EE">
            <w:pPr>
              <w:pStyle w:val="Normal-pool-Table"/>
              <w:jc w:val="right"/>
              <w:rPr>
                <w:szCs w:val="18"/>
              </w:rPr>
            </w:pPr>
            <w:r w:rsidRPr="00631C1C">
              <w:rPr>
                <w:szCs w:val="18"/>
              </w:rPr>
              <w:t>27 000</w:t>
            </w:r>
          </w:p>
        </w:tc>
      </w:tr>
      <w:tr w:rsidR="00F234CD" w:rsidRPr="00631C1C" w14:paraId="1773C18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C63E6B" w14:textId="77777777" w:rsidR="00312042" w:rsidRPr="00631C1C" w:rsidRDefault="00312042" w:rsidP="009A58EE">
            <w:pPr>
              <w:pStyle w:val="Normal-pool-Table"/>
              <w:rPr>
                <w:szCs w:val="18"/>
              </w:rPr>
            </w:pPr>
            <w:r w:rsidRPr="00631C1C">
              <w:rPr>
                <w:szCs w:val="18"/>
              </w:rPr>
              <w:t>109</w:t>
            </w:r>
          </w:p>
        </w:tc>
        <w:tc>
          <w:tcPr>
            <w:tcW w:w="2573" w:type="dxa"/>
            <w:tcBorders>
              <w:top w:val="nil"/>
              <w:left w:val="nil"/>
              <w:bottom w:val="single" w:sz="4" w:space="0" w:color="auto"/>
              <w:right w:val="single" w:sz="4" w:space="0" w:color="auto"/>
            </w:tcBorders>
            <w:noWrap/>
            <w:hideMark/>
          </w:tcPr>
          <w:p w14:paraId="7F557AD7" w14:textId="77777777" w:rsidR="00312042" w:rsidRPr="00631C1C" w:rsidRDefault="00312042" w:rsidP="009A58EE">
            <w:pPr>
              <w:pStyle w:val="Normal-pool-Table"/>
              <w:rPr>
                <w:szCs w:val="18"/>
              </w:rPr>
            </w:pPr>
            <w:r w:rsidRPr="00631C1C">
              <w:rPr>
                <w:szCs w:val="18"/>
              </w:rPr>
              <w:t>Colombia</w:t>
            </w:r>
          </w:p>
        </w:tc>
        <w:tc>
          <w:tcPr>
            <w:tcW w:w="1400" w:type="dxa"/>
            <w:tcBorders>
              <w:top w:val="nil"/>
              <w:left w:val="nil"/>
              <w:bottom w:val="single" w:sz="4" w:space="0" w:color="auto"/>
              <w:right w:val="single" w:sz="4" w:space="0" w:color="auto"/>
            </w:tcBorders>
            <w:noWrap/>
            <w:hideMark/>
          </w:tcPr>
          <w:p w14:paraId="0D568092" w14:textId="4329278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197</w:t>
            </w:r>
          </w:p>
        </w:tc>
        <w:tc>
          <w:tcPr>
            <w:tcW w:w="1073" w:type="dxa"/>
            <w:tcBorders>
              <w:top w:val="nil"/>
              <w:left w:val="nil"/>
              <w:bottom w:val="single" w:sz="4" w:space="0" w:color="auto"/>
              <w:right w:val="single" w:sz="4" w:space="0" w:color="auto"/>
            </w:tcBorders>
            <w:noWrap/>
            <w:hideMark/>
          </w:tcPr>
          <w:p w14:paraId="4A8F1B42" w14:textId="1CDE73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1988</w:t>
            </w:r>
          </w:p>
        </w:tc>
        <w:tc>
          <w:tcPr>
            <w:tcW w:w="1293" w:type="dxa"/>
            <w:tcBorders>
              <w:top w:val="nil"/>
              <w:left w:val="nil"/>
              <w:bottom w:val="single" w:sz="4" w:space="0" w:color="auto"/>
              <w:right w:val="single" w:sz="4" w:space="0" w:color="auto"/>
            </w:tcBorders>
            <w:noWrap/>
            <w:hideMark/>
          </w:tcPr>
          <w:p w14:paraId="6F1591FC" w14:textId="77777777" w:rsidR="00312042" w:rsidRPr="00631C1C" w:rsidRDefault="00312042" w:rsidP="009A58EE">
            <w:pPr>
              <w:pStyle w:val="Normal-pool-Table"/>
              <w:jc w:val="right"/>
              <w:rPr>
                <w:szCs w:val="18"/>
              </w:rPr>
            </w:pPr>
            <w:r w:rsidRPr="00631C1C">
              <w:rPr>
                <w:szCs w:val="18"/>
              </w:rPr>
              <w:t>6 131</w:t>
            </w:r>
          </w:p>
        </w:tc>
        <w:tc>
          <w:tcPr>
            <w:tcW w:w="1293" w:type="dxa"/>
            <w:tcBorders>
              <w:top w:val="nil"/>
              <w:left w:val="nil"/>
              <w:bottom w:val="single" w:sz="4" w:space="0" w:color="auto"/>
              <w:right w:val="single" w:sz="4" w:space="0" w:color="auto"/>
            </w:tcBorders>
            <w:noWrap/>
            <w:hideMark/>
          </w:tcPr>
          <w:p w14:paraId="298E56AD" w14:textId="77777777" w:rsidR="00312042" w:rsidRPr="00631C1C" w:rsidRDefault="00312042" w:rsidP="009A58EE">
            <w:pPr>
              <w:pStyle w:val="Normal-pool-Table"/>
              <w:jc w:val="right"/>
              <w:rPr>
                <w:szCs w:val="18"/>
              </w:rPr>
            </w:pPr>
            <w:r w:rsidRPr="00631C1C">
              <w:rPr>
                <w:szCs w:val="18"/>
              </w:rPr>
              <w:t>8 091</w:t>
            </w:r>
          </w:p>
        </w:tc>
        <w:tc>
          <w:tcPr>
            <w:tcW w:w="1313" w:type="dxa"/>
            <w:tcBorders>
              <w:top w:val="nil"/>
              <w:left w:val="nil"/>
              <w:bottom w:val="single" w:sz="4" w:space="0" w:color="auto"/>
              <w:right w:val="single" w:sz="4" w:space="0" w:color="auto"/>
            </w:tcBorders>
            <w:noWrap/>
            <w:hideMark/>
          </w:tcPr>
          <w:p w14:paraId="549FF480" w14:textId="77777777" w:rsidR="00312042" w:rsidRPr="00631C1C" w:rsidRDefault="00312042" w:rsidP="009A58EE">
            <w:pPr>
              <w:pStyle w:val="Normal-pool-Table"/>
              <w:jc w:val="right"/>
              <w:rPr>
                <w:szCs w:val="18"/>
              </w:rPr>
            </w:pPr>
            <w:r w:rsidRPr="00631C1C">
              <w:rPr>
                <w:szCs w:val="18"/>
              </w:rPr>
              <w:t>14 222</w:t>
            </w:r>
          </w:p>
        </w:tc>
      </w:tr>
      <w:tr w:rsidR="00F234CD" w:rsidRPr="00631C1C" w14:paraId="332FB0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D4D2AD" w14:textId="77777777" w:rsidR="00312042" w:rsidRPr="00631C1C" w:rsidRDefault="00312042" w:rsidP="009A58EE">
            <w:pPr>
              <w:pStyle w:val="Normal-pool-Table"/>
              <w:rPr>
                <w:szCs w:val="18"/>
              </w:rPr>
            </w:pPr>
            <w:r w:rsidRPr="00631C1C">
              <w:rPr>
                <w:szCs w:val="18"/>
              </w:rPr>
              <w:t>110</w:t>
            </w:r>
          </w:p>
        </w:tc>
        <w:tc>
          <w:tcPr>
            <w:tcW w:w="2573" w:type="dxa"/>
            <w:tcBorders>
              <w:top w:val="nil"/>
              <w:left w:val="nil"/>
              <w:bottom w:val="single" w:sz="4" w:space="0" w:color="auto"/>
              <w:right w:val="single" w:sz="4" w:space="0" w:color="auto"/>
            </w:tcBorders>
            <w:noWrap/>
            <w:hideMark/>
          </w:tcPr>
          <w:p w14:paraId="55A3273D" w14:textId="77777777" w:rsidR="00312042" w:rsidRPr="00631C1C" w:rsidRDefault="00312042" w:rsidP="009A58EE">
            <w:pPr>
              <w:pStyle w:val="Normal-pool-Table"/>
              <w:rPr>
                <w:szCs w:val="18"/>
              </w:rPr>
            </w:pPr>
            <w:r w:rsidRPr="00631C1C">
              <w:rPr>
                <w:szCs w:val="18"/>
              </w:rPr>
              <w:t>Costa Rica</w:t>
            </w:r>
          </w:p>
        </w:tc>
        <w:tc>
          <w:tcPr>
            <w:tcW w:w="1400" w:type="dxa"/>
            <w:tcBorders>
              <w:top w:val="nil"/>
              <w:left w:val="nil"/>
              <w:bottom w:val="single" w:sz="4" w:space="0" w:color="auto"/>
              <w:right w:val="single" w:sz="4" w:space="0" w:color="auto"/>
            </w:tcBorders>
            <w:noWrap/>
            <w:hideMark/>
          </w:tcPr>
          <w:p w14:paraId="6F253AAE" w14:textId="1D0AB94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063</w:t>
            </w:r>
          </w:p>
        </w:tc>
        <w:tc>
          <w:tcPr>
            <w:tcW w:w="1073" w:type="dxa"/>
            <w:tcBorders>
              <w:top w:val="nil"/>
              <w:left w:val="nil"/>
              <w:bottom w:val="single" w:sz="4" w:space="0" w:color="auto"/>
              <w:right w:val="single" w:sz="4" w:space="0" w:color="auto"/>
            </w:tcBorders>
            <w:noWrap/>
            <w:hideMark/>
          </w:tcPr>
          <w:p w14:paraId="02491828" w14:textId="3F72CB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0636</w:t>
            </w:r>
          </w:p>
        </w:tc>
        <w:tc>
          <w:tcPr>
            <w:tcW w:w="1293" w:type="dxa"/>
            <w:tcBorders>
              <w:top w:val="nil"/>
              <w:left w:val="nil"/>
              <w:bottom w:val="single" w:sz="4" w:space="0" w:color="auto"/>
              <w:right w:val="single" w:sz="4" w:space="0" w:color="auto"/>
            </w:tcBorders>
            <w:noWrap/>
            <w:hideMark/>
          </w:tcPr>
          <w:p w14:paraId="49305C38" w14:textId="77777777" w:rsidR="00312042" w:rsidRPr="00631C1C" w:rsidRDefault="00312042" w:rsidP="009A58EE">
            <w:pPr>
              <w:pStyle w:val="Normal-pool-Table"/>
              <w:jc w:val="right"/>
              <w:rPr>
                <w:szCs w:val="18"/>
              </w:rPr>
            </w:pPr>
            <w:r w:rsidRPr="00631C1C">
              <w:rPr>
                <w:szCs w:val="18"/>
              </w:rPr>
              <w:t>1 961</w:t>
            </w:r>
          </w:p>
        </w:tc>
        <w:tc>
          <w:tcPr>
            <w:tcW w:w="1293" w:type="dxa"/>
            <w:tcBorders>
              <w:top w:val="nil"/>
              <w:left w:val="nil"/>
              <w:bottom w:val="single" w:sz="4" w:space="0" w:color="auto"/>
              <w:right w:val="single" w:sz="4" w:space="0" w:color="auto"/>
            </w:tcBorders>
            <w:noWrap/>
            <w:hideMark/>
          </w:tcPr>
          <w:p w14:paraId="5F4EB832" w14:textId="77777777" w:rsidR="00312042" w:rsidRPr="00631C1C" w:rsidRDefault="00312042" w:rsidP="009A58EE">
            <w:pPr>
              <w:pStyle w:val="Normal-pool-Table"/>
              <w:jc w:val="right"/>
              <w:rPr>
                <w:szCs w:val="18"/>
              </w:rPr>
            </w:pPr>
            <w:r w:rsidRPr="00631C1C">
              <w:rPr>
                <w:szCs w:val="18"/>
              </w:rPr>
              <w:t>2 588</w:t>
            </w:r>
          </w:p>
        </w:tc>
        <w:tc>
          <w:tcPr>
            <w:tcW w:w="1313" w:type="dxa"/>
            <w:tcBorders>
              <w:top w:val="nil"/>
              <w:left w:val="nil"/>
              <w:bottom w:val="single" w:sz="4" w:space="0" w:color="auto"/>
              <w:right w:val="single" w:sz="4" w:space="0" w:color="auto"/>
            </w:tcBorders>
            <w:noWrap/>
            <w:hideMark/>
          </w:tcPr>
          <w:p w14:paraId="69FD3D90" w14:textId="77777777" w:rsidR="00312042" w:rsidRPr="00631C1C" w:rsidRDefault="00312042" w:rsidP="009A58EE">
            <w:pPr>
              <w:pStyle w:val="Normal-pool-Table"/>
              <w:jc w:val="right"/>
              <w:rPr>
                <w:szCs w:val="18"/>
              </w:rPr>
            </w:pPr>
            <w:r w:rsidRPr="00631C1C">
              <w:rPr>
                <w:szCs w:val="18"/>
              </w:rPr>
              <w:t>4 548</w:t>
            </w:r>
          </w:p>
        </w:tc>
      </w:tr>
      <w:tr w:rsidR="00F234CD" w:rsidRPr="00631C1C" w14:paraId="4401A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97D8DE" w14:textId="77777777" w:rsidR="00312042" w:rsidRPr="00631C1C" w:rsidRDefault="00312042" w:rsidP="009A58EE">
            <w:pPr>
              <w:pStyle w:val="Normal-pool-Table"/>
              <w:rPr>
                <w:szCs w:val="18"/>
              </w:rPr>
            </w:pPr>
            <w:r w:rsidRPr="00631C1C">
              <w:rPr>
                <w:szCs w:val="18"/>
              </w:rPr>
              <w:t>111</w:t>
            </w:r>
          </w:p>
        </w:tc>
        <w:tc>
          <w:tcPr>
            <w:tcW w:w="2573" w:type="dxa"/>
            <w:tcBorders>
              <w:top w:val="nil"/>
              <w:left w:val="nil"/>
              <w:bottom w:val="single" w:sz="4" w:space="0" w:color="auto"/>
              <w:right w:val="single" w:sz="4" w:space="0" w:color="auto"/>
            </w:tcBorders>
            <w:noWrap/>
            <w:hideMark/>
          </w:tcPr>
          <w:p w14:paraId="2767A852" w14:textId="77777777" w:rsidR="00312042" w:rsidRPr="00631C1C" w:rsidRDefault="00312042" w:rsidP="009A58EE">
            <w:pPr>
              <w:pStyle w:val="Normal-pool-Table"/>
              <w:rPr>
                <w:szCs w:val="18"/>
              </w:rPr>
            </w:pPr>
            <w:r w:rsidRPr="00631C1C">
              <w:rPr>
                <w:szCs w:val="18"/>
              </w:rPr>
              <w:t>Cuba</w:t>
            </w:r>
          </w:p>
        </w:tc>
        <w:tc>
          <w:tcPr>
            <w:tcW w:w="1400" w:type="dxa"/>
            <w:tcBorders>
              <w:top w:val="nil"/>
              <w:left w:val="nil"/>
              <w:bottom w:val="single" w:sz="4" w:space="0" w:color="auto"/>
              <w:right w:val="single" w:sz="4" w:space="0" w:color="auto"/>
            </w:tcBorders>
            <w:noWrap/>
            <w:hideMark/>
          </w:tcPr>
          <w:p w14:paraId="4EB12C4D" w14:textId="31FBD7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122</w:t>
            </w:r>
          </w:p>
        </w:tc>
        <w:tc>
          <w:tcPr>
            <w:tcW w:w="1073" w:type="dxa"/>
            <w:tcBorders>
              <w:top w:val="nil"/>
              <w:left w:val="nil"/>
              <w:bottom w:val="single" w:sz="4" w:space="0" w:color="auto"/>
              <w:right w:val="single" w:sz="4" w:space="0" w:color="auto"/>
            </w:tcBorders>
            <w:noWrap/>
            <w:hideMark/>
          </w:tcPr>
          <w:p w14:paraId="7DFD6FFE" w14:textId="25808F8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1231</w:t>
            </w:r>
          </w:p>
        </w:tc>
        <w:tc>
          <w:tcPr>
            <w:tcW w:w="1293" w:type="dxa"/>
            <w:tcBorders>
              <w:top w:val="nil"/>
              <w:left w:val="nil"/>
              <w:bottom w:val="single" w:sz="4" w:space="0" w:color="auto"/>
              <w:right w:val="single" w:sz="4" w:space="0" w:color="auto"/>
            </w:tcBorders>
            <w:noWrap/>
            <w:hideMark/>
          </w:tcPr>
          <w:p w14:paraId="7EBE644C" w14:textId="77777777" w:rsidR="00312042" w:rsidRPr="00631C1C" w:rsidRDefault="00312042" w:rsidP="009A58EE">
            <w:pPr>
              <w:pStyle w:val="Normal-pool-Table"/>
              <w:jc w:val="right"/>
              <w:rPr>
                <w:szCs w:val="18"/>
              </w:rPr>
            </w:pPr>
            <w:r w:rsidRPr="00631C1C">
              <w:rPr>
                <w:szCs w:val="18"/>
              </w:rPr>
              <w:t>3 797</w:t>
            </w:r>
          </w:p>
        </w:tc>
        <w:tc>
          <w:tcPr>
            <w:tcW w:w="1293" w:type="dxa"/>
            <w:tcBorders>
              <w:top w:val="nil"/>
              <w:left w:val="nil"/>
              <w:bottom w:val="single" w:sz="4" w:space="0" w:color="auto"/>
              <w:right w:val="single" w:sz="4" w:space="0" w:color="auto"/>
            </w:tcBorders>
            <w:noWrap/>
            <w:hideMark/>
          </w:tcPr>
          <w:p w14:paraId="691AAFB8" w14:textId="77777777" w:rsidR="00312042" w:rsidRPr="00631C1C" w:rsidRDefault="00312042" w:rsidP="009A58EE">
            <w:pPr>
              <w:pStyle w:val="Normal-pool-Table"/>
              <w:jc w:val="right"/>
              <w:rPr>
                <w:szCs w:val="18"/>
              </w:rPr>
            </w:pPr>
            <w:r w:rsidRPr="00631C1C">
              <w:rPr>
                <w:szCs w:val="18"/>
              </w:rPr>
              <w:t>5 011</w:t>
            </w:r>
          </w:p>
        </w:tc>
        <w:tc>
          <w:tcPr>
            <w:tcW w:w="1313" w:type="dxa"/>
            <w:tcBorders>
              <w:top w:val="nil"/>
              <w:left w:val="nil"/>
              <w:bottom w:val="single" w:sz="4" w:space="0" w:color="auto"/>
              <w:right w:val="single" w:sz="4" w:space="0" w:color="auto"/>
            </w:tcBorders>
            <w:noWrap/>
            <w:hideMark/>
          </w:tcPr>
          <w:p w14:paraId="3FD40647" w14:textId="77777777" w:rsidR="00312042" w:rsidRPr="00631C1C" w:rsidRDefault="00312042" w:rsidP="009A58EE">
            <w:pPr>
              <w:pStyle w:val="Normal-pool-Table"/>
              <w:jc w:val="right"/>
              <w:rPr>
                <w:szCs w:val="18"/>
              </w:rPr>
            </w:pPr>
            <w:r w:rsidRPr="00631C1C">
              <w:rPr>
                <w:szCs w:val="18"/>
              </w:rPr>
              <w:t>8 807</w:t>
            </w:r>
          </w:p>
        </w:tc>
      </w:tr>
      <w:tr w:rsidR="00F234CD" w:rsidRPr="00631C1C" w14:paraId="42C55E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D1E6A8" w14:textId="77777777" w:rsidR="00312042" w:rsidRPr="00631C1C" w:rsidRDefault="00312042" w:rsidP="009A58EE">
            <w:pPr>
              <w:pStyle w:val="Normal-pool-Table"/>
              <w:rPr>
                <w:szCs w:val="18"/>
              </w:rPr>
            </w:pPr>
            <w:r w:rsidRPr="00631C1C">
              <w:rPr>
                <w:szCs w:val="18"/>
              </w:rPr>
              <w:t>112</w:t>
            </w:r>
          </w:p>
        </w:tc>
        <w:tc>
          <w:tcPr>
            <w:tcW w:w="2573" w:type="dxa"/>
            <w:tcBorders>
              <w:top w:val="nil"/>
              <w:left w:val="nil"/>
              <w:bottom w:val="single" w:sz="4" w:space="0" w:color="auto"/>
              <w:right w:val="single" w:sz="4" w:space="0" w:color="auto"/>
            </w:tcBorders>
            <w:noWrap/>
            <w:hideMark/>
          </w:tcPr>
          <w:p w14:paraId="488A83DD" w14:textId="77777777" w:rsidR="00312042" w:rsidRPr="00631C1C" w:rsidRDefault="00312042" w:rsidP="009A58EE">
            <w:pPr>
              <w:pStyle w:val="Normal-pool-Table"/>
              <w:rPr>
                <w:szCs w:val="18"/>
              </w:rPr>
            </w:pPr>
            <w:r w:rsidRPr="00631C1C">
              <w:rPr>
                <w:szCs w:val="18"/>
              </w:rPr>
              <w:t>Dominican Republic</w:t>
            </w:r>
          </w:p>
        </w:tc>
        <w:tc>
          <w:tcPr>
            <w:tcW w:w="1400" w:type="dxa"/>
            <w:tcBorders>
              <w:top w:val="nil"/>
              <w:left w:val="nil"/>
              <w:bottom w:val="single" w:sz="4" w:space="0" w:color="auto"/>
              <w:right w:val="single" w:sz="4" w:space="0" w:color="auto"/>
            </w:tcBorders>
            <w:noWrap/>
            <w:hideMark/>
          </w:tcPr>
          <w:p w14:paraId="04F17E0B" w14:textId="500FEC7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069</w:t>
            </w:r>
          </w:p>
        </w:tc>
        <w:tc>
          <w:tcPr>
            <w:tcW w:w="1073" w:type="dxa"/>
            <w:tcBorders>
              <w:top w:val="nil"/>
              <w:left w:val="nil"/>
              <w:bottom w:val="single" w:sz="4" w:space="0" w:color="auto"/>
              <w:right w:val="single" w:sz="4" w:space="0" w:color="auto"/>
            </w:tcBorders>
            <w:noWrap/>
            <w:hideMark/>
          </w:tcPr>
          <w:p w14:paraId="3F7D2DC9" w14:textId="0DF0503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0696</w:t>
            </w:r>
          </w:p>
        </w:tc>
        <w:tc>
          <w:tcPr>
            <w:tcW w:w="1293" w:type="dxa"/>
            <w:tcBorders>
              <w:top w:val="nil"/>
              <w:left w:val="nil"/>
              <w:bottom w:val="single" w:sz="4" w:space="0" w:color="auto"/>
              <w:right w:val="single" w:sz="4" w:space="0" w:color="auto"/>
            </w:tcBorders>
            <w:noWrap/>
            <w:hideMark/>
          </w:tcPr>
          <w:p w14:paraId="40523DEE" w14:textId="77777777" w:rsidR="00312042" w:rsidRPr="00631C1C" w:rsidRDefault="00312042" w:rsidP="009A58EE">
            <w:pPr>
              <w:pStyle w:val="Normal-pool-Table"/>
              <w:jc w:val="right"/>
              <w:rPr>
                <w:szCs w:val="18"/>
              </w:rPr>
            </w:pPr>
            <w:r w:rsidRPr="00631C1C">
              <w:rPr>
                <w:szCs w:val="18"/>
              </w:rPr>
              <w:t>2 147</w:t>
            </w:r>
          </w:p>
        </w:tc>
        <w:tc>
          <w:tcPr>
            <w:tcW w:w="1293" w:type="dxa"/>
            <w:tcBorders>
              <w:top w:val="nil"/>
              <w:left w:val="nil"/>
              <w:bottom w:val="single" w:sz="4" w:space="0" w:color="auto"/>
              <w:right w:val="single" w:sz="4" w:space="0" w:color="auto"/>
            </w:tcBorders>
            <w:noWrap/>
            <w:hideMark/>
          </w:tcPr>
          <w:p w14:paraId="2E1E98FF" w14:textId="77777777" w:rsidR="00312042" w:rsidRPr="00631C1C" w:rsidRDefault="00312042" w:rsidP="009A58EE">
            <w:pPr>
              <w:pStyle w:val="Normal-pool-Table"/>
              <w:jc w:val="right"/>
              <w:rPr>
                <w:szCs w:val="18"/>
              </w:rPr>
            </w:pPr>
            <w:r w:rsidRPr="00631C1C">
              <w:rPr>
                <w:szCs w:val="18"/>
              </w:rPr>
              <w:t>2 834</w:t>
            </w:r>
          </w:p>
        </w:tc>
        <w:tc>
          <w:tcPr>
            <w:tcW w:w="1313" w:type="dxa"/>
            <w:tcBorders>
              <w:top w:val="nil"/>
              <w:left w:val="nil"/>
              <w:bottom w:val="single" w:sz="4" w:space="0" w:color="auto"/>
              <w:right w:val="single" w:sz="4" w:space="0" w:color="auto"/>
            </w:tcBorders>
            <w:noWrap/>
            <w:hideMark/>
          </w:tcPr>
          <w:p w14:paraId="66E037B1" w14:textId="77777777" w:rsidR="00312042" w:rsidRPr="00631C1C" w:rsidRDefault="00312042" w:rsidP="009A58EE">
            <w:pPr>
              <w:pStyle w:val="Normal-pool-Table"/>
              <w:jc w:val="right"/>
              <w:rPr>
                <w:szCs w:val="18"/>
              </w:rPr>
            </w:pPr>
            <w:r w:rsidRPr="00631C1C">
              <w:rPr>
                <w:szCs w:val="18"/>
              </w:rPr>
              <w:t>4 981</w:t>
            </w:r>
          </w:p>
        </w:tc>
      </w:tr>
      <w:tr w:rsidR="00F234CD" w:rsidRPr="00631C1C" w14:paraId="57153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8DF28" w14:textId="77777777" w:rsidR="00312042" w:rsidRPr="00631C1C" w:rsidRDefault="00312042" w:rsidP="009A58EE">
            <w:pPr>
              <w:pStyle w:val="Normal-pool-Table"/>
              <w:rPr>
                <w:szCs w:val="18"/>
              </w:rPr>
            </w:pPr>
            <w:r w:rsidRPr="00631C1C">
              <w:rPr>
                <w:szCs w:val="18"/>
              </w:rPr>
              <w:t>113</w:t>
            </w:r>
          </w:p>
        </w:tc>
        <w:tc>
          <w:tcPr>
            <w:tcW w:w="2573" w:type="dxa"/>
            <w:tcBorders>
              <w:top w:val="nil"/>
              <w:left w:val="nil"/>
              <w:bottom w:val="single" w:sz="4" w:space="0" w:color="auto"/>
              <w:right w:val="single" w:sz="4" w:space="0" w:color="auto"/>
            </w:tcBorders>
            <w:noWrap/>
            <w:hideMark/>
          </w:tcPr>
          <w:p w14:paraId="22F5C891" w14:textId="77777777" w:rsidR="00312042" w:rsidRPr="00631C1C" w:rsidRDefault="00312042" w:rsidP="009A58EE">
            <w:pPr>
              <w:pStyle w:val="Normal-pool-Table"/>
              <w:rPr>
                <w:szCs w:val="18"/>
              </w:rPr>
            </w:pPr>
            <w:r w:rsidRPr="00631C1C">
              <w:rPr>
                <w:szCs w:val="18"/>
              </w:rPr>
              <w:t>Ecuador</w:t>
            </w:r>
          </w:p>
        </w:tc>
        <w:tc>
          <w:tcPr>
            <w:tcW w:w="1400" w:type="dxa"/>
            <w:tcBorders>
              <w:top w:val="nil"/>
              <w:left w:val="nil"/>
              <w:bottom w:val="single" w:sz="4" w:space="0" w:color="auto"/>
              <w:right w:val="single" w:sz="4" w:space="0" w:color="auto"/>
            </w:tcBorders>
            <w:noWrap/>
            <w:hideMark/>
          </w:tcPr>
          <w:p w14:paraId="4A1C1DA5" w14:textId="574197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065</w:t>
            </w:r>
          </w:p>
        </w:tc>
        <w:tc>
          <w:tcPr>
            <w:tcW w:w="1073" w:type="dxa"/>
            <w:tcBorders>
              <w:top w:val="nil"/>
              <w:left w:val="nil"/>
              <w:bottom w:val="single" w:sz="4" w:space="0" w:color="auto"/>
              <w:right w:val="single" w:sz="4" w:space="0" w:color="auto"/>
            </w:tcBorders>
            <w:noWrap/>
            <w:hideMark/>
          </w:tcPr>
          <w:p w14:paraId="33AA1AE9" w14:textId="0A66CDA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0656</w:t>
            </w:r>
          </w:p>
        </w:tc>
        <w:tc>
          <w:tcPr>
            <w:tcW w:w="1293" w:type="dxa"/>
            <w:tcBorders>
              <w:top w:val="nil"/>
              <w:left w:val="nil"/>
              <w:bottom w:val="single" w:sz="4" w:space="0" w:color="auto"/>
              <w:right w:val="single" w:sz="4" w:space="0" w:color="auto"/>
            </w:tcBorders>
            <w:noWrap/>
            <w:hideMark/>
          </w:tcPr>
          <w:p w14:paraId="1FD71990" w14:textId="77777777" w:rsidR="00312042" w:rsidRPr="00631C1C" w:rsidRDefault="00312042" w:rsidP="009A58EE">
            <w:pPr>
              <w:pStyle w:val="Normal-pool-Table"/>
              <w:jc w:val="right"/>
              <w:rPr>
                <w:szCs w:val="18"/>
              </w:rPr>
            </w:pPr>
            <w:r w:rsidRPr="00631C1C">
              <w:rPr>
                <w:szCs w:val="18"/>
              </w:rPr>
              <w:t>2 023</w:t>
            </w:r>
          </w:p>
        </w:tc>
        <w:tc>
          <w:tcPr>
            <w:tcW w:w="1293" w:type="dxa"/>
            <w:tcBorders>
              <w:top w:val="nil"/>
              <w:left w:val="nil"/>
              <w:bottom w:val="single" w:sz="4" w:space="0" w:color="auto"/>
              <w:right w:val="single" w:sz="4" w:space="0" w:color="auto"/>
            </w:tcBorders>
            <w:noWrap/>
            <w:hideMark/>
          </w:tcPr>
          <w:p w14:paraId="19FC76A4" w14:textId="77777777" w:rsidR="00312042" w:rsidRPr="00631C1C" w:rsidRDefault="00312042" w:rsidP="009A58EE">
            <w:pPr>
              <w:pStyle w:val="Normal-pool-Table"/>
              <w:jc w:val="right"/>
              <w:rPr>
                <w:szCs w:val="18"/>
              </w:rPr>
            </w:pPr>
            <w:r w:rsidRPr="00631C1C">
              <w:rPr>
                <w:szCs w:val="18"/>
              </w:rPr>
              <w:t>2 670</w:t>
            </w:r>
          </w:p>
        </w:tc>
        <w:tc>
          <w:tcPr>
            <w:tcW w:w="1313" w:type="dxa"/>
            <w:tcBorders>
              <w:top w:val="nil"/>
              <w:left w:val="nil"/>
              <w:bottom w:val="single" w:sz="4" w:space="0" w:color="auto"/>
              <w:right w:val="single" w:sz="4" w:space="0" w:color="auto"/>
            </w:tcBorders>
            <w:noWrap/>
            <w:hideMark/>
          </w:tcPr>
          <w:p w14:paraId="05603671" w14:textId="77777777" w:rsidR="00312042" w:rsidRPr="00631C1C" w:rsidRDefault="00312042" w:rsidP="009A58EE">
            <w:pPr>
              <w:pStyle w:val="Normal-pool-Table"/>
              <w:jc w:val="right"/>
              <w:rPr>
                <w:szCs w:val="18"/>
              </w:rPr>
            </w:pPr>
            <w:r w:rsidRPr="00631C1C">
              <w:rPr>
                <w:szCs w:val="18"/>
              </w:rPr>
              <w:t>4 692</w:t>
            </w:r>
          </w:p>
        </w:tc>
      </w:tr>
      <w:tr w:rsidR="00F234CD" w:rsidRPr="00631C1C" w14:paraId="635C0AC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EEF17F" w14:textId="77777777" w:rsidR="00312042" w:rsidRPr="00631C1C" w:rsidRDefault="00312042" w:rsidP="009A58EE">
            <w:pPr>
              <w:pStyle w:val="Normal-pool-Table"/>
              <w:rPr>
                <w:szCs w:val="18"/>
              </w:rPr>
            </w:pPr>
            <w:r w:rsidRPr="00631C1C">
              <w:rPr>
                <w:szCs w:val="18"/>
              </w:rPr>
              <w:t>114</w:t>
            </w:r>
          </w:p>
        </w:tc>
        <w:tc>
          <w:tcPr>
            <w:tcW w:w="2573" w:type="dxa"/>
            <w:tcBorders>
              <w:top w:val="nil"/>
              <w:left w:val="nil"/>
              <w:bottom w:val="single" w:sz="4" w:space="0" w:color="auto"/>
              <w:right w:val="single" w:sz="4" w:space="0" w:color="auto"/>
            </w:tcBorders>
            <w:noWrap/>
            <w:hideMark/>
          </w:tcPr>
          <w:p w14:paraId="3DB393EA" w14:textId="77777777" w:rsidR="00312042" w:rsidRPr="00631C1C" w:rsidRDefault="00312042" w:rsidP="009A58EE">
            <w:pPr>
              <w:pStyle w:val="Normal-pool-Table"/>
              <w:rPr>
                <w:szCs w:val="18"/>
              </w:rPr>
            </w:pPr>
            <w:r w:rsidRPr="00631C1C">
              <w:rPr>
                <w:szCs w:val="18"/>
              </w:rPr>
              <w:t>El Salvador</w:t>
            </w:r>
          </w:p>
        </w:tc>
        <w:tc>
          <w:tcPr>
            <w:tcW w:w="1400" w:type="dxa"/>
            <w:tcBorders>
              <w:top w:val="nil"/>
              <w:left w:val="nil"/>
              <w:bottom w:val="single" w:sz="4" w:space="0" w:color="auto"/>
              <w:right w:val="single" w:sz="4" w:space="0" w:color="auto"/>
            </w:tcBorders>
            <w:noWrap/>
            <w:hideMark/>
          </w:tcPr>
          <w:p w14:paraId="2D3E5EBC" w14:textId="24EC6F0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w:t>
            </w:r>
          </w:p>
        </w:tc>
        <w:tc>
          <w:tcPr>
            <w:tcW w:w="1073" w:type="dxa"/>
            <w:tcBorders>
              <w:top w:val="nil"/>
              <w:left w:val="nil"/>
              <w:bottom w:val="single" w:sz="4" w:space="0" w:color="auto"/>
              <w:right w:val="single" w:sz="4" w:space="0" w:color="auto"/>
            </w:tcBorders>
            <w:noWrap/>
            <w:hideMark/>
          </w:tcPr>
          <w:p w14:paraId="4CC52D42" w14:textId="1D6B9C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0131</w:t>
            </w:r>
          </w:p>
        </w:tc>
        <w:tc>
          <w:tcPr>
            <w:tcW w:w="1293" w:type="dxa"/>
            <w:tcBorders>
              <w:top w:val="nil"/>
              <w:left w:val="nil"/>
              <w:bottom w:val="single" w:sz="4" w:space="0" w:color="auto"/>
              <w:right w:val="single" w:sz="4" w:space="0" w:color="auto"/>
            </w:tcBorders>
            <w:noWrap/>
            <w:hideMark/>
          </w:tcPr>
          <w:p w14:paraId="43662A72" w14:textId="77777777" w:rsidR="00312042" w:rsidRPr="00631C1C" w:rsidRDefault="00312042" w:rsidP="009A58EE">
            <w:pPr>
              <w:pStyle w:val="Normal-pool-Table"/>
              <w:jc w:val="right"/>
              <w:rPr>
                <w:szCs w:val="18"/>
              </w:rPr>
            </w:pPr>
            <w:r w:rsidRPr="00631C1C">
              <w:rPr>
                <w:szCs w:val="18"/>
              </w:rPr>
              <w:t>405</w:t>
            </w:r>
          </w:p>
        </w:tc>
        <w:tc>
          <w:tcPr>
            <w:tcW w:w="1293" w:type="dxa"/>
            <w:tcBorders>
              <w:top w:val="nil"/>
              <w:left w:val="nil"/>
              <w:bottom w:val="single" w:sz="4" w:space="0" w:color="auto"/>
              <w:right w:val="single" w:sz="4" w:space="0" w:color="auto"/>
            </w:tcBorders>
            <w:noWrap/>
            <w:hideMark/>
          </w:tcPr>
          <w:p w14:paraId="41773FB7" w14:textId="77777777" w:rsidR="00312042" w:rsidRPr="00631C1C" w:rsidRDefault="00312042" w:rsidP="009A58EE">
            <w:pPr>
              <w:pStyle w:val="Normal-pool-Table"/>
              <w:jc w:val="right"/>
              <w:rPr>
                <w:szCs w:val="18"/>
              </w:rPr>
            </w:pPr>
            <w:r w:rsidRPr="00631C1C">
              <w:rPr>
                <w:szCs w:val="18"/>
              </w:rPr>
              <w:t>534</w:t>
            </w:r>
          </w:p>
        </w:tc>
        <w:tc>
          <w:tcPr>
            <w:tcW w:w="1313" w:type="dxa"/>
            <w:tcBorders>
              <w:top w:val="nil"/>
              <w:left w:val="nil"/>
              <w:bottom w:val="single" w:sz="4" w:space="0" w:color="auto"/>
              <w:right w:val="single" w:sz="4" w:space="0" w:color="auto"/>
            </w:tcBorders>
            <w:noWrap/>
            <w:hideMark/>
          </w:tcPr>
          <w:p w14:paraId="16D42354" w14:textId="77777777" w:rsidR="00312042" w:rsidRPr="00631C1C" w:rsidRDefault="00312042" w:rsidP="009A58EE">
            <w:pPr>
              <w:pStyle w:val="Normal-pool-Table"/>
              <w:jc w:val="right"/>
              <w:rPr>
                <w:szCs w:val="18"/>
              </w:rPr>
            </w:pPr>
            <w:r w:rsidRPr="00631C1C">
              <w:rPr>
                <w:szCs w:val="18"/>
              </w:rPr>
              <w:t>938</w:t>
            </w:r>
          </w:p>
        </w:tc>
      </w:tr>
      <w:tr w:rsidR="00F234CD" w:rsidRPr="00631C1C" w14:paraId="1D954BA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177101" w14:textId="77777777" w:rsidR="00312042" w:rsidRPr="00631C1C" w:rsidRDefault="00312042" w:rsidP="009A58EE">
            <w:pPr>
              <w:pStyle w:val="Normal-pool-Table"/>
              <w:rPr>
                <w:szCs w:val="18"/>
              </w:rPr>
            </w:pPr>
            <w:r w:rsidRPr="00631C1C">
              <w:rPr>
                <w:szCs w:val="18"/>
              </w:rPr>
              <w:t>115</w:t>
            </w:r>
          </w:p>
        </w:tc>
        <w:tc>
          <w:tcPr>
            <w:tcW w:w="2573" w:type="dxa"/>
            <w:tcBorders>
              <w:top w:val="nil"/>
              <w:left w:val="nil"/>
              <w:bottom w:val="single" w:sz="4" w:space="0" w:color="auto"/>
              <w:right w:val="single" w:sz="4" w:space="0" w:color="auto"/>
            </w:tcBorders>
            <w:noWrap/>
            <w:hideMark/>
          </w:tcPr>
          <w:p w14:paraId="675709FA" w14:textId="77777777" w:rsidR="00312042" w:rsidRPr="00631C1C" w:rsidRDefault="00312042" w:rsidP="009A58EE">
            <w:pPr>
              <w:pStyle w:val="Normal-pool-Table"/>
              <w:rPr>
                <w:szCs w:val="18"/>
              </w:rPr>
            </w:pPr>
            <w:r w:rsidRPr="00631C1C">
              <w:rPr>
                <w:szCs w:val="18"/>
              </w:rPr>
              <w:t>Guyana</w:t>
            </w:r>
          </w:p>
        </w:tc>
        <w:tc>
          <w:tcPr>
            <w:tcW w:w="1400" w:type="dxa"/>
            <w:tcBorders>
              <w:top w:val="nil"/>
              <w:left w:val="nil"/>
              <w:bottom w:val="single" w:sz="4" w:space="0" w:color="auto"/>
              <w:right w:val="single" w:sz="4" w:space="0" w:color="auto"/>
            </w:tcBorders>
            <w:noWrap/>
            <w:hideMark/>
          </w:tcPr>
          <w:p w14:paraId="1126BB20" w14:textId="446A849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15E58568" w14:textId="456C755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213BA4E6"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0831D54A"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AD0212A" w14:textId="77777777" w:rsidR="00312042" w:rsidRPr="00631C1C" w:rsidRDefault="00312042" w:rsidP="009A58EE">
            <w:pPr>
              <w:pStyle w:val="Normal-pool-Table"/>
              <w:jc w:val="right"/>
              <w:rPr>
                <w:szCs w:val="18"/>
              </w:rPr>
            </w:pPr>
            <w:r w:rsidRPr="00631C1C">
              <w:rPr>
                <w:szCs w:val="18"/>
              </w:rPr>
              <w:t>794</w:t>
            </w:r>
          </w:p>
        </w:tc>
      </w:tr>
      <w:tr w:rsidR="00F234CD" w:rsidRPr="00631C1C" w14:paraId="26D0D9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3854322" w14:textId="77777777" w:rsidR="00312042" w:rsidRPr="00631C1C" w:rsidRDefault="00312042" w:rsidP="009A58EE">
            <w:pPr>
              <w:pStyle w:val="Normal-pool-Table"/>
              <w:rPr>
                <w:szCs w:val="18"/>
              </w:rPr>
            </w:pPr>
            <w:r w:rsidRPr="00631C1C">
              <w:rPr>
                <w:szCs w:val="18"/>
              </w:rPr>
              <w:t>116</w:t>
            </w:r>
          </w:p>
        </w:tc>
        <w:tc>
          <w:tcPr>
            <w:tcW w:w="2573" w:type="dxa"/>
            <w:tcBorders>
              <w:top w:val="nil"/>
              <w:left w:val="nil"/>
              <w:bottom w:val="single" w:sz="4" w:space="0" w:color="auto"/>
              <w:right w:val="single" w:sz="4" w:space="0" w:color="auto"/>
            </w:tcBorders>
            <w:noWrap/>
            <w:hideMark/>
          </w:tcPr>
          <w:p w14:paraId="2A6D1890" w14:textId="77777777" w:rsidR="00312042" w:rsidRPr="00631C1C" w:rsidRDefault="00312042" w:rsidP="009A58EE">
            <w:pPr>
              <w:pStyle w:val="Normal-pool-Table"/>
              <w:rPr>
                <w:szCs w:val="18"/>
              </w:rPr>
            </w:pPr>
            <w:r w:rsidRPr="00631C1C">
              <w:rPr>
                <w:szCs w:val="18"/>
              </w:rPr>
              <w:t>Honduras</w:t>
            </w:r>
          </w:p>
        </w:tc>
        <w:tc>
          <w:tcPr>
            <w:tcW w:w="1400" w:type="dxa"/>
            <w:tcBorders>
              <w:top w:val="nil"/>
              <w:left w:val="nil"/>
              <w:bottom w:val="single" w:sz="4" w:space="0" w:color="auto"/>
              <w:right w:val="single" w:sz="4" w:space="0" w:color="auto"/>
            </w:tcBorders>
            <w:noWrap/>
            <w:hideMark/>
          </w:tcPr>
          <w:p w14:paraId="36542268" w14:textId="6CDE22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54B8BE4E" w14:textId="20E74C8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4E699DF6"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44DDC839"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0B571517" w14:textId="77777777" w:rsidR="00312042" w:rsidRPr="00631C1C" w:rsidRDefault="00312042" w:rsidP="009A58EE">
            <w:pPr>
              <w:pStyle w:val="Normal-pool-Table"/>
              <w:jc w:val="right"/>
              <w:rPr>
                <w:szCs w:val="18"/>
              </w:rPr>
            </w:pPr>
            <w:r w:rsidRPr="00631C1C">
              <w:rPr>
                <w:szCs w:val="18"/>
              </w:rPr>
              <w:t>722</w:t>
            </w:r>
          </w:p>
        </w:tc>
      </w:tr>
      <w:tr w:rsidR="00F234CD" w:rsidRPr="00631C1C" w14:paraId="04987A9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EA55" w14:textId="77777777" w:rsidR="00312042" w:rsidRPr="00631C1C" w:rsidRDefault="00312042" w:rsidP="009A58EE">
            <w:pPr>
              <w:pStyle w:val="Normal-pool-Table"/>
              <w:rPr>
                <w:szCs w:val="18"/>
              </w:rPr>
            </w:pPr>
            <w:r w:rsidRPr="00631C1C">
              <w:rPr>
                <w:szCs w:val="18"/>
              </w:rPr>
              <w:t>117</w:t>
            </w:r>
          </w:p>
        </w:tc>
        <w:tc>
          <w:tcPr>
            <w:tcW w:w="2573" w:type="dxa"/>
            <w:tcBorders>
              <w:top w:val="nil"/>
              <w:left w:val="nil"/>
              <w:bottom w:val="single" w:sz="4" w:space="0" w:color="auto"/>
              <w:right w:val="single" w:sz="4" w:space="0" w:color="auto"/>
            </w:tcBorders>
            <w:noWrap/>
            <w:hideMark/>
          </w:tcPr>
          <w:p w14:paraId="700D9173" w14:textId="77777777" w:rsidR="00312042" w:rsidRPr="00631C1C" w:rsidRDefault="00312042" w:rsidP="009A58EE">
            <w:pPr>
              <w:pStyle w:val="Normal-pool-Table"/>
              <w:rPr>
                <w:szCs w:val="18"/>
              </w:rPr>
            </w:pPr>
            <w:r w:rsidRPr="00631C1C">
              <w:rPr>
                <w:szCs w:val="18"/>
              </w:rPr>
              <w:t>Jamaica</w:t>
            </w:r>
          </w:p>
        </w:tc>
        <w:tc>
          <w:tcPr>
            <w:tcW w:w="1400" w:type="dxa"/>
            <w:tcBorders>
              <w:top w:val="nil"/>
              <w:left w:val="nil"/>
              <w:bottom w:val="single" w:sz="4" w:space="0" w:color="auto"/>
              <w:right w:val="single" w:sz="4" w:space="0" w:color="auto"/>
            </w:tcBorders>
            <w:noWrap/>
            <w:hideMark/>
          </w:tcPr>
          <w:p w14:paraId="5391C90F" w14:textId="646ED25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1ADB2E07" w14:textId="0A885FE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5817365"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234D40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FB66DA1" w14:textId="77777777" w:rsidR="00312042" w:rsidRPr="00631C1C" w:rsidRDefault="00312042" w:rsidP="009A58EE">
            <w:pPr>
              <w:pStyle w:val="Normal-pool-Table"/>
              <w:jc w:val="right"/>
              <w:rPr>
                <w:szCs w:val="18"/>
              </w:rPr>
            </w:pPr>
            <w:r w:rsidRPr="00631C1C">
              <w:rPr>
                <w:szCs w:val="18"/>
              </w:rPr>
              <w:t>715</w:t>
            </w:r>
          </w:p>
        </w:tc>
      </w:tr>
      <w:tr w:rsidR="00F234CD" w:rsidRPr="00631C1C" w14:paraId="1803C1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A439DD" w14:textId="77777777" w:rsidR="00312042" w:rsidRPr="00631C1C" w:rsidRDefault="00312042" w:rsidP="009A58EE">
            <w:pPr>
              <w:pStyle w:val="Normal-pool-Table"/>
              <w:rPr>
                <w:szCs w:val="18"/>
              </w:rPr>
            </w:pPr>
            <w:r w:rsidRPr="00631C1C">
              <w:rPr>
                <w:szCs w:val="18"/>
              </w:rPr>
              <w:t>118</w:t>
            </w:r>
          </w:p>
        </w:tc>
        <w:tc>
          <w:tcPr>
            <w:tcW w:w="2573" w:type="dxa"/>
            <w:tcBorders>
              <w:top w:val="nil"/>
              <w:left w:val="nil"/>
              <w:bottom w:val="single" w:sz="4" w:space="0" w:color="auto"/>
              <w:right w:val="single" w:sz="4" w:space="0" w:color="auto"/>
            </w:tcBorders>
            <w:noWrap/>
            <w:hideMark/>
          </w:tcPr>
          <w:p w14:paraId="7F4CBDE8" w14:textId="77777777" w:rsidR="00312042" w:rsidRPr="00631C1C" w:rsidRDefault="00312042" w:rsidP="009A58EE">
            <w:pPr>
              <w:pStyle w:val="Normal-pool-Table"/>
              <w:rPr>
                <w:szCs w:val="18"/>
              </w:rPr>
            </w:pPr>
            <w:r w:rsidRPr="00631C1C">
              <w:rPr>
                <w:szCs w:val="18"/>
              </w:rPr>
              <w:t>Mexico</w:t>
            </w:r>
          </w:p>
        </w:tc>
        <w:tc>
          <w:tcPr>
            <w:tcW w:w="1400" w:type="dxa"/>
            <w:tcBorders>
              <w:top w:val="nil"/>
              <w:left w:val="nil"/>
              <w:bottom w:val="single" w:sz="4" w:space="0" w:color="auto"/>
              <w:right w:val="single" w:sz="4" w:space="0" w:color="auto"/>
            </w:tcBorders>
            <w:noWrap/>
            <w:hideMark/>
          </w:tcPr>
          <w:p w14:paraId="3E1E5954" w14:textId="2CD2C90D"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137</w:t>
            </w:r>
          </w:p>
        </w:tc>
        <w:tc>
          <w:tcPr>
            <w:tcW w:w="1073" w:type="dxa"/>
            <w:tcBorders>
              <w:top w:val="nil"/>
              <w:left w:val="nil"/>
              <w:bottom w:val="single" w:sz="4" w:space="0" w:color="auto"/>
              <w:right w:val="single" w:sz="4" w:space="0" w:color="auto"/>
            </w:tcBorders>
            <w:noWrap/>
            <w:hideMark/>
          </w:tcPr>
          <w:p w14:paraId="2D55C2A9" w14:textId="2D77C5CD"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1476</w:t>
            </w:r>
          </w:p>
        </w:tc>
        <w:tc>
          <w:tcPr>
            <w:tcW w:w="1293" w:type="dxa"/>
            <w:tcBorders>
              <w:top w:val="nil"/>
              <w:left w:val="nil"/>
              <w:bottom w:val="single" w:sz="4" w:space="0" w:color="auto"/>
              <w:right w:val="single" w:sz="4" w:space="0" w:color="auto"/>
            </w:tcBorders>
            <w:noWrap/>
            <w:hideMark/>
          </w:tcPr>
          <w:p w14:paraId="4E198A63" w14:textId="77777777" w:rsidR="00312042" w:rsidRPr="00631C1C" w:rsidRDefault="00312042" w:rsidP="009A58EE">
            <w:pPr>
              <w:pStyle w:val="Normal-pool-Table"/>
              <w:jc w:val="right"/>
              <w:rPr>
                <w:szCs w:val="18"/>
              </w:rPr>
            </w:pPr>
            <w:r w:rsidRPr="00631C1C">
              <w:rPr>
                <w:szCs w:val="18"/>
              </w:rPr>
              <w:t>35 384</w:t>
            </w:r>
          </w:p>
        </w:tc>
        <w:tc>
          <w:tcPr>
            <w:tcW w:w="1293" w:type="dxa"/>
            <w:tcBorders>
              <w:top w:val="nil"/>
              <w:left w:val="nil"/>
              <w:bottom w:val="single" w:sz="4" w:space="0" w:color="auto"/>
              <w:right w:val="single" w:sz="4" w:space="0" w:color="auto"/>
            </w:tcBorders>
            <w:noWrap/>
            <w:hideMark/>
          </w:tcPr>
          <w:p w14:paraId="44DECC42" w14:textId="77777777" w:rsidR="00312042" w:rsidRPr="00631C1C" w:rsidRDefault="00312042" w:rsidP="009A58EE">
            <w:pPr>
              <w:pStyle w:val="Normal-pool-Table"/>
              <w:jc w:val="right"/>
              <w:rPr>
                <w:szCs w:val="18"/>
              </w:rPr>
            </w:pPr>
            <w:r w:rsidRPr="00631C1C">
              <w:rPr>
                <w:szCs w:val="18"/>
              </w:rPr>
              <w:t>46 698</w:t>
            </w:r>
          </w:p>
        </w:tc>
        <w:tc>
          <w:tcPr>
            <w:tcW w:w="1313" w:type="dxa"/>
            <w:tcBorders>
              <w:top w:val="nil"/>
              <w:left w:val="nil"/>
              <w:bottom w:val="single" w:sz="4" w:space="0" w:color="auto"/>
              <w:right w:val="single" w:sz="4" w:space="0" w:color="auto"/>
            </w:tcBorders>
            <w:noWrap/>
            <w:hideMark/>
          </w:tcPr>
          <w:p w14:paraId="324EE714" w14:textId="77777777" w:rsidR="00312042" w:rsidRPr="00631C1C" w:rsidRDefault="00312042" w:rsidP="009A58EE">
            <w:pPr>
              <w:pStyle w:val="Normal-pool-Table"/>
              <w:jc w:val="right"/>
              <w:rPr>
                <w:szCs w:val="18"/>
              </w:rPr>
            </w:pPr>
            <w:r w:rsidRPr="00631C1C">
              <w:rPr>
                <w:szCs w:val="18"/>
              </w:rPr>
              <w:t>82 082</w:t>
            </w:r>
          </w:p>
        </w:tc>
      </w:tr>
      <w:tr w:rsidR="00F234CD" w:rsidRPr="00631C1C" w14:paraId="1CA90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B159E" w14:textId="77777777" w:rsidR="00312042" w:rsidRPr="00631C1C" w:rsidRDefault="00312042" w:rsidP="009A58EE">
            <w:pPr>
              <w:pStyle w:val="Normal-pool-Table"/>
              <w:rPr>
                <w:szCs w:val="18"/>
              </w:rPr>
            </w:pPr>
            <w:r w:rsidRPr="00631C1C">
              <w:rPr>
                <w:szCs w:val="18"/>
              </w:rPr>
              <w:t>119</w:t>
            </w:r>
          </w:p>
        </w:tc>
        <w:tc>
          <w:tcPr>
            <w:tcW w:w="2573" w:type="dxa"/>
            <w:tcBorders>
              <w:top w:val="nil"/>
              <w:left w:val="nil"/>
              <w:bottom w:val="single" w:sz="4" w:space="0" w:color="auto"/>
              <w:right w:val="single" w:sz="4" w:space="0" w:color="auto"/>
            </w:tcBorders>
            <w:noWrap/>
            <w:hideMark/>
          </w:tcPr>
          <w:p w14:paraId="06E93893" w14:textId="77777777" w:rsidR="00312042" w:rsidRPr="00631C1C" w:rsidRDefault="00312042" w:rsidP="009A58EE">
            <w:pPr>
              <w:pStyle w:val="Normal-pool-Table"/>
              <w:rPr>
                <w:szCs w:val="18"/>
              </w:rPr>
            </w:pPr>
            <w:r w:rsidRPr="00631C1C">
              <w:rPr>
                <w:szCs w:val="18"/>
              </w:rPr>
              <w:t>Nicaragua</w:t>
            </w:r>
          </w:p>
        </w:tc>
        <w:tc>
          <w:tcPr>
            <w:tcW w:w="1400" w:type="dxa"/>
            <w:tcBorders>
              <w:top w:val="nil"/>
              <w:left w:val="nil"/>
              <w:bottom w:val="single" w:sz="4" w:space="0" w:color="auto"/>
              <w:right w:val="single" w:sz="4" w:space="0" w:color="auto"/>
            </w:tcBorders>
            <w:noWrap/>
            <w:hideMark/>
          </w:tcPr>
          <w:p w14:paraId="3C2C21A4" w14:textId="66EC074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041359F0" w14:textId="07E0761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6DF8F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6F619F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A4DFB27" w14:textId="77777777" w:rsidR="00312042" w:rsidRPr="00631C1C" w:rsidRDefault="00312042" w:rsidP="009A58EE">
            <w:pPr>
              <w:pStyle w:val="Normal-pool-Table"/>
              <w:jc w:val="right"/>
              <w:rPr>
                <w:szCs w:val="18"/>
              </w:rPr>
            </w:pPr>
            <w:r w:rsidRPr="00631C1C">
              <w:rPr>
                <w:szCs w:val="18"/>
              </w:rPr>
              <w:t>715</w:t>
            </w:r>
          </w:p>
        </w:tc>
      </w:tr>
      <w:tr w:rsidR="00F234CD" w:rsidRPr="00631C1C" w14:paraId="1D680C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9AF88A" w14:textId="77777777" w:rsidR="00312042" w:rsidRPr="00631C1C" w:rsidRDefault="00312042" w:rsidP="009A58EE">
            <w:pPr>
              <w:pStyle w:val="Normal-pool-Table"/>
              <w:rPr>
                <w:szCs w:val="18"/>
              </w:rPr>
            </w:pPr>
            <w:r w:rsidRPr="00631C1C">
              <w:rPr>
                <w:szCs w:val="18"/>
              </w:rPr>
              <w:t>120</w:t>
            </w:r>
          </w:p>
        </w:tc>
        <w:tc>
          <w:tcPr>
            <w:tcW w:w="2573" w:type="dxa"/>
            <w:tcBorders>
              <w:top w:val="nil"/>
              <w:left w:val="nil"/>
              <w:bottom w:val="single" w:sz="4" w:space="0" w:color="auto"/>
              <w:right w:val="single" w:sz="4" w:space="0" w:color="auto"/>
            </w:tcBorders>
            <w:noWrap/>
            <w:hideMark/>
          </w:tcPr>
          <w:p w14:paraId="233D8AEB" w14:textId="77777777" w:rsidR="00312042" w:rsidRPr="00631C1C" w:rsidRDefault="00312042" w:rsidP="009A58EE">
            <w:pPr>
              <w:pStyle w:val="Normal-pool-Table"/>
              <w:rPr>
                <w:szCs w:val="18"/>
              </w:rPr>
            </w:pPr>
            <w:r w:rsidRPr="00631C1C">
              <w:rPr>
                <w:szCs w:val="18"/>
              </w:rPr>
              <w:t>Panama</w:t>
            </w:r>
          </w:p>
        </w:tc>
        <w:tc>
          <w:tcPr>
            <w:tcW w:w="1400" w:type="dxa"/>
            <w:tcBorders>
              <w:top w:val="nil"/>
              <w:left w:val="nil"/>
              <w:bottom w:val="single" w:sz="4" w:space="0" w:color="auto"/>
              <w:right w:val="single" w:sz="4" w:space="0" w:color="auto"/>
            </w:tcBorders>
            <w:noWrap/>
            <w:hideMark/>
          </w:tcPr>
          <w:p w14:paraId="0B072979" w14:textId="491FA39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086</w:t>
            </w:r>
          </w:p>
        </w:tc>
        <w:tc>
          <w:tcPr>
            <w:tcW w:w="1073" w:type="dxa"/>
            <w:tcBorders>
              <w:top w:val="nil"/>
              <w:left w:val="nil"/>
              <w:bottom w:val="single" w:sz="4" w:space="0" w:color="auto"/>
              <w:right w:val="single" w:sz="4" w:space="0" w:color="auto"/>
            </w:tcBorders>
            <w:noWrap/>
            <w:hideMark/>
          </w:tcPr>
          <w:p w14:paraId="2CCEC11A" w14:textId="5DD340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0868</w:t>
            </w:r>
          </w:p>
        </w:tc>
        <w:tc>
          <w:tcPr>
            <w:tcW w:w="1293" w:type="dxa"/>
            <w:tcBorders>
              <w:top w:val="nil"/>
              <w:left w:val="nil"/>
              <w:bottom w:val="single" w:sz="4" w:space="0" w:color="auto"/>
              <w:right w:val="single" w:sz="4" w:space="0" w:color="auto"/>
            </w:tcBorders>
            <w:noWrap/>
            <w:hideMark/>
          </w:tcPr>
          <w:p w14:paraId="12D2DA7D" w14:textId="77777777" w:rsidR="00312042" w:rsidRPr="00631C1C" w:rsidRDefault="00312042" w:rsidP="009A58EE">
            <w:pPr>
              <w:pStyle w:val="Normal-pool-Table"/>
              <w:jc w:val="right"/>
              <w:rPr>
                <w:szCs w:val="18"/>
              </w:rPr>
            </w:pPr>
            <w:r w:rsidRPr="00631C1C">
              <w:rPr>
                <w:szCs w:val="18"/>
              </w:rPr>
              <w:t>2 676</w:t>
            </w:r>
          </w:p>
        </w:tc>
        <w:tc>
          <w:tcPr>
            <w:tcW w:w="1293" w:type="dxa"/>
            <w:tcBorders>
              <w:top w:val="nil"/>
              <w:left w:val="nil"/>
              <w:bottom w:val="single" w:sz="4" w:space="0" w:color="auto"/>
              <w:right w:val="single" w:sz="4" w:space="0" w:color="auto"/>
            </w:tcBorders>
            <w:noWrap/>
            <w:hideMark/>
          </w:tcPr>
          <w:p w14:paraId="3E14B14C" w14:textId="77777777" w:rsidR="00312042" w:rsidRPr="00631C1C" w:rsidRDefault="00312042" w:rsidP="009A58EE">
            <w:pPr>
              <w:pStyle w:val="Normal-pool-Table"/>
              <w:jc w:val="right"/>
              <w:rPr>
                <w:szCs w:val="18"/>
              </w:rPr>
            </w:pPr>
            <w:r w:rsidRPr="00631C1C">
              <w:rPr>
                <w:szCs w:val="18"/>
              </w:rPr>
              <w:t>3 532</w:t>
            </w:r>
          </w:p>
        </w:tc>
        <w:tc>
          <w:tcPr>
            <w:tcW w:w="1313" w:type="dxa"/>
            <w:tcBorders>
              <w:top w:val="nil"/>
              <w:left w:val="nil"/>
              <w:bottom w:val="single" w:sz="4" w:space="0" w:color="auto"/>
              <w:right w:val="single" w:sz="4" w:space="0" w:color="auto"/>
            </w:tcBorders>
            <w:noWrap/>
            <w:hideMark/>
          </w:tcPr>
          <w:p w14:paraId="3AE279D1" w14:textId="77777777" w:rsidR="00312042" w:rsidRPr="00631C1C" w:rsidRDefault="00312042" w:rsidP="009A58EE">
            <w:pPr>
              <w:pStyle w:val="Normal-pool-Table"/>
              <w:jc w:val="right"/>
              <w:rPr>
                <w:szCs w:val="18"/>
              </w:rPr>
            </w:pPr>
            <w:r w:rsidRPr="00631C1C">
              <w:rPr>
                <w:szCs w:val="18"/>
              </w:rPr>
              <w:t>6 209</w:t>
            </w:r>
          </w:p>
        </w:tc>
      </w:tr>
      <w:tr w:rsidR="00F234CD" w:rsidRPr="00631C1C" w14:paraId="3C85E54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75471" w14:textId="77777777" w:rsidR="00312042" w:rsidRPr="00631C1C" w:rsidRDefault="00312042" w:rsidP="009A58EE">
            <w:pPr>
              <w:pStyle w:val="Normal-pool-Table"/>
              <w:rPr>
                <w:szCs w:val="18"/>
              </w:rPr>
            </w:pPr>
            <w:r w:rsidRPr="00631C1C">
              <w:rPr>
                <w:szCs w:val="18"/>
              </w:rPr>
              <w:t>121</w:t>
            </w:r>
          </w:p>
        </w:tc>
        <w:tc>
          <w:tcPr>
            <w:tcW w:w="2573" w:type="dxa"/>
            <w:tcBorders>
              <w:top w:val="nil"/>
              <w:left w:val="nil"/>
              <w:bottom w:val="single" w:sz="4" w:space="0" w:color="auto"/>
              <w:right w:val="single" w:sz="4" w:space="0" w:color="auto"/>
            </w:tcBorders>
            <w:noWrap/>
            <w:hideMark/>
          </w:tcPr>
          <w:p w14:paraId="1D5F3AD6" w14:textId="77777777" w:rsidR="00312042" w:rsidRPr="00631C1C" w:rsidRDefault="00312042" w:rsidP="009A58EE">
            <w:pPr>
              <w:pStyle w:val="Normal-pool-Table"/>
              <w:rPr>
                <w:szCs w:val="18"/>
              </w:rPr>
            </w:pPr>
            <w:r w:rsidRPr="00631C1C">
              <w:rPr>
                <w:szCs w:val="18"/>
              </w:rPr>
              <w:t>Paraguay</w:t>
            </w:r>
          </w:p>
        </w:tc>
        <w:tc>
          <w:tcPr>
            <w:tcW w:w="1400" w:type="dxa"/>
            <w:tcBorders>
              <w:top w:val="nil"/>
              <w:left w:val="nil"/>
              <w:bottom w:val="single" w:sz="4" w:space="0" w:color="auto"/>
              <w:right w:val="single" w:sz="4" w:space="0" w:color="auto"/>
            </w:tcBorders>
            <w:noWrap/>
            <w:hideMark/>
          </w:tcPr>
          <w:p w14:paraId="6960D7AA" w14:textId="0C57AF0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023</w:t>
            </w:r>
          </w:p>
        </w:tc>
        <w:tc>
          <w:tcPr>
            <w:tcW w:w="1073" w:type="dxa"/>
            <w:tcBorders>
              <w:top w:val="nil"/>
              <w:left w:val="nil"/>
              <w:bottom w:val="single" w:sz="4" w:space="0" w:color="auto"/>
              <w:right w:val="single" w:sz="4" w:space="0" w:color="auto"/>
            </w:tcBorders>
            <w:noWrap/>
            <w:hideMark/>
          </w:tcPr>
          <w:p w14:paraId="433E903D" w14:textId="1AE1A71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0232</w:t>
            </w:r>
          </w:p>
        </w:tc>
        <w:tc>
          <w:tcPr>
            <w:tcW w:w="1293" w:type="dxa"/>
            <w:tcBorders>
              <w:top w:val="nil"/>
              <w:left w:val="nil"/>
              <w:bottom w:val="single" w:sz="4" w:space="0" w:color="auto"/>
              <w:right w:val="single" w:sz="4" w:space="0" w:color="auto"/>
            </w:tcBorders>
            <w:noWrap/>
            <w:hideMark/>
          </w:tcPr>
          <w:p w14:paraId="52305B30" w14:textId="77777777" w:rsidR="00312042" w:rsidRPr="00631C1C" w:rsidRDefault="00312042" w:rsidP="009A58EE">
            <w:pPr>
              <w:pStyle w:val="Normal-pool-Table"/>
              <w:jc w:val="right"/>
              <w:rPr>
                <w:szCs w:val="18"/>
              </w:rPr>
            </w:pPr>
            <w:r w:rsidRPr="00631C1C">
              <w:rPr>
                <w:szCs w:val="18"/>
              </w:rPr>
              <w:t>716</w:t>
            </w:r>
          </w:p>
        </w:tc>
        <w:tc>
          <w:tcPr>
            <w:tcW w:w="1293" w:type="dxa"/>
            <w:tcBorders>
              <w:top w:val="nil"/>
              <w:left w:val="nil"/>
              <w:bottom w:val="single" w:sz="4" w:space="0" w:color="auto"/>
              <w:right w:val="single" w:sz="4" w:space="0" w:color="auto"/>
            </w:tcBorders>
            <w:noWrap/>
            <w:hideMark/>
          </w:tcPr>
          <w:p w14:paraId="242710EA" w14:textId="77777777" w:rsidR="00312042" w:rsidRPr="00631C1C" w:rsidRDefault="00312042" w:rsidP="009A58EE">
            <w:pPr>
              <w:pStyle w:val="Normal-pool-Table"/>
              <w:jc w:val="right"/>
              <w:rPr>
                <w:szCs w:val="18"/>
              </w:rPr>
            </w:pPr>
            <w:r w:rsidRPr="00631C1C">
              <w:rPr>
                <w:szCs w:val="18"/>
              </w:rPr>
              <w:t>945</w:t>
            </w:r>
          </w:p>
        </w:tc>
        <w:tc>
          <w:tcPr>
            <w:tcW w:w="1313" w:type="dxa"/>
            <w:tcBorders>
              <w:top w:val="nil"/>
              <w:left w:val="nil"/>
              <w:bottom w:val="single" w:sz="4" w:space="0" w:color="auto"/>
              <w:right w:val="single" w:sz="4" w:space="0" w:color="auto"/>
            </w:tcBorders>
            <w:noWrap/>
            <w:hideMark/>
          </w:tcPr>
          <w:p w14:paraId="09C097A2" w14:textId="77777777" w:rsidR="00312042" w:rsidRPr="00631C1C" w:rsidRDefault="00312042" w:rsidP="009A58EE">
            <w:pPr>
              <w:pStyle w:val="Normal-pool-Table"/>
              <w:jc w:val="right"/>
              <w:rPr>
                <w:szCs w:val="18"/>
              </w:rPr>
            </w:pPr>
            <w:r w:rsidRPr="00631C1C">
              <w:rPr>
                <w:szCs w:val="18"/>
              </w:rPr>
              <w:t>1 660</w:t>
            </w:r>
          </w:p>
        </w:tc>
      </w:tr>
      <w:tr w:rsidR="00F234CD" w:rsidRPr="00631C1C" w14:paraId="168087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BA0DA3" w14:textId="77777777" w:rsidR="00312042" w:rsidRPr="00631C1C" w:rsidRDefault="00312042" w:rsidP="009A58EE">
            <w:pPr>
              <w:pStyle w:val="Normal-pool-Table"/>
              <w:rPr>
                <w:szCs w:val="18"/>
              </w:rPr>
            </w:pPr>
            <w:r w:rsidRPr="00631C1C">
              <w:rPr>
                <w:szCs w:val="18"/>
              </w:rPr>
              <w:lastRenderedPageBreak/>
              <w:t>122</w:t>
            </w:r>
          </w:p>
        </w:tc>
        <w:tc>
          <w:tcPr>
            <w:tcW w:w="2573" w:type="dxa"/>
            <w:tcBorders>
              <w:top w:val="nil"/>
              <w:left w:val="nil"/>
              <w:bottom w:val="single" w:sz="4" w:space="0" w:color="auto"/>
              <w:right w:val="single" w:sz="4" w:space="0" w:color="auto"/>
            </w:tcBorders>
            <w:noWrap/>
            <w:hideMark/>
          </w:tcPr>
          <w:p w14:paraId="37AA2A8A" w14:textId="77777777" w:rsidR="00312042" w:rsidRPr="00631C1C" w:rsidRDefault="00312042" w:rsidP="009A58EE">
            <w:pPr>
              <w:pStyle w:val="Normal-pool-Table"/>
              <w:rPr>
                <w:szCs w:val="18"/>
              </w:rPr>
            </w:pPr>
            <w:r w:rsidRPr="00631C1C">
              <w:rPr>
                <w:szCs w:val="18"/>
              </w:rPr>
              <w:t>Peru</w:t>
            </w:r>
          </w:p>
        </w:tc>
        <w:tc>
          <w:tcPr>
            <w:tcW w:w="1400" w:type="dxa"/>
            <w:tcBorders>
              <w:top w:val="nil"/>
              <w:left w:val="nil"/>
              <w:bottom w:val="single" w:sz="4" w:space="0" w:color="auto"/>
              <w:right w:val="single" w:sz="4" w:space="0" w:color="auto"/>
            </w:tcBorders>
            <w:noWrap/>
            <w:hideMark/>
          </w:tcPr>
          <w:p w14:paraId="162EC195" w14:textId="5DD2C14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145</w:t>
            </w:r>
          </w:p>
        </w:tc>
        <w:tc>
          <w:tcPr>
            <w:tcW w:w="1073" w:type="dxa"/>
            <w:tcBorders>
              <w:top w:val="nil"/>
              <w:left w:val="nil"/>
              <w:bottom w:val="single" w:sz="4" w:space="0" w:color="auto"/>
              <w:right w:val="single" w:sz="4" w:space="0" w:color="auto"/>
            </w:tcBorders>
            <w:noWrap/>
            <w:hideMark/>
          </w:tcPr>
          <w:p w14:paraId="1AC5359E" w14:textId="794E21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1463</w:t>
            </w:r>
          </w:p>
        </w:tc>
        <w:tc>
          <w:tcPr>
            <w:tcW w:w="1293" w:type="dxa"/>
            <w:tcBorders>
              <w:top w:val="nil"/>
              <w:left w:val="nil"/>
              <w:bottom w:val="single" w:sz="4" w:space="0" w:color="auto"/>
              <w:right w:val="single" w:sz="4" w:space="0" w:color="auto"/>
            </w:tcBorders>
            <w:noWrap/>
            <w:hideMark/>
          </w:tcPr>
          <w:p w14:paraId="1AA6A2A0" w14:textId="77777777" w:rsidR="00312042" w:rsidRPr="00631C1C" w:rsidRDefault="00312042" w:rsidP="009A58EE">
            <w:pPr>
              <w:pStyle w:val="Normal-pool-Table"/>
              <w:jc w:val="right"/>
              <w:rPr>
                <w:szCs w:val="18"/>
              </w:rPr>
            </w:pPr>
            <w:r w:rsidRPr="00631C1C">
              <w:rPr>
                <w:szCs w:val="18"/>
              </w:rPr>
              <w:t>4 512</w:t>
            </w:r>
          </w:p>
        </w:tc>
        <w:tc>
          <w:tcPr>
            <w:tcW w:w="1293" w:type="dxa"/>
            <w:tcBorders>
              <w:top w:val="nil"/>
              <w:left w:val="nil"/>
              <w:bottom w:val="single" w:sz="4" w:space="0" w:color="auto"/>
              <w:right w:val="single" w:sz="4" w:space="0" w:color="auto"/>
            </w:tcBorders>
            <w:noWrap/>
            <w:hideMark/>
          </w:tcPr>
          <w:p w14:paraId="05B99EC2" w14:textId="77777777" w:rsidR="00312042" w:rsidRPr="00631C1C" w:rsidRDefault="00312042" w:rsidP="009A58EE">
            <w:pPr>
              <w:pStyle w:val="Normal-pool-Table"/>
              <w:jc w:val="right"/>
              <w:rPr>
                <w:szCs w:val="18"/>
              </w:rPr>
            </w:pPr>
            <w:r w:rsidRPr="00631C1C">
              <w:rPr>
                <w:szCs w:val="18"/>
              </w:rPr>
              <w:t>5 955</w:t>
            </w:r>
          </w:p>
        </w:tc>
        <w:tc>
          <w:tcPr>
            <w:tcW w:w="1313" w:type="dxa"/>
            <w:tcBorders>
              <w:top w:val="nil"/>
              <w:left w:val="nil"/>
              <w:bottom w:val="single" w:sz="4" w:space="0" w:color="auto"/>
              <w:right w:val="single" w:sz="4" w:space="0" w:color="auto"/>
            </w:tcBorders>
            <w:noWrap/>
            <w:hideMark/>
          </w:tcPr>
          <w:p w14:paraId="3D0C28A8" w14:textId="77777777" w:rsidR="00312042" w:rsidRPr="00631C1C" w:rsidRDefault="00312042" w:rsidP="009A58EE">
            <w:pPr>
              <w:pStyle w:val="Normal-pool-Table"/>
              <w:jc w:val="right"/>
              <w:rPr>
                <w:szCs w:val="18"/>
              </w:rPr>
            </w:pPr>
            <w:r w:rsidRPr="00631C1C">
              <w:rPr>
                <w:szCs w:val="18"/>
              </w:rPr>
              <w:t>10 468</w:t>
            </w:r>
          </w:p>
        </w:tc>
      </w:tr>
      <w:tr w:rsidR="00F234CD" w:rsidRPr="00631C1C" w14:paraId="3BDD85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C80043" w14:textId="77777777" w:rsidR="00312042" w:rsidRPr="00631C1C" w:rsidRDefault="00312042" w:rsidP="009A58EE">
            <w:pPr>
              <w:pStyle w:val="Normal-pool-Table"/>
              <w:rPr>
                <w:szCs w:val="18"/>
              </w:rPr>
            </w:pPr>
            <w:r w:rsidRPr="00631C1C">
              <w:rPr>
                <w:szCs w:val="18"/>
              </w:rPr>
              <w:t>123</w:t>
            </w:r>
          </w:p>
        </w:tc>
        <w:tc>
          <w:tcPr>
            <w:tcW w:w="2573" w:type="dxa"/>
            <w:tcBorders>
              <w:top w:val="nil"/>
              <w:left w:val="nil"/>
              <w:bottom w:val="single" w:sz="4" w:space="0" w:color="auto"/>
              <w:right w:val="single" w:sz="4" w:space="0" w:color="auto"/>
            </w:tcBorders>
            <w:noWrap/>
            <w:hideMark/>
          </w:tcPr>
          <w:p w14:paraId="22BEEE72" w14:textId="77777777" w:rsidR="00312042" w:rsidRPr="00631C1C" w:rsidRDefault="00312042" w:rsidP="009A58EE">
            <w:pPr>
              <w:pStyle w:val="Normal-pool-Table"/>
              <w:rPr>
                <w:szCs w:val="18"/>
              </w:rPr>
            </w:pPr>
            <w:r w:rsidRPr="00631C1C">
              <w:rPr>
                <w:szCs w:val="18"/>
              </w:rPr>
              <w:t>Saint Kitts and Nevis</w:t>
            </w:r>
          </w:p>
        </w:tc>
        <w:tc>
          <w:tcPr>
            <w:tcW w:w="1400" w:type="dxa"/>
            <w:tcBorders>
              <w:top w:val="nil"/>
              <w:left w:val="nil"/>
              <w:bottom w:val="single" w:sz="4" w:space="0" w:color="auto"/>
              <w:right w:val="single" w:sz="4" w:space="0" w:color="auto"/>
            </w:tcBorders>
            <w:noWrap/>
            <w:hideMark/>
          </w:tcPr>
          <w:p w14:paraId="11CE58AB" w14:textId="4570C15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342C5603" w14:textId="11B6590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3EC8C4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4CE5BC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BA4C9C6" w14:textId="77777777" w:rsidR="00312042" w:rsidRPr="00631C1C" w:rsidRDefault="00312042" w:rsidP="009A58EE">
            <w:pPr>
              <w:pStyle w:val="Normal-pool-Table"/>
              <w:jc w:val="right"/>
              <w:rPr>
                <w:szCs w:val="18"/>
              </w:rPr>
            </w:pPr>
            <w:r w:rsidRPr="00631C1C">
              <w:rPr>
                <w:szCs w:val="18"/>
              </w:rPr>
              <w:t>715</w:t>
            </w:r>
          </w:p>
        </w:tc>
      </w:tr>
      <w:tr w:rsidR="00F234CD" w:rsidRPr="00631C1C" w14:paraId="6B5BE9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66A1A5" w14:textId="77777777" w:rsidR="00312042" w:rsidRPr="00631C1C" w:rsidRDefault="00312042" w:rsidP="009A58EE">
            <w:pPr>
              <w:pStyle w:val="Normal-pool-Table"/>
              <w:rPr>
                <w:szCs w:val="18"/>
              </w:rPr>
            </w:pPr>
            <w:r w:rsidRPr="00631C1C">
              <w:rPr>
                <w:szCs w:val="18"/>
              </w:rPr>
              <w:t>124</w:t>
            </w:r>
          </w:p>
        </w:tc>
        <w:tc>
          <w:tcPr>
            <w:tcW w:w="2573" w:type="dxa"/>
            <w:tcBorders>
              <w:top w:val="nil"/>
              <w:left w:val="nil"/>
              <w:bottom w:val="single" w:sz="4" w:space="0" w:color="auto"/>
              <w:right w:val="single" w:sz="4" w:space="0" w:color="auto"/>
            </w:tcBorders>
            <w:noWrap/>
            <w:hideMark/>
          </w:tcPr>
          <w:p w14:paraId="48540FA8" w14:textId="77777777" w:rsidR="00312042" w:rsidRPr="00631C1C" w:rsidRDefault="00312042" w:rsidP="009A58EE">
            <w:pPr>
              <w:pStyle w:val="Normal-pool-Table"/>
              <w:rPr>
                <w:szCs w:val="18"/>
              </w:rPr>
            </w:pPr>
            <w:r w:rsidRPr="00631C1C">
              <w:rPr>
                <w:szCs w:val="18"/>
              </w:rPr>
              <w:t>Saint Lucia</w:t>
            </w:r>
          </w:p>
        </w:tc>
        <w:tc>
          <w:tcPr>
            <w:tcW w:w="1400" w:type="dxa"/>
            <w:tcBorders>
              <w:top w:val="nil"/>
              <w:left w:val="nil"/>
              <w:bottom w:val="single" w:sz="4" w:space="0" w:color="auto"/>
              <w:right w:val="single" w:sz="4" w:space="0" w:color="auto"/>
            </w:tcBorders>
            <w:noWrap/>
            <w:hideMark/>
          </w:tcPr>
          <w:p w14:paraId="5BE97C44" w14:textId="1B818E3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27512D8C" w14:textId="5439FB2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04D1C7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949DB7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1747292" w14:textId="77777777" w:rsidR="00312042" w:rsidRPr="00631C1C" w:rsidRDefault="00312042" w:rsidP="009A58EE">
            <w:pPr>
              <w:pStyle w:val="Normal-pool-Table"/>
              <w:jc w:val="right"/>
              <w:rPr>
                <w:szCs w:val="18"/>
              </w:rPr>
            </w:pPr>
            <w:r w:rsidRPr="00631C1C">
              <w:rPr>
                <w:szCs w:val="18"/>
              </w:rPr>
              <w:t>715</w:t>
            </w:r>
          </w:p>
        </w:tc>
      </w:tr>
      <w:tr w:rsidR="00F234CD" w:rsidRPr="00631C1C" w14:paraId="5E62FEED"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01823F8" w14:textId="77777777" w:rsidR="00312042" w:rsidRPr="00631C1C" w:rsidRDefault="00312042" w:rsidP="009A58EE">
            <w:pPr>
              <w:pStyle w:val="Normal-pool-Table"/>
              <w:rPr>
                <w:szCs w:val="18"/>
              </w:rPr>
            </w:pPr>
            <w:r w:rsidRPr="00631C1C">
              <w:rPr>
                <w:szCs w:val="18"/>
              </w:rPr>
              <w:t>125</w:t>
            </w:r>
          </w:p>
        </w:tc>
        <w:tc>
          <w:tcPr>
            <w:tcW w:w="2573" w:type="dxa"/>
            <w:tcBorders>
              <w:top w:val="nil"/>
              <w:left w:val="nil"/>
              <w:bottom w:val="single" w:sz="4" w:space="0" w:color="auto"/>
              <w:right w:val="single" w:sz="4" w:space="0" w:color="auto"/>
            </w:tcBorders>
            <w:noWrap/>
            <w:hideMark/>
          </w:tcPr>
          <w:p w14:paraId="7928A6D9" w14:textId="77777777" w:rsidR="00312042" w:rsidRPr="00631C1C" w:rsidRDefault="00312042" w:rsidP="009A58EE">
            <w:pPr>
              <w:pStyle w:val="Normal-pool-Table"/>
              <w:rPr>
                <w:szCs w:val="18"/>
              </w:rPr>
            </w:pPr>
            <w:hyperlink r:id="rId18" w:history="1">
              <w:r w:rsidRPr="00631C1C">
                <w:rPr>
                  <w:szCs w:val="18"/>
                </w:rPr>
                <w:t>Saint Vincent and the Grenadines</w:t>
              </w:r>
            </w:hyperlink>
          </w:p>
        </w:tc>
        <w:tc>
          <w:tcPr>
            <w:tcW w:w="1400" w:type="dxa"/>
            <w:tcBorders>
              <w:top w:val="nil"/>
              <w:left w:val="nil"/>
              <w:bottom w:val="single" w:sz="4" w:space="0" w:color="auto"/>
              <w:right w:val="single" w:sz="4" w:space="0" w:color="auto"/>
            </w:tcBorders>
            <w:noWrap/>
            <w:vAlign w:val="bottom"/>
            <w:hideMark/>
          </w:tcPr>
          <w:p w14:paraId="2795D728" w14:textId="4F649D7F"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001</w:t>
            </w:r>
          </w:p>
        </w:tc>
        <w:tc>
          <w:tcPr>
            <w:tcW w:w="1073" w:type="dxa"/>
            <w:tcBorders>
              <w:top w:val="nil"/>
              <w:left w:val="nil"/>
              <w:bottom w:val="single" w:sz="4" w:space="0" w:color="auto"/>
              <w:right w:val="single" w:sz="4" w:space="0" w:color="auto"/>
            </w:tcBorders>
            <w:noWrap/>
            <w:vAlign w:val="bottom"/>
            <w:hideMark/>
          </w:tcPr>
          <w:p w14:paraId="3A6BEAFB" w14:textId="61FAEFEB"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0100</w:t>
            </w:r>
          </w:p>
        </w:tc>
        <w:tc>
          <w:tcPr>
            <w:tcW w:w="1293" w:type="dxa"/>
            <w:tcBorders>
              <w:top w:val="nil"/>
              <w:left w:val="nil"/>
              <w:bottom w:val="single" w:sz="4" w:space="0" w:color="auto"/>
              <w:right w:val="single" w:sz="4" w:space="0" w:color="auto"/>
            </w:tcBorders>
            <w:noWrap/>
            <w:vAlign w:val="bottom"/>
            <w:hideMark/>
          </w:tcPr>
          <w:p w14:paraId="592263AB" w14:textId="77777777" w:rsidR="00312042" w:rsidRPr="006D152E" w:rsidRDefault="00312042" w:rsidP="009A58EE">
            <w:pPr>
              <w:pStyle w:val="Normal-pool-Table"/>
              <w:jc w:val="right"/>
              <w:rPr>
                <w:szCs w:val="18"/>
              </w:rPr>
            </w:pPr>
            <w:r w:rsidRPr="006D152E">
              <w:rPr>
                <w:szCs w:val="18"/>
              </w:rPr>
              <w:t>308</w:t>
            </w:r>
          </w:p>
        </w:tc>
        <w:tc>
          <w:tcPr>
            <w:tcW w:w="1293" w:type="dxa"/>
            <w:tcBorders>
              <w:top w:val="nil"/>
              <w:left w:val="nil"/>
              <w:bottom w:val="single" w:sz="4" w:space="0" w:color="auto"/>
              <w:right w:val="single" w:sz="4" w:space="0" w:color="auto"/>
            </w:tcBorders>
            <w:noWrap/>
            <w:vAlign w:val="bottom"/>
            <w:hideMark/>
          </w:tcPr>
          <w:p w14:paraId="175671B6" w14:textId="77777777" w:rsidR="00312042" w:rsidRPr="006D152E" w:rsidRDefault="00312042" w:rsidP="009A58EE">
            <w:pPr>
              <w:pStyle w:val="Normal-pool-Table"/>
              <w:jc w:val="right"/>
              <w:rPr>
                <w:szCs w:val="18"/>
              </w:rPr>
            </w:pPr>
            <w:r w:rsidRPr="006D152E">
              <w:rPr>
                <w:szCs w:val="18"/>
              </w:rPr>
              <w:t>407</w:t>
            </w:r>
          </w:p>
        </w:tc>
        <w:tc>
          <w:tcPr>
            <w:tcW w:w="1313" w:type="dxa"/>
            <w:tcBorders>
              <w:top w:val="nil"/>
              <w:left w:val="nil"/>
              <w:bottom w:val="single" w:sz="4" w:space="0" w:color="auto"/>
              <w:right w:val="single" w:sz="4" w:space="0" w:color="auto"/>
            </w:tcBorders>
            <w:noWrap/>
            <w:vAlign w:val="bottom"/>
            <w:hideMark/>
          </w:tcPr>
          <w:p w14:paraId="6A551DBE" w14:textId="77777777" w:rsidR="00312042" w:rsidRPr="006D152E" w:rsidRDefault="00312042" w:rsidP="009A58EE">
            <w:pPr>
              <w:pStyle w:val="Normal-pool-Table"/>
              <w:jc w:val="right"/>
              <w:rPr>
                <w:szCs w:val="18"/>
              </w:rPr>
            </w:pPr>
            <w:r w:rsidRPr="006D152E">
              <w:rPr>
                <w:szCs w:val="18"/>
              </w:rPr>
              <w:t>715</w:t>
            </w:r>
          </w:p>
        </w:tc>
      </w:tr>
      <w:tr w:rsidR="00F234CD" w:rsidRPr="00631C1C" w14:paraId="70629B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DAC26F" w14:textId="77777777" w:rsidR="00312042" w:rsidRPr="00631C1C" w:rsidRDefault="00312042" w:rsidP="009A58EE">
            <w:pPr>
              <w:pStyle w:val="Normal-pool-Table"/>
              <w:rPr>
                <w:szCs w:val="18"/>
              </w:rPr>
            </w:pPr>
            <w:r w:rsidRPr="00631C1C">
              <w:rPr>
                <w:szCs w:val="18"/>
              </w:rPr>
              <w:t>126</w:t>
            </w:r>
          </w:p>
        </w:tc>
        <w:tc>
          <w:tcPr>
            <w:tcW w:w="2573" w:type="dxa"/>
            <w:tcBorders>
              <w:top w:val="nil"/>
              <w:left w:val="nil"/>
              <w:bottom w:val="single" w:sz="4" w:space="0" w:color="auto"/>
              <w:right w:val="single" w:sz="4" w:space="0" w:color="auto"/>
            </w:tcBorders>
            <w:noWrap/>
            <w:hideMark/>
          </w:tcPr>
          <w:p w14:paraId="6161EB39" w14:textId="77777777" w:rsidR="00312042" w:rsidRPr="00631C1C" w:rsidRDefault="00312042" w:rsidP="009A58EE">
            <w:pPr>
              <w:pStyle w:val="Normal-pool-Table"/>
              <w:rPr>
                <w:szCs w:val="18"/>
              </w:rPr>
            </w:pPr>
            <w:r w:rsidRPr="00631C1C">
              <w:rPr>
                <w:szCs w:val="18"/>
              </w:rPr>
              <w:t>Suriname</w:t>
            </w:r>
          </w:p>
        </w:tc>
        <w:tc>
          <w:tcPr>
            <w:tcW w:w="1400" w:type="dxa"/>
            <w:tcBorders>
              <w:top w:val="nil"/>
              <w:left w:val="nil"/>
              <w:bottom w:val="single" w:sz="4" w:space="0" w:color="auto"/>
              <w:right w:val="single" w:sz="4" w:space="0" w:color="auto"/>
            </w:tcBorders>
            <w:noWrap/>
            <w:hideMark/>
          </w:tcPr>
          <w:p w14:paraId="0489CDD1" w14:textId="72D301F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35A971D1" w14:textId="23FEE9F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40801C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DDE591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60D898D" w14:textId="77777777" w:rsidR="00312042" w:rsidRPr="00631C1C" w:rsidRDefault="00312042" w:rsidP="009A58EE">
            <w:pPr>
              <w:pStyle w:val="Normal-pool-Table"/>
              <w:jc w:val="right"/>
              <w:rPr>
                <w:szCs w:val="18"/>
              </w:rPr>
            </w:pPr>
            <w:r w:rsidRPr="00631C1C">
              <w:rPr>
                <w:szCs w:val="18"/>
              </w:rPr>
              <w:t>715</w:t>
            </w:r>
          </w:p>
        </w:tc>
      </w:tr>
      <w:tr w:rsidR="00F234CD" w:rsidRPr="00631C1C" w14:paraId="7BDCD2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FB615" w14:textId="77777777" w:rsidR="00312042" w:rsidRPr="00631C1C" w:rsidRDefault="00312042" w:rsidP="009A58EE">
            <w:pPr>
              <w:pStyle w:val="Normal-pool-Table"/>
              <w:rPr>
                <w:szCs w:val="18"/>
              </w:rPr>
            </w:pPr>
            <w:r w:rsidRPr="00631C1C">
              <w:rPr>
                <w:szCs w:val="18"/>
              </w:rPr>
              <w:t>127</w:t>
            </w:r>
          </w:p>
        </w:tc>
        <w:tc>
          <w:tcPr>
            <w:tcW w:w="2573" w:type="dxa"/>
            <w:tcBorders>
              <w:top w:val="nil"/>
              <w:left w:val="nil"/>
              <w:bottom w:val="single" w:sz="4" w:space="0" w:color="auto"/>
              <w:right w:val="single" w:sz="4" w:space="0" w:color="auto"/>
            </w:tcBorders>
            <w:noWrap/>
            <w:hideMark/>
          </w:tcPr>
          <w:p w14:paraId="19F8F682" w14:textId="77777777" w:rsidR="00312042" w:rsidRPr="00631C1C" w:rsidRDefault="00312042" w:rsidP="009A58EE">
            <w:pPr>
              <w:pStyle w:val="Normal-pool-Table"/>
              <w:rPr>
                <w:szCs w:val="18"/>
              </w:rPr>
            </w:pPr>
            <w:r w:rsidRPr="00631C1C">
              <w:rPr>
                <w:szCs w:val="18"/>
              </w:rPr>
              <w:t>Uruguay</w:t>
            </w:r>
          </w:p>
        </w:tc>
        <w:tc>
          <w:tcPr>
            <w:tcW w:w="1400" w:type="dxa"/>
            <w:tcBorders>
              <w:top w:val="nil"/>
              <w:left w:val="nil"/>
              <w:bottom w:val="single" w:sz="4" w:space="0" w:color="auto"/>
              <w:right w:val="single" w:sz="4" w:space="0" w:color="auto"/>
            </w:tcBorders>
            <w:noWrap/>
            <w:hideMark/>
          </w:tcPr>
          <w:p w14:paraId="7F159983" w14:textId="0561CFF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079</w:t>
            </w:r>
          </w:p>
        </w:tc>
        <w:tc>
          <w:tcPr>
            <w:tcW w:w="1073" w:type="dxa"/>
            <w:tcBorders>
              <w:top w:val="nil"/>
              <w:left w:val="nil"/>
              <w:bottom w:val="single" w:sz="4" w:space="0" w:color="auto"/>
              <w:right w:val="single" w:sz="4" w:space="0" w:color="auto"/>
            </w:tcBorders>
            <w:noWrap/>
            <w:hideMark/>
          </w:tcPr>
          <w:p w14:paraId="7AAF30F2" w14:textId="1473210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0797</w:t>
            </w:r>
          </w:p>
        </w:tc>
        <w:tc>
          <w:tcPr>
            <w:tcW w:w="1293" w:type="dxa"/>
            <w:tcBorders>
              <w:top w:val="nil"/>
              <w:left w:val="nil"/>
              <w:bottom w:val="single" w:sz="4" w:space="0" w:color="auto"/>
              <w:right w:val="single" w:sz="4" w:space="0" w:color="auto"/>
            </w:tcBorders>
            <w:noWrap/>
            <w:hideMark/>
          </w:tcPr>
          <w:p w14:paraId="2DF5A595" w14:textId="77777777" w:rsidR="00312042" w:rsidRPr="00631C1C" w:rsidRDefault="00312042" w:rsidP="009A58EE">
            <w:pPr>
              <w:pStyle w:val="Normal-pool-Table"/>
              <w:jc w:val="right"/>
              <w:rPr>
                <w:szCs w:val="18"/>
              </w:rPr>
            </w:pPr>
            <w:r w:rsidRPr="00631C1C">
              <w:rPr>
                <w:szCs w:val="18"/>
              </w:rPr>
              <w:t>2 459</w:t>
            </w:r>
          </w:p>
        </w:tc>
        <w:tc>
          <w:tcPr>
            <w:tcW w:w="1293" w:type="dxa"/>
            <w:tcBorders>
              <w:top w:val="nil"/>
              <w:left w:val="nil"/>
              <w:bottom w:val="single" w:sz="4" w:space="0" w:color="auto"/>
              <w:right w:val="single" w:sz="4" w:space="0" w:color="auto"/>
            </w:tcBorders>
            <w:noWrap/>
            <w:hideMark/>
          </w:tcPr>
          <w:p w14:paraId="43DE0DBC" w14:textId="77777777" w:rsidR="00312042" w:rsidRPr="00631C1C" w:rsidRDefault="00312042" w:rsidP="009A58EE">
            <w:pPr>
              <w:pStyle w:val="Normal-pool-Table"/>
              <w:jc w:val="right"/>
              <w:rPr>
                <w:szCs w:val="18"/>
              </w:rPr>
            </w:pPr>
            <w:r w:rsidRPr="00631C1C">
              <w:rPr>
                <w:szCs w:val="18"/>
              </w:rPr>
              <w:t>3 245</w:t>
            </w:r>
          </w:p>
        </w:tc>
        <w:tc>
          <w:tcPr>
            <w:tcW w:w="1313" w:type="dxa"/>
            <w:tcBorders>
              <w:top w:val="nil"/>
              <w:left w:val="nil"/>
              <w:bottom w:val="single" w:sz="4" w:space="0" w:color="auto"/>
              <w:right w:val="single" w:sz="4" w:space="0" w:color="auto"/>
            </w:tcBorders>
            <w:noWrap/>
            <w:hideMark/>
          </w:tcPr>
          <w:p w14:paraId="38C1BF83" w14:textId="77777777" w:rsidR="00312042" w:rsidRPr="00631C1C" w:rsidRDefault="00312042" w:rsidP="009A58EE">
            <w:pPr>
              <w:pStyle w:val="Normal-pool-Table"/>
              <w:jc w:val="right"/>
              <w:rPr>
                <w:szCs w:val="18"/>
              </w:rPr>
            </w:pPr>
            <w:r w:rsidRPr="00631C1C">
              <w:rPr>
                <w:szCs w:val="18"/>
              </w:rPr>
              <w:t>5 703</w:t>
            </w:r>
          </w:p>
        </w:tc>
      </w:tr>
      <w:tr w:rsidR="00F234CD" w:rsidRPr="00631C1C"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631C1C" w:rsidRDefault="00312042" w:rsidP="009A58EE">
            <w:pPr>
              <w:pStyle w:val="Normal-pool-Table"/>
              <w:rPr>
                <w:b/>
                <w:bCs/>
                <w:szCs w:val="18"/>
              </w:rPr>
            </w:pPr>
            <w:r w:rsidRPr="00631C1C">
              <w:rPr>
                <w:b/>
                <w:bCs/>
                <w:szCs w:val="18"/>
              </w:rPr>
              <w:t>Western European and other States (26)</w:t>
            </w:r>
          </w:p>
        </w:tc>
      </w:tr>
      <w:tr w:rsidR="00F234CD" w:rsidRPr="00631C1C" w14:paraId="2EA95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7263DC" w14:textId="77777777" w:rsidR="00312042" w:rsidRPr="00631C1C" w:rsidRDefault="00312042" w:rsidP="009A58EE">
            <w:pPr>
              <w:pStyle w:val="Normal-pool-Table"/>
              <w:rPr>
                <w:szCs w:val="18"/>
              </w:rPr>
            </w:pPr>
            <w:r w:rsidRPr="00631C1C">
              <w:rPr>
                <w:szCs w:val="18"/>
              </w:rPr>
              <w:t>128</w:t>
            </w:r>
          </w:p>
        </w:tc>
        <w:tc>
          <w:tcPr>
            <w:tcW w:w="2573" w:type="dxa"/>
            <w:tcBorders>
              <w:top w:val="nil"/>
              <w:left w:val="nil"/>
              <w:bottom w:val="single" w:sz="4" w:space="0" w:color="auto"/>
              <w:right w:val="single" w:sz="4" w:space="0" w:color="auto"/>
            </w:tcBorders>
            <w:noWrap/>
            <w:hideMark/>
          </w:tcPr>
          <w:p w14:paraId="446DBEB8" w14:textId="77777777" w:rsidR="00312042" w:rsidRPr="00631C1C" w:rsidRDefault="00312042" w:rsidP="009A58EE">
            <w:pPr>
              <w:pStyle w:val="Normal-pool-Table"/>
              <w:rPr>
                <w:szCs w:val="18"/>
              </w:rPr>
            </w:pPr>
            <w:r w:rsidRPr="00631C1C">
              <w:rPr>
                <w:szCs w:val="18"/>
              </w:rPr>
              <w:t>Australia</w:t>
            </w:r>
          </w:p>
        </w:tc>
        <w:tc>
          <w:tcPr>
            <w:tcW w:w="1400" w:type="dxa"/>
            <w:tcBorders>
              <w:top w:val="nil"/>
              <w:left w:val="nil"/>
              <w:bottom w:val="single" w:sz="4" w:space="0" w:color="auto"/>
              <w:right w:val="single" w:sz="4" w:space="0" w:color="auto"/>
            </w:tcBorders>
            <w:noWrap/>
            <w:hideMark/>
          </w:tcPr>
          <w:p w14:paraId="413A83D7" w14:textId="1FC6C02B"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04</w:t>
            </w:r>
          </w:p>
        </w:tc>
        <w:tc>
          <w:tcPr>
            <w:tcW w:w="1073" w:type="dxa"/>
            <w:tcBorders>
              <w:top w:val="nil"/>
              <w:left w:val="nil"/>
              <w:bottom w:val="single" w:sz="4" w:space="0" w:color="auto"/>
              <w:right w:val="single" w:sz="4" w:space="0" w:color="auto"/>
            </w:tcBorders>
            <w:noWrap/>
            <w:hideMark/>
          </w:tcPr>
          <w:p w14:paraId="7CE0B7A1" w14:textId="26C6F50F"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0590</w:t>
            </w:r>
          </w:p>
        </w:tc>
        <w:tc>
          <w:tcPr>
            <w:tcW w:w="1293" w:type="dxa"/>
            <w:tcBorders>
              <w:top w:val="nil"/>
              <w:left w:val="nil"/>
              <w:bottom w:val="single" w:sz="4" w:space="0" w:color="auto"/>
              <w:right w:val="single" w:sz="4" w:space="0" w:color="auto"/>
            </w:tcBorders>
            <w:noWrap/>
            <w:hideMark/>
          </w:tcPr>
          <w:p w14:paraId="53F1843D" w14:textId="77777777" w:rsidR="00312042" w:rsidRPr="00631C1C" w:rsidRDefault="00312042" w:rsidP="009A58EE">
            <w:pPr>
              <w:pStyle w:val="Normal-pool-Table"/>
              <w:jc w:val="right"/>
              <w:rPr>
                <w:szCs w:val="18"/>
              </w:rPr>
            </w:pPr>
            <w:r w:rsidRPr="00631C1C">
              <w:rPr>
                <w:szCs w:val="18"/>
              </w:rPr>
              <w:t>63 486</w:t>
            </w:r>
          </w:p>
        </w:tc>
        <w:tc>
          <w:tcPr>
            <w:tcW w:w="1293" w:type="dxa"/>
            <w:tcBorders>
              <w:top w:val="nil"/>
              <w:left w:val="nil"/>
              <w:bottom w:val="single" w:sz="4" w:space="0" w:color="auto"/>
              <w:right w:val="single" w:sz="4" w:space="0" w:color="auto"/>
            </w:tcBorders>
            <w:noWrap/>
            <w:hideMark/>
          </w:tcPr>
          <w:p w14:paraId="736AEF99" w14:textId="77777777" w:rsidR="00312042" w:rsidRPr="00631C1C" w:rsidRDefault="00312042" w:rsidP="009A58EE">
            <w:pPr>
              <w:pStyle w:val="Normal-pool-Table"/>
              <w:jc w:val="right"/>
              <w:rPr>
                <w:szCs w:val="18"/>
              </w:rPr>
            </w:pPr>
            <w:r w:rsidRPr="00631C1C">
              <w:rPr>
                <w:szCs w:val="18"/>
              </w:rPr>
              <w:t>83 786</w:t>
            </w:r>
          </w:p>
        </w:tc>
        <w:tc>
          <w:tcPr>
            <w:tcW w:w="1313" w:type="dxa"/>
            <w:tcBorders>
              <w:top w:val="nil"/>
              <w:left w:val="nil"/>
              <w:bottom w:val="single" w:sz="4" w:space="0" w:color="auto"/>
              <w:right w:val="single" w:sz="4" w:space="0" w:color="auto"/>
            </w:tcBorders>
            <w:noWrap/>
            <w:hideMark/>
          </w:tcPr>
          <w:p w14:paraId="6876BFCF" w14:textId="77777777" w:rsidR="00312042" w:rsidRPr="00631C1C" w:rsidRDefault="00312042" w:rsidP="009A58EE">
            <w:pPr>
              <w:pStyle w:val="Normal-pool-Table"/>
              <w:jc w:val="right"/>
              <w:rPr>
                <w:szCs w:val="18"/>
              </w:rPr>
            </w:pPr>
            <w:r w:rsidRPr="00631C1C">
              <w:rPr>
                <w:szCs w:val="18"/>
              </w:rPr>
              <w:t>147 272</w:t>
            </w:r>
          </w:p>
        </w:tc>
      </w:tr>
      <w:tr w:rsidR="00F234CD" w:rsidRPr="00631C1C" w14:paraId="318543B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CFAEDB" w14:textId="77777777" w:rsidR="00312042" w:rsidRPr="00631C1C" w:rsidRDefault="00312042" w:rsidP="009A58EE">
            <w:pPr>
              <w:pStyle w:val="Normal-pool-Table"/>
              <w:rPr>
                <w:szCs w:val="18"/>
              </w:rPr>
            </w:pPr>
            <w:r w:rsidRPr="00631C1C">
              <w:rPr>
                <w:szCs w:val="18"/>
              </w:rPr>
              <w:t>129</w:t>
            </w:r>
          </w:p>
        </w:tc>
        <w:tc>
          <w:tcPr>
            <w:tcW w:w="2573" w:type="dxa"/>
            <w:tcBorders>
              <w:top w:val="nil"/>
              <w:left w:val="nil"/>
              <w:bottom w:val="single" w:sz="4" w:space="0" w:color="auto"/>
              <w:right w:val="single" w:sz="4" w:space="0" w:color="auto"/>
            </w:tcBorders>
            <w:noWrap/>
            <w:hideMark/>
          </w:tcPr>
          <w:p w14:paraId="2A73C8AC" w14:textId="77777777" w:rsidR="00312042" w:rsidRPr="00631C1C" w:rsidRDefault="00312042" w:rsidP="009A58EE">
            <w:pPr>
              <w:pStyle w:val="Normal-pool-Table"/>
              <w:rPr>
                <w:szCs w:val="18"/>
              </w:rPr>
            </w:pPr>
            <w:r w:rsidRPr="00631C1C">
              <w:rPr>
                <w:szCs w:val="18"/>
              </w:rPr>
              <w:t>Austria</w:t>
            </w:r>
          </w:p>
        </w:tc>
        <w:tc>
          <w:tcPr>
            <w:tcW w:w="1400" w:type="dxa"/>
            <w:tcBorders>
              <w:top w:val="nil"/>
              <w:left w:val="nil"/>
              <w:bottom w:val="single" w:sz="4" w:space="0" w:color="auto"/>
              <w:right w:val="single" w:sz="4" w:space="0" w:color="auto"/>
            </w:tcBorders>
            <w:noWrap/>
            <w:hideMark/>
          </w:tcPr>
          <w:p w14:paraId="36E64268" w14:textId="39B4063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626</w:t>
            </w:r>
          </w:p>
        </w:tc>
        <w:tc>
          <w:tcPr>
            <w:tcW w:w="1073" w:type="dxa"/>
            <w:tcBorders>
              <w:top w:val="nil"/>
              <w:left w:val="nil"/>
              <w:bottom w:val="single" w:sz="4" w:space="0" w:color="auto"/>
              <w:right w:val="single" w:sz="4" w:space="0" w:color="auto"/>
            </w:tcBorders>
            <w:noWrap/>
            <w:hideMark/>
          </w:tcPr>
          <w:p w14:paraId="3A8E540B" w14:textId="4A5EFD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6318</w:t>
            </w:r>
          </w:p>
        </w:tc>
        <w:tc>
          <w:tcPr>
            <w:tcW w:w="1293" w:type="dxa"/>
            <w:tcBorders>
              <w:top w:val="nil"/>
              <w:left w:val="nil"/>
              <w:bottom w:val="single" w:sz="4" w:space="0" w:color="auto"/>
              <w:right w:val="single" w:sz="4" w:space="0" w:color="auto"/>
            </w:tcBorders>
            <w:noWrap/>
            <w:hideMark/>
          </w:tcPr>
          <w:p w14:paraId="013AEFAF" w14:textId="77777777" w:rsidR="00312042" w:rsidRPr="00631C1C" w:rsidRDefault="00312042" w:rsidP="009A58EE">
            <w:pPr>
              <w:pStyle w:val="Normal-pool-Table"/>
              <w:jc w:val="right"/>
              <w:rPr>
                <w:szCs w:val="18"/>
              </w:rPr>
            </w:pPr>
            <w:r w:rsidRPr="00631C1C">
              <w:rPr>
                <w:szCs w:val="18"/>
              </w:rPr>
              <w:t>19 481</w:t>
            </w:r>
          </w:p>
        </w:tc>
        <w:tc>
          <w:tcPr>
            <w:tcW w:w="1293" w:type="dxa"/>
            <w:tcBorders>
              <w:top w:val="nil"/>
              <w:left w:val="nil"/>
              <w:bottom w:val="single" w:sz="4" w:space="0" w:color="auto"/>
              <w:right w:val="single" w:sz="4" w:space="0" w:color="auto"/>
            </w:tcBorders>
            <w:noWrap/>
            <w:hideMark/>
          </w:tcPr>
          <w:p w14:paraId="4D09BD34" w14:textId="77777777" w:rsidR="00312042" w:rsidRPr="00631C1C" w:rsidRDefault="00312042" w:rsidP="009A58EE">
            <w:pPr>
              <w:pStyle w:val="Normal-pool-Table"/>
              <w:jc w:val="right"/>
              <w:rPr>
                <w:szCs w:val="18"/>
              </w:rPr>
            </w:pPr>
            <w:r w:rsidRPr="00631C1C">
              <w:rPr>
                <w:szCs w:val="18"/>
              </w:rPr>
              <w:t>25 711</w:t>
            </w:r>
          </w:p>
        </w:tc>
        <w:tc>
          <w:tcPr>
            <w:tcW w:w="1313" w:type="dxa"/>
            <w:tcBorders>
              <w:top w:val="nil"/>
              <w:left w:val="nil"/>
              <w:bottom w:val="single" w:sz="4" w:space="0" w:color="auto"/>
              <w:right w:val="single" w:sz="4" w:space="0" w:color="auto"/>
            </w:tcBorders>
            <w:noWrap/>
            <w:hideMark/>
          </w:tcPr>
          <w:p w14:paraId="09AC4950" w14:textId="77777777" w:rsidR="00312042" w:rsidRPr="00631C1C" w:rsidRDefault="00312042" w:rsidP="009A58EE">
            <w:pPr>
              <w:pStyle w:val="Normal-pool-Table"/>
              <w:jc w:val="right"/>
              <w:rPr>
                <w:szCs w:val="18"/>
              </w:rPr>
            </w:pPr>
            <w:r w:rsidRPr="00631C1C">
              <w:rPr>
                <w:szCs w:val="18"/>
              </w:rPr>
              <w:t>45 192</w:t>
            </w:r>
          </w:p>
        </w:tc>
      </w:tr>
      <w:tr w:rsidR="00F234CD" w:rsidRPr="00631C1C" w14:paraId="35D3F1E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83085C" w14:textId="77777777" w:rsidR="00312042" w:rsidRPr="00631C1C" w:rsidRDefault="00312042" w:rsidP="009A58EE">
            <w:pPr>
              <w:pStyle w:val="Normal-pool-Table"/>
              <w:rPr>
                <w:szCs w:val="18"/>
              </w:rPr>
            </w:pPr>
            <w:r w:rsidRPr="00631C1C">
              <w:rPr>
                <w:szCs w:val="18"/>
              </w:rPr>
              <w:t>130</w:t>
            </w:r>
          </w:p>
        </w:tc>
        <w:tc>
          <w:tcPr>
            <w:tcW w:w="2573" w:type="dxa"/>
            <w:tcBorders>
              <w:top w:val="nil"/>
              <w:left w:val="nil"/>
              <w:bottom w:val="single" w:sz="4" w:space="0" w:color="auto"/>
              <w:right w:val="single" w:sz="4" w:space="0" w:color="auto"/>
            </w:tcBorders>
            <w:noWrap/>
            <w:hideMark/>
          </w:tcPr>
          <w:p w14:paraId="1DE4A590" w14:textId="77777777" w:rsidR="00312042" w:rsidRPr="00631C1C" w:rsidRDefault="00312042" w:rsidP="009A58EE">
            <w:pPr>
              <w:pStyle w:val="Normal-pool-Table"/>
              <w:rPr>
                <w:szCs w:val="18"/>
              </w:rPr>
            </w:pPr>
            <w:r w:rsidRPr="00631C1C">
              <w:rPr>
                <w:szCs w:val="18"/>
              </w:rPr>
              <w:t>Belgium</w:t>
            </w:r>
          </w:p>
        </w:tc>
        <w:tc>
          <w:tcPr>
            <w:tcW w:w="1400" w:type="dxa"/>
            <w:tcBorders>
              <w:top w:val="nil"/>
              <w:left w:val="nil"/>
              <w:bottom w:val="single" w:sz="4" w:space="0" w:color="auto"/>
              <w:right w:val="single" w:sz="4" w:space="0" w:color="auto"/>
            </w:tcBorders>
            <w:noWrap/>
            <w:hideMark/>
          </w:tcPr>
          <w:p w14:paraId="67B04D9E" w14:textId="3924F84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773</w:t>
            </w:r>
          </w:p>
        </w:tc>
        <w:tc>
          <w:tcPr>
            <w:tcW w:w="1073" w:type="dxa"/>
            <w:tcBorders>
              <w:top w:val="nil"/>
              <w:left w:val="nil"/>
              <w:bottom w:val="single" w:sz="4" w:space="0" w:color="auto"/>
              <w:right w:val="single" w:sz="4" w:space="0" w:color="auto"/>
            </w:tcBorders>
            <w:noWrap/>
            <w:hideMark/>
          </w:tcPr>
          <w:p w14:paraId="719E8B19" w14:textId="5A5598B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7802</w:t>
            </w:r>
          </w:p>
        </w:tc>
        <w:tc>
          <w:tcPr>
            <w:tcW w:w="1293" w:type="dxa"/>
            <w:tcBorders>
              <w:top w:val="nil"/>
              <w:left w:val="nil"/>
              <w:bottom w:val="single" w:sz="4" w:space="0" w:color="auto"/>
              <w:right w:val="single" w:sz="4" w:space="0" w:color="auto"/>
            </w:tcBorders>
            <w:noWrap/>
            <w:hideMark/>
          </w:tcPr>
          <w:p w14:paraId="6A4B4314" w14:textId="77777777" w:rsidR="00312042" w:rsidRPr="00631C1C" w:rsidRDefault="00312042" w:rsidP="009A58EE">
            <w:pPr>
              <w:pStyle w:val="Normal-pool-Table"/>
              <w:jc w:val="right"/>
              <w:rPr>
                <w:szCs w:val="18"/>
              </w:rPr>
            </w:pPr>
            <w:r w:rsidRPr="00631C1C">
              <w:rPr>
                <w:szCs w:val="18"/>
              </w:rPr>
              <w:t>24 056</w:t>
            </w:r>
          </w:p>
        </w:tc>
        <w:tc>
          <w:tcPr>
            <w:tcW w:w="1293" w:type="dxa"/>
            <w:tcBorders>
              <w:top w:val="nil"/>
              <w:left w:val="nil"/>
              <w:bottom w:val="single" w:sz="4" w:space="0" w:color="auto"/>
              <w:right w:val="single" w:sz="4" w:space="0" w:color="auto"/>
            </w:tcBorders>
            <w:noWrap/>
            <w:hideMark/>
          </w:tcPr>
          <w:p w14:paraId="64593FFD" w14:textId="77777777" w:rsidR="00312042" w:rsidRPr="00631C1C" w:rsidRDefault="00312042" w:rsidP="009A58EE">
            <w:pPr>
              <w:pStyle w:val="Normal-pool-Table"/>
              <w:jc w:val="right"/>
              <w:rPr>
                <w:szCs w:val="18"/>
              </w:rPr>
            </w:pPr>
            <w:r w:rsidRPr="00631C1C">
              <w:rPr>
                <w:szCs w:val="18"/>
              </w:rPr>
              <w:t>31 748</w:t>
            </w:r>
          </w:p>
        </w:tc>
        <w:tc>
          <w:tcPr>
            <w:tcW w:w="1313" w:type="dxa"/>
            <w:tcBorders>
              <w:top w:val="nil"/>
              <w:left w:val="nil"/>
              <w:bottom w:val="single" w:sz="4" w:space="0" w:color="auto"/>
              <w:right w:val="single" w:sz="4" w:space="0" w:color="auto"/>
            </w:tcBorders>
            <w:noWrap/>
            <w:hideMark/>
          </w:tcPr>
          <w:p w14:paraId="4EF8B210" w14:textId="77777777" w:rsidR="00312042" w:rsidRPr="00631C1C" w:rsidRDefault="00312042" w:rsidP="009A58EE">
            <w:pPr>
              <w:pStyle w:val="Normal-pool-Table"/>
              <w:jc w:val="right"/>
              <w:rPr>
                <w:szCs w:val="18"/>
              </w:rPr>
            </w:pPr>
            <w:r w:rsidRPr="00631C1C">
              <w:rPr>
                <w:szCs w:val="18"/>
              </w:rPr>
              <w:t>55 804</w:t>
            </w:r>
          </w:p>
        </w:tc>
      </w:tr>
      <w:tr w:rsidR="00F234CD" w:rsidRPr="00631C1C" w14:paraId="016F5C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3AF1E" w14:textId="77777777" w:rsidR="00312042" w:rsidRPr="00631C1C" w:rsidRDefault="00312042" w:rsidP="009A58EE">
            <w:pPr>
              <w:pStyle w:val="Normal-pool-Table"/>
              <w:rPr>
                <w:szCs w:val="18"/>
              </w:rPr>
            </w:pPr>
            <w:r w:rsidRPr="00631C1C">
              <w:rPr>
                <w:szCs w:val="18"/>
              </w:rPr>
              <w:t>131</w:t>
            </w:r>
          </w:p>
        </w:tc>
        <w:tc>
          <w:tcPr>
            <w:tcW w:w="2573" w:type="dxa"/>
            <w:tcBorders>
              <w:top w:val="nil"/>
              <w:left w:val="nil"/>
              <w:bottom w:val="single" w:sz="4" w:space="0" w:color="auto"/>
              <w:right w:val="single" w:sz="4" w:space="0" w:color="auto"/>
            </w:tcBorders>
            <w:noWrap/>
            <w:hideMark/>
          </w:tcPr>
          <w:p w14:paraId="0591CBF9" w14:textId="77777777" w:rsidR="00312042" w:rsidRPr="00631C1C" w:rsidRDefault="00312042" w:rsidP="009A58EE">
            <w:pPr>
              <w:pStyle w:val="Normal-pool-Table"/>
              <w:rPr>
                <w:szCs w:val="18"/>
              </w:rPr>
            </w:pPr>
            <w:r w:rsidRPr="00631C1C">
              <w:rPr>
                <w:szCs w:val="18"/>
              </w:rPr>
              <w:t>Canada</w:t>
            </w:r>
          </w:p>
        </w:tc>
        <w:tc>
          <w:tcPr>
            <w:tcW w:w="1400" w:type="dxa"/>
            <w:tcBorders>
              <w:top w:val="nil"/>
              <w:left w:val="nil"/>
              <w:bottom w:val="single" w:sz="4" w:space="0" w:color="auto"/>
              <w:right w:val="single" w:sz="4" w:space="0" w:color="auto"/>
            </w:tcBorders>
            <w:noWrap/>
            <w:hideMark/>
          </w:tcPr>
          <w:p w14:paraId="454ABA2B" w14:textId="20D01439"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543</w:t>
            </w:r>
          </w:p>
        </w:tc>
        <w:tc>
          <w:tcPr>
            <w:tcW w:w="1073" w:type="dxa"/>
            <w:tcBorders>
              <w:top w:val="nil"/>
              <w:left w:val="nil"/>
              <w:bottom w:val="single" w:sz="4" w:space="0" w:color="auto"/>
              <w:right w:val="single" w:sz="4" w:space="0" w:color="auto"/>
            </w:tcBorders>
            <w:noWrap/>
            <w:hideMark/>
          </w:tcPr>
          <w:p w14:paraId="5ED4CBA0" w14:textId="69A49896"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5667</w:t>
            </w:r>
          </w:p>
        </w:tc>
        <w:tc>
          <w:tcPr>
            <w:tcW w:w="1293" w:type="dxa"/>
            <w:tcBorders>
              <w:top w:val="nil"/>
              <w:left w:val="nil"/>
              <w:bottom w:val="single" w:sz="4" w:space="0" w:color="auto"/>
              <w:right w:val="single" w:sz="4" w:space="0" w:color="auto"/>
            </w:tcBorders>
            <w:noWrap/>
            <w:hideMark/>
          </w:tcPr>
          <w:p w14:paraId="2494A852" w14:textId="77777777" w:rsidR="00312042" w:rsidRPr="00631C1C" w:rsidRDefault="00312042" w:rsidP="009A58EE">
            <w:pPr>
              <w:pStyle w:val="Normal-pool-Table"/>
              <w:jc w:val="right"/>
              <w:rPr>
                <w:szCs w:val="18"/>
              </w:rPr>
            </w:pPr>
            <w:r w:rsidRPr="00631C1C">
              <w:rPr>
                <w:szCs w:val="18"/>
              </w:rPr>
              <w:t>79 140</w:t>
            </w:r>
          </w:p>
        </w:tc>
        <w:tc>
          <w:tcPr>
            <w:tcW w:w="1293" w:type="dxa"/>
            <w:tcBorders>
              <w:top w:val="nil"/>
              <w:left w:val="nil"/>
              <w:bottom w:val="single" w:sz="4" w:space="0" w:color="auto"/>
              <w:right w:val="single" w:sz="4" w:space="0" w:color="auto"/>
            </w:tcBorders>
            <w:noWrap/>
            <w:hideMark/>
          </w:tcPr>
          <w:p w14:paraId="760A1A8B" w14:textId="77777777" w:rsidR="00312042" w:rsidRPr="00631C1C" w:rsidRDefault="00312042" w:rsidP="009A58EE">
            <w:pPr>
              <w:pStyle w:val="Normal-pool-Table"/>
              <w:jc w:val="right"/>
              <w:rPr>
                <w:szCs w:val="18"/>
              </w:rPr>
            </w:pPr>
            <w:r w:rsidRPr="00631C1C">
              <w:rPr>
                <w:szCs w:val="18"/>
              </w:rPr>
              <w:t>104 445</w:t>
            </w:r>
          </w:p>
        </w:tc>
        <w:tc>
          <w:tcPr>
            <w:tcW w:w="1313" w:type="dxa"/>
            <w:tcBorders>
              <w:top w:val="nil"/>
              <w:left w:val="nil"/>
              <w:bottom w:val="single" w:sz="4" w:space="0" w:color="auto"/>
              <w:right w:val="single" w:sz="4" w:space="0" w:color="auto"/>
            </w:tcBorders>
            <w:noWrap/>
            <w:hideMark/>
          </w:tcPr>
          <w:p w14:paraId="7CA92EA5" w14:textId="77777777" w:rsidR="00312042" w:rsidRPr="00631C1C" w:rsidRDefault="00312042" w:rsidP="009A58EE">
            <w:pPr>
              <w:pStyle w:val="Normal-pool-Table"/>
              <w:jc w:val="right"/>
              <w:rPr>
                <w:szCs w:val="18"/>
              </w:rPr>
            </w:pPr>
            <w:r w:rsidRPr="00631C1C">
              <w:rPr>
                <w:szCs w:val="18"/>
              </w:rPr>
              <w:t>183 584</w:t>
            </w:r>
          </w:p>
        </w:tc>
      </w:tr>
      <w:tr w:rsidR="00F234CD" w:rsidRPr="00631C1C" w14:paraId="6B80BF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372F55" w14:textId="77777777" w:rsidR="00312042" w:rsidRPr="00631C1C" w:rsidRDefault="00312042" w:rsidP="009A58EE">
            <w:pPr>
              <w:pStyle w:val="Normal-pool-Table"/>
              <w:rPr>
                <w:szCs w:val="18"/>
              </w:rPr>
            </w:pPr>
            <w:r w:rsidRPr="00631C1C">
              <w:rPr>
                <w:szCs w:val="18"/>
              </w:rPr>
              <w:t>132</w:t>
            </w:r>
          </w:p>
        </w:tc>
        <w:tc>
          <w:tcPr>
            <w:tcW w:w="2573" w:type="dxa"/>
            <w:tcBorders>
              <w:top w:val="nil"/>
              <w:left w:val="nil"/>
              <w:bottom w:val="single" w:sz="4" w:space="0" w:color="auto"/>
              <w:right w:val="single" w:sz="4" w:space="0" w:color="auto"/>
            </w:tcBorders>
            <w:noWrap/>
            <w:hideMark/>
          </w:tcPr>
          <w:p w14:paraId="681F97A9" w14:textId="77777777" w:rsidR="00312042" w:rsidRPr="00631C1C" w:rsidRDefault="00312042" w:rsidP="009A58EE">
            <w:pPr>
              <w:pStyle w:val="Normal-pool-Table"/>
              <w:rPr>
                <w:szCs w:val="18"/>
              </w:rPr>
            </w:pPr>
            <w:r w:rsidRPr="00631C1C">
              <w:rPr>
                <w:szCs w:val="18"/>
              </w:rPr>
              <w:t>Denmark</w:t>
            </w:r>
          </w:p>
        </w:tc>
        <w:tc>
          <w:tcPr>
            <w:tcW w:w="1400" w:type="dxa"/>
            <w:tcBorders>
              <w:top w:val="nil"/>
              <w:left w:val="nil"/>
              <w:bottom w:val="single" w:sz="4" w:space="0" w:color="auto"/>
              <w:right w:val="single" w:sz="4" w:space="0" w:color="auto"/>
            </w:tcBorders>
            <w:noWrap/>
            <w:hideMark/>
          </w:tcPr>
          <w:p w14:paraId="1F0A1430" w14:textId="6A7E901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531</w:t>
            </w:r>
          </w:p>
        </w:tc>
        <w:tc>
          <w:tcPr>
            <w:tcW w:w="1073" w:type="dxa"/>
            <w:tcBorders>
              <w:top w:val="nil"/>
              <w:left w:val="nil"/>
              <w:bottom w:val="single" w:sz="4" w:space="0" w:color="auto"/>
              <w:right w:val="single" w:sz="4" w:space="0" w:color="auto"/>
            </w:tcBorders>
            <w:noWrap/>
            <w:hideMark/>
          </w:tcPr>
          <w:p w14:paraId="60B532E1" w14:textId="146A241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5359</w:t>
            </w:r>
          </w:p>
        </w:tc>
        <w:tc>
          <w:tcPr>
            <w:tcW w:w="1293" w:type="dxa"/>
            <w:tcBorders>
              <w:top w:val="nil"/>
              <w:left w:val="nil"/>
              <w:bottom w:val="single" w:sz="4" w:space="0" w:color="auto"/>
              <w:right w:val="single" w:sz="4" w:space="0" w:color="auto"/>
            </w:tcBorders>
            <w:noWrap/>
            <w:hideMark/>
          </w:tcPr>
          <w:p w14:paraId="226DB97B" w14:textId="77777777" w:rsidR="00312042" w:rsidRPr="00631C1C" w:rsidRDefault="00312042" w:rsidP="009A58EE">
            <w:pPr>
              <w:pStyle w:val="Normal-pool-Table"/>
              <w:jc w:val="right"/>
              <w:rPr>
                <w:szCs w:val="18"/>
              </w:rPr>
            </w:pPr>
            <w:r w:rsidRPr="00631C1C">
              <w:rPr>
                <w:szCs w:val="18"/>
              </w:rPr>
              <w:t>16 525</w:t>
            </w:r>
          </w:p>
        </w:tc>
        <w:tc>
          <w:tcPr>
            <w:tcW w:w="1293" w:type="dxa"/>
            <w:tcBorders>
              <w:top w:val="nil"/>
              <w:left w:val="nil"/>
              <w:bottom w:val="single" w:sz="4" w:space="0" w:color="auto"/>
              <w:right w:val="single" w:sz="4" w:space="0" w:color="auto"/>
            </w:tcBorders>
            <w:noWrap/>
            <w:hideMark/>
          </w:tcPr>
          <w:p w14:paraId="6671720E" w14:textId="77777777" w:rsidR="00312042" w:rsidRPr="00631C1C" w:rsidRDefault="00312042" w:rsidP="009A58EE">
            <w:pPr>
              <w:pStyle w:val="Normal-pool-Table"/>
              <w:jc w:val="right"/>
              <w:rPr>
                <w:szCs w:val="18"/>
              </w:rPr>
            </w:pPr>
            <w:r w:rsidRPr="00631C1C">
              <w:rPr>
                <w:szCs w:val="18"/>
              </w:rPr>
              <w:t>21 809</w:t>
            </w:r>
          </w:p>
        </w:tc>
        <w:tc>
          <w:tcPr>
            <w:tcW w:w="1313" w:type="dxa"/>
            <w:tcBorders>
              <w:top w:val="nil"/>
              <w:left w:val="nil"/>
              <w:bottom w:val="single" w:sz="4" w:space="0" w:color="auto"/>
              <w:right w:val="single" w:sz="4" w:space="0" w:color="auto"/>
            </w:tcBorders>
            <w:noWrap/>
            <w:hideMark/>
          </w:tcPr>
          <w:p w14:paraId="29318324" w14:textId="77777777" w:rsidR="00312042" w:rsidRPr="00631C1C" w:rsidRDefault="00312042" w:rsidP="009A58EE">
            <w:pPr>
              <w:pStyle w:val="Normal-pool-Table"/>
              <w:jc w:val="right"/>
              <w:rPr>
                <w:szCs w:val="18"/>
              </w:rPr>
            </w:pPr>
            <w:r w:rsidRPr="00631C1C">
              <w:rPr>
                <w:szCs w:val="18"/>
              </w:rPr>
              <w:t>38 334</w:t>
            </w:r>
          </w:p>
        </w:tc>
      </w:tr>
      <w:tr w:rsidR="00F234CD" w:rsidRPr="00631C1C" w14:paraId="078C35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4B7032" w14:textId="77777777" w:rsidR="00312042" w:rsidRPr="00631C1C" w:rsidRDefault="00312042" w:rsidP="009A58EE">
            <w:pPr>
              <w:pStyle w:val="Normal-pool-Table"/>
              <w:rPr>
                <w:szCs w:val="18"/>
              </w:rPr>
            </w:pPr>
            <w:r w:rsidRPr="00631C1C">
              <w:rPr>
                <w:szCs w:val="18"/>
              </w:rPr>
              <w:t>133</w:t>
            </w:r>
          </w:p>
        </w:tc>
        <w:tc>
          <w:tcPr>
            <w:tcW w:w="2573" w:type="dxa"/>
            <w:tcBorders>
              <w:top w:val="nil"/>
              <w:left w:val="nil"/>
              <w:bottom w:val="single" w:sz="4" w:space="0" w:color="auto"/>
              <w:right w:val="single" w:sz="4" w:space="0" w:color="auto"/>
            </w:tcBorders>
            <w:noWrap/>
            <w:hideMark/>
          </w:tcPr>
          <w:p w14:paraId="7A1BFBB6" w14:textId="77777777" w:rsidR="00312042" w:rsidRPr="00631C1C" w:rsidRDefault="00312042" w:rsidP="009A58EE">
            <w:pPr>
              <w:pStyle w:val="Normal-pool-Table"/>
              <w:rPr>
                <w:szCs w:val="18"/>
              </w:rPr>
            </w:pPr>
            <w:r w:rsidRPr="00631C1C">
              <w:rPr>
                <w:szCs w:val="18"/>
              </w:rPr>
              <w:t>European Union</w:t>
            </w:r>
          </w:p>
        </w:tc>
        <w:tc>
          <w:tcPr>
            <w:tcW w:w="1400" w:type="dxa"/>
            <w:tcBorders>
              <w:top w:val="nil"/>
              <w:left w:val="nil"/>
              <w:bottom w:val="single" w:sz="4" w:space="0" w:color="auto"/>
              <w:right w:val="single" w:sz="4" w:space="0" w:color="auto"/>
            </w:tcBorders>
            <w:noWrap/>
            <w:hideMark/>
          </w:tcPr>
          <w:p w14:paraId="1E94753F" w14:textId="46F72B25"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w:t>
            </w:r>
          </w:p>
        </w:tc>
        <w:tc>
          <w:tcPr>
            <w:tcW w:w="1073" w:type="dxa"/>
            <w:tcBorders>
              <w:top w:val="nil"/>
              <w:left w:val="nil"/>
              <w:bottom w:val="single" w:sz="4" w:space="0" w:color="auto"/>
              <w:right w:val="single" w:sz="4" w:space="0" w:color="auto"/>
            </w:tcBorders>
            <w:noWrap/>
            <w:hideMark/>
          </w:tcPr>
          <w:p w14:paraId="4062BCBE" w14:textId="133F0B67"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5000</w:t>
            </w:r>
          </w:p>
        </w:tc>
        <w:tc>
          <w:tcPr>
            <w:tcW w:w="1293" w:type="dxa"/>
            <w:tcBorders>
              <w:top w:val="nil"/>
              <w:left w:val="nil"/>
              <w:bottom w:val="single" w:sz="4" w:space="0" w:color="auto"/>
              <w:right w:val="single" w:sz="4" w:space="0" w:color="auto"/>
            </w:tcBorders>
            <w:noWrap/>
            <w:hideMark/>
          </w:tcPr>
          <w:p w14:paraId="26EF8A1C" w14:textId="77777777" w:rsidR="00312042" w:rsidRPr="00631C1C" w:rsidRDefault="00312042" w:rsidP="009A58EE">
            <w:pPr>
              <w:pStyle w:val="Normal-pool-Table"/>
              <w:jc w:val="right"/>
              <w:rPr>
                <w:szCs w:val="18"/>
              </w:rPr>
            </w:pPr>
            <w:r w:rsidRPr="00631C1C">
              <w:rPr>
                <w:szCs w:val="18"/>
              </w:rPr>
              <w:t>77 084</w:t>
            </w:r>
          </w:p>
        </w:tc>
        <w:tc>
          <w:tcPr>
            <w:tcW w:w="1293" w:type="dxa"/>
            <w:tcBorders>
              <w:top w:val="nil"/>
              <w:left w:val="nil"/>
              <w:bottom w:val="single" w:sz="4" w:space="0" w:color="auto"/>
              <w:right w:val="single" w:sz="4" w:space="0" w:color="auto"/>
            </w:tcBorders>
            <w:noWrap/>
            <w:hideMark/>
          </w:tcPr>
          <w:p w14:paraId="4E9219C8" w14:textId="77777777" w:rsidR="00312042" w:rsidRPr="00631C1C" w:rsidRDefault="00312042" w:rsidP="009A58EE">
            <w:pPr>
              <w:pStyle w:val="Normal-pool-Table"/>
              <w:jc w:val="right"/>
              <w:rPr>
                <w:szCs w:val="18"/>
              </w:rPr>
            </w:pPr>
            <w:r w:rsidRPr="00631C1C">
              <w:rPr>
                <w:szCs w:val="18"/>
              </w:rPr>
              <w:t>101 732</w:t>
            </w:r>
          </w:p>
        </w:tc>
        <w:tc>
          <w:tcPr>
            <w:tcW w:w="1313" w:type="dxa"/>
            <w:tcBorders>
              <w:top w:val="nil"/>
              <w:left w:val="nil"/>
              <w:bottom w:val="single" w:sz="4" w:space="0" w:color="auto"/>
              <w:right w:val="single" w:sz="4" w:space="0" w:color="auto"/>
            </w:tcBorders>
            <w:noWrap/>
            <w:hideMark/>
          </w:tcPr>
          <w:p w14:paraId="55F3DDAE" w14:textId="77777777" w:rsidR="00312042" w:rsidRPr="00631C1C" w:rsidRDefault="00312042" w:rsidP="009A58EE">
            <w:pPr>
              <w:pStyle w:val="Normal-pool-Table"/>
              <w:jc w:val="right"/>
              <w:rPr>
                <w:szCs w:val="18"/>
              </w:rPr>
            </w:pPr>
            <w:r w:rsidRPr="00631C1C">
              <w:rPr>
                <w:szCs w:val="18"/>
              </w:rPr>
              <w:t>178 816</w:t>
            </w:r>
          </w:p>
        </w:tc>
      </w:tr>
      <w:tr w:rsidR="00F234CD" w:rsidRPr="00631C1C" w14:paraId="76E5236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6E2EA" w14:textId="77777777" w:rsidR="00312042" w:rsidRPr="00631C1C" w:rsidRDefault="00312042" w:rsidP="009A58EE">
            <w:pPr>
              <w:pStyle w:val="Normal-pool-Table"/>
              <w:rPr>
                <w:szCs w:val="18"/>
              </w:rPr>
            </w:pPr>
            <w:r w:rsidRPr="00631C1C">
              <w:rPr>
                <w:szCs w:val="18"/>
              </w:rPr>
              <w:t>134</w:t>
            </w:r>
          </w:p>
        </w:tc>
        <w:tc>
          <w:tcPr>
            <w:tcW w:w="2573" w:type="dxa"/>
            <w:tcBorders>
              <w:top w:val="nil"/>
              <w:left w:val="nil"/>
              <w:bottom w:val="single" w:sz="4" w:space="0" w:color="auto"/>
              <w:right w:val="single" w:sz="4" w:space="0" w:color="auto"/>
            </w:tcBorders>
            <w:noWrap/>
            <w:hideMark/>
          </w:tcPr>
          <w:p w14:paraId="226BEE85" w14:textId="77777777" w:rsidR="00312042" w:rsidRPr="00631C1C" w:rsidRDefault="00312042" w:rsidP="009A58EE">
            <w:pPr>
              <w:pStyle w:val="Normal-pool-Table"/>
              <w:rPr>
                <w:szCs w:val="18"/>
              </w:rPr>
            </w:pPr>
            <w:r w:rsidRPr="00631C1C">
              <w:rPr>
                <w:szCs w:val="18"/>
              </w:rPr>
              <w:t>Finland</w:t>
            </w:r>
          </w:p>
        </w:tc>
        <w:tc>
          <w:tcPr>
            <w:tcW w:w="1400" w:type="dxa"/>
            <w:tcBorders>
              <w:top w:val="nil"/>
              <w:left w:val="nil"/>
              <w:bottom w:val="single" w:sz="4" w:space="0" w:color="auto"/>
              <w:right w:val="single" w:sz="4" w:space="0" w:color="auto"/>
            </w:tcBorders>
            <w:noWrap/>
            <w:hideMark/>
          </w:tcPr>
          <w:p w14:paraId="21AA310C" w14:textId="74A5238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386</w:t>
            </w:r>
          </w:p>
        </w:tc>
        <w:tc>
          <w:tcPr>
            <w:tcW w:w="1073" w:type="dxa"/>
            <w:tcBorders>
              <w:top w:val="nil"/>
              <w:left w:val="nil"/>
              <w:bottom w:val="single" w:sz="4" w:space="0" w:color="auto"/>
              <w:right w:val="single" w:sz="4" w:space="0" w:color="auto"/>
            </w:tcBorders>
            <w:noWrap/>
            <w:hideMark/>
          </w:tcPr>
          <w:p w14:paraId="19284CD6" w14:textId="7E515D0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3896</w:t>
            </w:r>
          </w:p>
        </w:tc>
        <w:tc>
          <w:tcPr>
            <w:tcW w:w="1293" w:type="dxa"/>
            <w:tcBorders>
              <w:top w:val="nil"/>
              <w:left w:val="nil"/>
              <w:bottom w:val="single" w:sz="4" w:space="0" w:color="auto"/>
              <w:right w:val="single" w:sz="4" w:space="0" w:color="auto"/>
            </w:tcBorders>
            <w:noWrap/>
            <w:hideMark/>
          </w:tcPr>
          <w:p w14:paraId="3A187F6A" w14:textId="77777777" w:rsidR="00312042" w:rsidRPr="00631C1C" w:rsidRDefault="00312042" w:rsidP="009A58EE">
            <w:pPr>
              <w:pStyle w:val="Normal-pool-Table"/>
              <w:jc w:val="right"/>
              <w:rPr>
                <w:szCs w:val="18"/>
              </w:rPr>
            </w:pPr>
            <w:r w:rsidRPr="00631C1C">
              <w:rPr>
                <w:szCs w:val="18"/>
              </w:rPr>
              <w:t>12 013</w:t>
            </w:r>
          </w:p>
        </w:tc>
        <w:tc>
          <w:tcPr>
            <w:tcW w:w="1293" w:type="dxa"/>
            <w:tcBorders>
              <w:top w:val="nil"/>
              <w:left w:val="nil"/>
              <w:bottom w:val="single" w:sz="4" w:space="0" w:color="auto"/>
              <w:right w:val="single" w:sz="4" w:space="0" w:color="auto"/>
            </w:tcBorders>
            <w:noWrap/>
            <w:hideMark/>
          </w:tcPr>
          <w:p w14:paraId="58DCDEE5" w14:textId="77777777" w:rsidR="00312042" w:rsidRPr="00631C1C" w:rsidRDefault="00312042" w:rsidP="009A58EE">
            <w:pPr>
              <w:pStyle w:val="Normal-pool-Table"/>
              <w:jc w:val="right"/>
              <w:rPr>
                <w:szCs w:val="18"/>
              </w:rPr>
            </w:pPr>
            <w:r w:rsidRPr="00631C1C">
              <w:rPr>
                <w:szCs w:val="18"/>
              </w:rPr>
              <w:t>15 854</w:t>
            </w:r>
          </w:p>
        </w:tc>
        <w:tc>
          <w:tcPr>
            <w:tcW w:w="1313" w:type="dxa"/>
            <w:tcBorders>
              <w:top w:val="nil"/>
              <w:left w:val="nil"/>
              <w:bottom w:val="single" w:sz="4" w:space="0" w:color="auto"/>
              <w:right w:val="single" w:sz="4" w:space="0" w:color="auto"/>
            </w:tcBorders>
            <w:noWrap/>
            <w:hideMark/>
          </w:tcPr>
          <w:p w14:paraId="2C5FEBC8" w14:textId="77777777" w:rsidR="00312042" w:rsidRPr="00631C1C" w:rsidRDefault="00312042" w:rsidP="009A58EE">
            <w:pPr>
              <w:pStyle w:val="Normal-pool-Table"/>
              <w:jc w:val="right"/>
              <w:rPr>
                <w:szCs w:val="18"/>
              </w:rPr>
            </w:pPr>
            <w:r w:rsidRPr="00631C1C">
              <w:rPr>
                <w:szCs w:val="18"/>
              </w:rPr>
              <w:t>27 866</w:t>
            </w:r>
          </w:p>
        </w:tc>
      </w:tr>
      <w:tr w:rsidR="00F234CD" w:rsidRPr="00631C1C" w14:paraId="3E0CAB7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8C3F1F" w14:textId="77777777" w:rsidR="00312042" w:rsidRPr="00631C1C" w:rsidRDefault="00312042" w:rsidP="009A58EE">
            <w:pPr>
              <w:pStyle w:val="Normal-pool-Table"/>
              <w:rPr>
                <w:szCs w:val="18"/>
              </w:rPr>
            </w:pPr>
            <w:r w:rsidRPr="00631C1C">
              <w:rPr>
                <w:szCs w:val="18"/>
              </w:rPr>
              <w:t>135</w:t>
            </w:r>
          </w:p>
        </w:tc>
        <w:tc>
          <w:tcPr>
            <w:tcW w:w="2573" w:type="dxa"/>
            <w:tcBorders>
              <w:top w:val="nil"/>
              <w:left w:val="nil"/>
              <w:bottom w:val="single" w:sz="4" w:space="0" w:color="auto"/>
              <w:right w:val="single" w:sz="4" w:space="0" w:color="auto"/>
            </w:tcBorders>
            <w:noWrap/>
            <w:hideMark/>
          </w:tcPr>
          <w:p w14:paraId="525E694B" w14:textId="77777777" w:rsidR="00312042" w:rsidRPr="00631C1C" w:rsidRDefault="00312042" w:rsidP="009A58EE">
            <w:pPr>
              <w:pStyle w:val="Normal-pool-Table"/>
              <w:rPr>
                <w:szCs w:val="18"/>
              </w:rPr>
            </w:pPr>
            <w:r w:rsidRPr="00631C1C">
              <w:rPr>
                <w:szCs w:val="18"/>
              </w:rPr>
              <w:t>France</w:t>
            </w:r>
          </w:p>
        </w:tc>
        <w:tc>
          <w:tcPr>
            <w:tcW w:w="1400" w:type="dxa"/>
            <w:tcBorders>
              <w:top w:val="nil"/>
              <w:left w:val="nil"/>
              <w:bottom w:val="single" w:sz="4" w:space="0" w:color="auto"/>
              <w:right w:val="single" w:sz="4" w:space="0" w:color="auto"/>
            </w:tcBorders>
            <w:noWrap/>
            <w:hideMark/>
          </w:tcPr>
          <w:p w14:paraId="0AFA44B5" w14:textId="126A5446"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858</w:t>
            </w:r>
          </w:p>
        </w:tc>
        <w:tc>
          <w:tcPr>
            <w:tcW w:w="1073" w:type="dxa"/>
            <w:tcBorders>
              <w:top w:val="nil"/>
              <w:left w:val="nil"/>
              <w:bottom w:val="single" w:sz="4" w:space="0" w:color="auto"/>
              <w:right w:val="single" w:sz="4" w:space="0" w:color="auto"/>
            </w:tcBorders>
            <w:noWrap/>
            <w:hideMark/>
          </w:tcPr>
          <w:p w14:paraId="3E2A7ACB" w14:textId="142FB19D"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8939</w:t>
            </w:r>
          </w:p>
        </w:tc>
        <w:tc>
          <w:tcPr>
            <w:tcW w:w="1293" w:type="dxa"/>
            <w:tcBorders>
              <w:top w:val="nil"/>
              <w:left w:val="nil"/>
              <w:bottom w:val="single" w:sz="4" w:space="0" w:color="auto"/>
              <w:right w:val="single" w:sz="4" w:space="0" w:color="auto"/>
            </w:tcBorders>
            <w:noWrap/>
            <w:hideMark/>
          </w:tcPr>
          <w:p w14:paraId="7EB58992" w14:textId="77777777" w:rsidR="00312042" w:rsidRPr="00631C1C" w:rsidRDefault="00312042" w:rsidP="009A58EE">
            <w:pPr>
              <w:pStyle w:val="Normal-pool-Table"/>
              <w:jc w:val="right"/>
              <w:rPr>
                <w:szCs w:val="18"/>
              </w:rPr>
            </w:pPr>
            <w:r w:rsidRPr="00631C1C">
              <w:rPr>
                <w:szCs w:val="18"/>
              </w:rPr>
              <w:t>120 063</w:t>
            </w:r>
          </w:p>
        </w:tc>
        <w:tc>
          <w:tcPr>
            <w:tcW w:w="1293" w:type="dxa"/>
            <w:tcBorders>
              <w:top w:val="nil"/>
              <w:left w:val="nil"/>
              <w:bottom w:val="single" w:sz="4" w:space="0" w:color="auto"/>
              <w:right w:val="single" w:sz="4" w:space="0" w:color="auto"/>
            </w:tcBorders>
            <w:noWrap/>
            <w:hideMark/>
          </w:tcPr>
          <w:p w14:paraId="156B9F5A" w14:textId="77777777" w:rsidR="00312042" w:rsidRPr="00631C1C" w:rsidRDefault="00312042" w:rsidP="009A58EE">
            <w:pPr>
              <w:pStyle w:val="Normal-pool-Table"/>
              <w:jc w:val="right"/>
              <w:rPr>
                <w:szCs w:val="18"/>
              </w:rPr>
            </w:pPr>
            <w:r w:rsidRPr="00631C1C">
              <w:rPr>
                <w:szCs w:val="18"/>
              </w:rPr>
              <w:t>158 454</w:t>
            </w:r>
          </w:p>
        </w:tc>
        <w:tc>
          <w:tcPr>
            <w:tcW w:w="1313" w:type="dxa"/>
            <w:tcBorders>
              <w:top w:val="nil"/>
              <w:left w:val="nil"/>
              <w:bottom w:val="single" w:sz="4" w:space="0" w:color="auto"/>
              <w:right w:val="single" w:sz="4" w:space="0" w:color="auto"/>
            </w:tcBorders>
            <w:noWrap/>
            <w:hideMark/>
          </w:tcPr>
          <w:p w14:paraId="5CCCF62B" w14:textId="77777777" w:rsidR="00312042" w:rsidRPr="00631C1C" w:rsidRDefault="00312042" w:rsidP="009A58EE">
            <w:pPr>
              <w:pStyle w:val="Normal-pool-Table"/>
              <w:jc w:val="right"/>
              <w:rPr>
                <w:szCs w:val="18"/>
              </w:rPr>
            </w:pPr>
            <w:r w:rsidRPr="00631C1C">
              <w:rPr>
                <w:szCs w:val="18"/>
              </w:rPr>
              <w:t>278 517</w:t>
            </w:r>
          </w:p>
        </w:tc>
      </w:tr>
      <w:tr w:rsidR="00F234CD" w:rsidRPr="00631C1C" w14:paraId="6F67C4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B820D" w14:textId="77777777" w:rsidR="00312042" w:rsidRPr="00631C1C" w:rsidRDefault="00312042" w:rsidP="009A58EE">
            <w:pPr>
              <w:pStyle w:val="Normal-pool-Table"/>
              <w:rPr>
                <w:szCs w:val="18"/>
              </w:rPr>
            </w:pPr>
            <w:r w:rsidRPr="00631C1C">
              <w:rPr>
                <w:szCs w:val="18"/>
              </w:rPr>
              <w:t>136</w:t>
            </w:r>
          </w:p>
        </w:tc>
        <w:tc>
          <w:tcPr>
            <w:tcW w:w="2573" w:type="dxa"/>
            <w:tcBorders>
              <w:top w:val="nil"/>
              <w:left w:val="nil"/>
              <w:bottom w:val="single" w:sz="4" w:space="0" w:color="auto"/>
              <w:right w:val="single" w:sz="4" w:space="0" w:color="auto"/>
            </w:tcBorders>
            <w:noWrap/>
            <w:hideMark/>
          </w:tcPr>
          <w:p w14:paraId="4558E392" w14:textId="77777777" w:rsidR="00312042" w:rsidRPr="00631C1C" w:rsidRDefault="00312042" w:rsidP="009A58EE">
            <w:pPr>
              <w:pStyle w:val="Normal-pool-Table"/>
              <w:rPr>
                <w:szCs w:val="18"/>
              </w:rPr>
            </w:pPr>
            <w:r w:rsidRPr="00631C1C">
              <w:rPr>
                <w:szCs w:val="18"/>
              </w:rPr>
              <w:t>Germany</w:t>
            </w:r>
          </w:p>
        </w:tc>
        <w:tc>
          <w:tcPr>
            <w:tcW w:w="1400" w:type="dxa"/>
            <w:tcBorders>
              <w:top w:val="nil"/>
              <w:left w:val="nil"/>
              <w:bottom w:val="single" w:sz="4" w:space="0" w:color="auto"/>
              <w:right w:val="single" w:sz="4" w:space="0" w:color="auto"/>
            </w:tcBorders>
            <w:noWrap/>
            <w:hideMark/>
          </w:tcPr>
          <w:p w14:paraId="7E1F3060" w14:textId="04BD7FA6" w:rsidR="00312042" w:rsidRPr="00631C1C" w:rsidRDefault="00312042" w:rsidP="009A58EE">
            <w:pPr>
              <w:pStyle w:val="Normal-pool-Table"/>
              <w:jc w:val="right"/>
              <w:rPr>
                <w:szCs w:val="18"/>
              </w:rPr>
            </w:pPr>
            <w:r w:rsidRPr="00631C1C">
              <w:rPr>
                <w:szCs w:val="18"/>
              </w:rPr>
              <w:t>5</w:t>
            </w:r>
            <w:r w:rsidR="005D12FE">
              <w:rPr>
                <w:szCs w:val="18"/>
              </w:rPr>
              <w:t>.</w:t>
            </w:r>
            <w:r w:rsidRPr="00631C1C">
              <w:rPr>
                <w:szCs w:val="18"/>
              </w:rPr>
              <w:t>692</w:t>
            </w:r>
          </w:p>
        </w:tc>
        <w:tc>
          <w:tcPr>
            <w:tcW w:w="1073" w:type="dxa"/>
            <w:tcBorders>
              <w:top w:val="nil"/>
              <w:left w:val="nil"/>
              <w:bottom w:val="single" w:sz="4" w:space="0" w:color="auto"/>
              <w:right w:val="single" w:sz="4" w:space="0" w:color="auto"/>
            </w:tcBorders>
            <w:noWrap/>
            <w:hideMark/>
          </w:tcPr>
          <w:p w14:paraId="0D8FD900" w14:textId="74D6ABD7" w:rsidR="00312042" w:rsidRPr="00631C1C" w:rsidRDefault="00312042" w:rsidP="009A58EE">
            <w:pPr>
              <w:pStyle w:val="Normal-pool-Table"/>
              <w:jc w:val="right"/>
              <w:rPr>
                <w:szCs w:val="18"/>
              </w:rPr>
            </w:pPr>
            <w:r w:rsidRPr="00631C1C">
              <w:rPr>
                <w:szCs w:val="18"/>
              </w:rPr>
              <w:t>5</w:t>
            </w:r>
            <w:r w:rsidR="005D12FE">
              <w:rPr>
                <w:szCs w:val="18"/>
              </w:rPr>
              <w:t>.</w:t>
            </w:r>
            <w:r w:rsidRPr="00631C1C">
              <w:rPr>
                <w:szCs w:val="18"/>
              </w:rPr>
              <w:t>7450</w:t>
            </w:r>
          </w:p>
        </w:tc>
        <w:tc>
          <w:tcPr>
            <w:tcW w:w="1293" w:type="dxa"/>
            <w:tcBorders>
              <w:top w:val="nil"/>
              <w:left w:val="nil"/>
              <w:bottom w:val="single" w:sz="4" w:space="0" w:color="auto"/>
              <w:right w:val="single" w:sz="4" w:space="0" w:color="auto"/>
            </w:tcBorders>
            <w:noWrap/>
            <w:hideMark/>
          </w:tcPr>
          <w:p w14:paraId="62848DDE" w14:textId="77777777" w:rsidR="00312042" w:rsidRPr="00631C1C" w:rsidRDefault="00312042" w:rsidP="009A58EE">
            <w:pPr>
              <w:pStyle w:val="Normal-pool-Table"/>
              <w:jc w:val="right"/>
              <w:rPr>
                <w:szCs w:val="18"/>
              </w:rPr>
            </w:pPr>
            <w:r w:rsidRPr="00631C1C">
              <w:rPr>
                <w:szCs w:val="18"/>
              </w:rPr>
              <w:t>177 138</w:t>
            </w:r>
          </w:p>
        </w:tc>
        <w:tc>
          <w:tcPr>
            <w:tcW w:w="1293" w:type="dxa"/>
            <w:tcBorders>
              <w:top w:val="nil"/>
              <w:left w:val="nil"/>
              <w:bottom w:val="single" w:sz="4" w:space="0" w:color="auto"/>
              <w:right w:val="single" w:sz="4" w:space="0" w:color="auto"/>
            </w:tcBorders>
            <w:noWrap/>
            <w:hideMark/>
          </w:tcPr>
          <w:p w14:paraId="124378AF" w14:textId="77777777" w:rsidR="00312042" w:rsidRPr="00631C1C" w:rsidRDefault="00312042" w:rsidP="009A58EE">
            <w:pPr>
              <w:pStyle w:val="Normal-pool-Table"/>
              <w:jc w:val="right"/>
              <w:rPr>
                <w:szCs w:val="18"/>
              </w:rPr>
            </w:pPr>
            <w:r w:rsidRPr="00631C1C">
              <w:rPr>
                <w:szCs w:val="18"/>
              </w:rPr>
              <w:t>233 779</w:t>
            </w:r>
          </w:p>
        </w:tc>
        <w:tc>
          <w:tcPr>
            <w:tcW w:w="1313" w:type="dxa"/>
            <w:tcBorders>
              <w:top w:val="nil"/>
              <w:left w:val="nil"/>
              <w:bottom w:val="single" w:sz="4" w:space="0" w:color="auto"/>
              <w:right w:val="single" w:sz="4" w:space="0" w:color="auto"/>
            </w:tcBorders>
            <w:noWrap/>
            <w:hideMark/>
          </w:tcPr>
          <w:p w14:paraId="41798ECA" w14:textId="77777777" w:rsidR="00312042" w:rsidRPr="00631C1C" w:rsidRDefault="00312042" w:rsidP="009A58EE">
            <w:pPr>
              <w:pStyle w:val="Normal-pool-Table"/>
              <w:jc w:val="right"/>
              <w:rPr>
                <w:szCs w:val="18"/>
              </w:rPr>
            </w:pPr>
            <w:r w:rsidRPr="00631C1C">
              <w:rPr>
                <w:szCs w:val="18"/>
              </w:rPr>
              <w:t>410 917</w:t>
            </w:r>
          </w:p>
        </w:tc>
      </w:tr>
      <w:tr w:rsidR="00F234CD" w:rsidRPr="00631C1C" w14:paraId="337CB4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AED62DD" w14:textId="77777777" w:rsidR="00312042" w:rsidRPr="00631C1C" w:rsidRDefault="00312042" w:rsidP="009A58EE">
            <w:pPr>
              <w:pStyle w:val="Normal-pool-Table"/>
              <w:rPr>
                <w:szCs w:val="18"/>
              </w:rPr>
            </w:pPr>
            <w:r w:rsidRPr="00631C1C">
              <w:rPr>
                <w:szCs w:val="18"/>
              </w:rPr>
              <w:t>137</w:t>
            </w:r>
          </w:p>
        </w:tc>
        <w:tc>
          <w:tcPr>
            <w:tcW w:w="2573" w:type="dxa"/>
            <w:tcBorders>
              <w:top w:val="nil"/>
              <w:left w:val="nil"/>
              <w:bottom w:val="single" w:sz="4" w:space="0" w:color="auto"/>
              <w:right w:val="single" w:sz="4" w:space="0" w:color="auto"/>
            </w:tcBorders>
            <w:noWrap/>
            <w:hideMark/>
          </w:tcPr>
          <w:p w14:paraId="7FF6B749" w14:textId="77777777" w:rsidR="00312042" w:rsidRPr="00631C1C" w:rsidRDefault="00312042" w:rsidP="009A58EE">
            <w:pPr>
              <w:pStyle w:val="Normal-pool-Table"/>
              <w:rPr>
                <w:szCs w:val="18"/>
              </w:rPr>
            </w:pPr>
            <w:r w:rsidRPr="00631C1C">
              <w:rPr>
                <w:szCs w:val="18"/>
              </w:rPr>
              <w:t>Greece</w:t>
            </w:r>
          </w:p>
        </w:tc>
        <w:tc>
          <w:tcPr>
            <w:tcW w:w="1400" w:type="dxa"/>
            <w:tcBorders>
              <w:top w:val="nil"/>
              <w:left w:val="nil"/>
              <w:bottom w:val="single" w:sz="4" w:space="0" w:color="auto"/>
              <w:right w:val="single" w:sz="4" w:space="0" w:color="auto"/>
            </w:tcBorders>
            <w:noWrap/>
            <w:hideMark/>
          </w:tcPr>
          <w:p w14:paraId="36E2673A" w14:textId="6A8B3B3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28</w:t>
            </w:r>
          </w:p>
        </w:tc>
        <w:tc>
          <w:tcPr>
            <w:tcW w:w="1073" w:type="dxa"/>
            <w:tcBorders>
              <w:top w:val="nil"/>
              <w:left w:val="nil"/>
              <w:bottom w:val="single" w:sz="4" w:space="0" w:color="auto"/>
              <w:right w:val="single" w:sz="4" w:space="0" w:color="auto"/>
            </w:tcBorders>
            <w:noWrap/>
            <w:hideMark/>
          </w:tcPr>
          <w:p w14:paraId="269EF1B7" w14:textId="7A6B53D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2826</w:t>
            </w:r>
          </w:p>
        </w:tc>
        <w:tc>
          <w:tcPr>
            <w:tcW w:w="1293" w:type="dxa"/>
            <w:tcBorders>
              <w:top w:val="nil"/>
              <w:left w:val="nil"/>
              <w:bottom w:val="single" w:sz="4" w:space="0" w:color="auto"/>
              <w:right w:val="single" w:sz="4" w:space="0" w:color="auto"/>
            </w:tcBorders>
            <w:noWrap/>
            <w:hideMark/>
          </w:tcPr>
          <w:p w14:paraId="3AABC48F" w14:textId="77777777" w:rsidR="00312042" w:rsidRPr="00631C1C" w:rsidRDefault="00312042" w:rsidP="009A58EE">
            <w:pPr>
              <w:pStyle w:val="Normal-pool-Table"/>
              <w:jc w:val="right"/>
              <w:rPr>
                <w:szCs w:val="18"/>
              </w:rPr>
            </w:pPr>
            <w:r w:rsidRPr="00631C1C">
              <w:rPr>
                <w:szCs w:val="18"/>
              </w:rPr>
              <w:t>8 714</w:t>
            </w:r>
          </w:p>
        </w:tc>
        <w:tc>
          <w:tcPr>
            <w:tcW w:w="1293" w:type="dxa"/>
            <w:tcBorders>
              <w:top w:val="nil"/>
              <w:left w:val="nil"/>
              <w:bottom w:val="single" w:sz="4" w:space="0" w:color="auto"/>
              <w:right w:val="single" w:sz="4" w:space="0" w:color="auto"/>
            </w:tcBorders>
            <w:noWrap/>
            <w:hideMark/>
          </w:tcPr>
          <w:p w14:paraId="6AA07BF0" w14:textId="77777777" w:rsidR="00312042" w:rsidRPr="00631C1C" w:rsidRDefault="00312042" w:rsidP="009A58EE">
            <w:pPr>
              <w:pStyle w:val="Normal-pool-Table"/>
              <w:jc w:val="right"/>
              <w:rPr>
                <w:szCs w:val="18"/>
              </w:rPr>
            </w:pPr>
            <w:r w:rsidRPr="00631C1C">
              <w:rPr>
                <w:szCs w:val="18"/>
              </w:rPr>
              <w:t>11 500</w:t>
            </w:r>
          </w:p>
        </w:tc>
        <w:tc>
          <w:tcPr>
            <w:tcW w:w="1313" w:type="dxa"/>
            <w:tcBorders>
              <w:top w:val="nil"/>
              <w:left w:val="nil"/>
              <w:bottom w:val="single" w:sz="4" w:space="0" w:color="auto"/>
              <w:right w:val="single" w:sz="4" w:space="0" w:color="auto"/>
            </w:tcBorders>
            <w:noWrap/>
            <w:hideMark/>
          </w:tcPr>
          <w:p w14:paraId="29BF85CC" w14:textId="77777777" w:rsidR="00312042" w:rsidRPr="00631C1C" w:rsidRDefault="00312042" w:rsidP="009A58EE">
            <w:pPr>
              <w:pStyle w:val="Normal-pool-Table"/>
              <w:jc w:val="right"/>
              <w:rPr>
                <w:szCs w:val="18"/>
              </w:rPr>
            </w:pPr>
            <w:r w:rsidRPr="00631C1C">
              <w:rPr>
                <w:szCs w:val="18"/>
              </w:rPr>
              <w:t>20 214</w:t>
            </w:r>
          </w:p>
        </w:tc>
      </w:tr>
      <w:tr w:rsidR="00F234CD" w:rsidRPr="00631C1C" w14:paraId="259F90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1C16F3" w14:textId="77777777" w:rsidR="00312042" w:rsidRPr="00631C1C" w:rsidRDefault="00312042" w:rsidP="009A58EE">
            <w:pPr>
              <w:pStyle w:val="Normal-pool-Table"/>
              <w:rPr>
                <w:szCs w:val="18"/>
              </w:rPr>
            </w:pPr>
            <w:r w:rsidRPr="00631C1C">
              <w:rPr>
                <w:szCs w:val="18"/>
              </w:rPr>
              <w:t>138</w:t>
            </w:r>
          </w:p>
        </w:tc>
        <w:tc>
          <w:tcPr>
            <w:tcW w:w="2573" w:type="dxa"/>
            <w:tcBorders>
              <w:top w:val="nil"/>
              <w:left w:val="nil"/>
              <w:bottom w:val="single" w:sz="4" w:space="0" w:color="auto"/>
              <w:right w:val="single" w:sz="4" w:space="0" w:color="auto"/>
            </w:tcBorders>
            <w:noWrap/>
            <w:hideMark/>
          </w:tcPr>
          <w:p w14:paraId="1AA9535A" w14:textId="77777777" w:rsidR="00312042" w:rsidRPr="00631C1C" w:rsidRDefault="00312042" w:rsidP="009A58EE">
            <w:pPr>
              <w:pStyle w:val="Normal-pool-Table"/>
              <w:rPr>
                <w:szCs w:val="18"/>
              </w:rPr>
            </w:pPr>
            <w:r w:rsidRPr="00631C1C">
              <w:rPr>
                <w:szCs w:val="18"/>
              </w:rPr>
              <w:t>Iceland</w:t>
            </w:r>
          </w:p>
        </w:tc>
        <w:tc>
          <w:tcPr>
            <w:tcW w:w="1400" w:type="dxa"/>
            <w:tcBorders>
              <w:top w:val="nil"/>
              <w:left w:val="nil"/>
              <w:bottom w:val="single" w:sz="4" w:space="0" w:color="auto"/>
              <w:right w:val="single" w:sz="4" w:space="0" w:color="auto"/>
            </w:tcBorders>
            <w:noWrap/>
            <w:hideMark/>
          </w:tcPr>
          <w:p w14:paraId="6CEF6CD3" w14:textId="027D4FE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w:t>
            </w:r>
          </w:p>
        </w:tc>
        <w:tc>
          <w:tcPr>
            <w:tcW w:w="1073" w:type="dxa"/>
            <w:tcBorders>
              <w:top w:val="nil"/>
              <w:left w:val="nil"/>
              <w:bottom w:val="single" w:sz="4" w:space="0" w:color="auto"/>
              <w:right w:val="single" w:sz="4" w:space="0" w:color="auto"/>
            </w:tcBorders>
            <w:noWrap/>
            <w:hideMark/>
          </w:tcPr>
          <w:p w14:paraId="382EBF48" w14:textId="1C6F2C4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0353</w:t>
            </w:r>
          </w:p>
        </w:tc>
        <w:tc>
          <w:tcPr>
            <w:tcW w:w="1293" w:type="dxa"/>
            <w:tcBorders>
              <w:top w:val="nil"/>
              <w:left w:val="nil"/>
              <w:bottom w:val="single" w:sz="4" w:space="0" w:color="auto"/>
              <w:right w:val="single" w:sz="4" w:space="0" w:color="auto"/>
            </w:tcBorders>
            <w:noWrap/>
            <w:hideMark/>
          </w:tcPr>
          <w:p w14:paraId="746D04E5" w14:textId="77777777" w:rsidR="00312042" w:rsidRPr="00631C1C" w:rsidRDefault="00312042" w:rsidP="009A58EE">
            <w:pPr>
              <w:pStyle w:val="Normal-pool-Table"/>
              <w:jc w:val="right"/>
              <w:rPr>
                <w:szCs w:val="18"/>
              </w:rPr>
            </w:pPr>
            <w:r w:rsidRPr="00631C1C">
              <w:rPr>
                <w:szCs w:val="18"/>
              </w:rPr>
              <w:t>1 089</w:t>
            </w:r>
          </w:p>
        </w:tc>
        <w:tc>
          <w:tcPr>
            <w:tcW w:w="1293" w:type="dxa"/>
            <w:tcBorders>
              <w:top w:val="nil"/>
              <w:left w:val="nil"/>
              <w:bottom w:val="single" w:sz="4" w:space="0" w:color="auto"/>
              <w:right w:val="single" w:sz="4" w:space="0" w:color="auto"/>
            </w:tcBorders>
            <w:noWrap/>
            <w:hideMark/>
          </w:tcPr>
          <w:p w14:paraId="1561B9EF" w14:textId="77777777" w:rsidR="00312042" w:rsidRPr="00631C1C" w:rsidRDefault="00312042" w:rsidP="009A58EE">
            <w:pPr>
              <w:pStyle w:val="Normal-pool-Table"/>
              <w:jc w:val="right"/>
              <w:rPr>
                <w:szCs w:val="18"/>
              </w:rPr>
            </w:pPr>
            <w:r w:rsidRPr="00631C1C">
              <w:rPr>
                <w:szCs w:val="18"/>
              </w:rPr>
              <w:t>1 438</w:t>
            </w:r>
          </w:p>
        </w:tc>
        <w:tc>
          <w:tcPr>
            <w:tcW w:w="1313" w:type="dxa"/>
            <w:tcBorders>
              <w:top w:val="nil"/>
              <w:left w:val="nil"/>
              <w:bottom w:val="single" w:sz="4" w:space="0" w:color="auto"/>
              <w:right w:val="single" w:sz="4" w:space="0" w:color="auto"/>
            </w:tcBorders>
            <w:noWrap/>
            <w:hideMark/>
          </w:tcPr>
          <w:p w14:paraId="6126B94C" w14:textId="77777777" w:rsidR="00312042" w:rsidRPr="00631C1C" w:rsidRDefault="00312042" w:rsidP="009A58EE">
            <w:pPr>
              <w:pStyle w:val="Normal-pool-Table"/>
              <w:jc w:val="right"/>
              <w:rPr>
                <w:szCs w:val="18"/>
              </w:rPr>
            </w:pPr>
            <w:r w:rsidRPr="00631C1C">
              <w:rPr>
                <w:szCs w:val="18"/>
              </w:rPr>
              <w:t>2 527</w:t>
            </w:r>
          </w:p>
        </w:tc>
      </w:tr>
      <w:tr w:rsidR="00F234CD" w:rsidRPr="00631C1C" w14:paraId="311B874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7CE354" w14:textId="77777777" w:rsidR="00312042" w:rsidRPr="00631C1C" w:rsidRDefault="00312042" w:rsidP="009A58EE">
            <w:pPr>
              <w:pStyle w:val="Normal-pool-Table"/>
              <w:rPr>
                <w:szCs w:val="18"/>
              </w:rPr>
            </w:pPr>
            <w:r w:rsidRPr="00631C1C">
              <w:rPr>
                <w:szCs w:val="18"/>
              </w:rPr>
              <w:t>139</w:t>
            </w:r>
          </w:p>
        </w:tc>
        <w:tc>
          <w:tcPr>
            <w:tcW w:w="2573" w:type="dxa"/>
            <w:tcBorders>
              <w:top w:val="nil"/>
              <w:left w:val="nil"/>
              <w:bottom w:val="single" w:sz="4" w:space="0" w:color="auto"/>
              <w:right w:val="single" w:sz="4" w:space="0" w:color="auto"/>
            </w:tcBorders>
            <w:noWrap/>
            <w:hideMark/>
          </w:tcPr>
          <w:p w14:paraId="532A021A" w14:textId="77777777" w:rsidR="00312042" w:rsidRPr="00631C1C" w:rsidRDefault="00312042" w:rsidP="009A58EE">
            <w:pPr>
              <w:pStyle w:val="Normal-pool-Table"/>
              <w:rPr>
                <w:szCs w:val="18"/>
              </w:rPr>
            </w:pPr>
            <w:r w:rsidRPr="00631C1C">
              <w:rPr>
                <w:szCs w:val="18"/>
              </w:rPr>
              <w:t>Ireland</w:t>
            </w:r>
          </w:p>
        </w:tc>
        <w:tc>
          <w:tcPr>
            <w:tcW w:w="1400" w:type="dxa"/>
            <w:tcBorders>
              <w:top w:val="nil"/>
              <w:left w:val="nil"/>
              <w:bottom w:val="single" w:sz="4" w:space="0" w:color="auto"/>
              <w:right w:val="single" w:sz="4" w:space="0" w:color="auto"/>
            </w:tcBorders>
            <w:noWrap/>
            <w:hideMark/>
          </w:tcPr>
          <w:p w14:paraId="0D9F9191" w14:textId="7001A3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472</w:t>
            </w:r>
          </w:p>
        </w:tc>
        <w:tc>
          <w:tcPr>
            <w:tcW w:w="1073" w:type="dxa"/>
            <w:tcBorders>
              <w:top w:val="nil"/>
              <w:left w:val="nil"/>
              <w:bottom w:val="single" w:sz="4" w:space="0" w:color="auto"/>
              <w:right w:val="single" w:sz="4" w:space="0" w:color="auto"/>
            </w:tcBorders>
            <w:noWrap/>
            <w:hideMark/>
          </w:tcPr>
          <w:p w14:paraId="3DA00D4A" w14:textId="09ECB60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4764</w:t>
            </w:r>
          </w:p>
        </w:tc>
        <w:tc>
          <w:tcPr>
            <w:tcW w:w="1293" w:type="dxa"/>
            <w:tcBorders>
              <w:top w:val="nil"/>
              <w:left w:val="nil"/>
              <w:bottom w:val="single" w:sz="4" w:space="0" w:color="auto"/>
              <w:right w:val="single" w:sz="4" w:space="0" w:color="auto"/>
            </w:tcBorders>
            <w:noWrap/>
            <w:hideMark/>
          </w:tcPr>
          <w:p w14:paraId="402AB0C4" w14:textId="77777777" w:rsidR="00312042" w:rsidRPr="00631C1C" w:rsidRDefault="00312042" w:rsidP="009A58EE">
            <w:pPr>
              <w:pStyle w:val="Normal-pool-Table"/>
              <w:jc w:val="right"/>
              <w:rPr>
                <w:szCs w:val="18"/>
              </w:rPr>
            </w:pPr>
            <w:r w:rsidRPr="00631C1C">
              <w:rPr>
                <w:szCs w:val="18"/>
              </w:rPr>
              <w:t>14 689</w:t>
            </w:r>
          </w:p>
        </w:tc>
        <w:tc>
          <w:tcPr>
            <w:tcW w:w="1293" w:type="dxa"/>
            <w:tcBorders>
              <w:top w:val="nil"/>
              <w:left w:val="nil"/>
              <w:bottom w:val="single" w:sz="4" w:space="0" w:color="auto"/>
              <w:right w:val="single" w:sz="4" w:space="0" w:color="auto"/>
            </w:tcBorders>
            <w:noWrap/>
            <w:hideMark/>
          </w:tcPr>
          <w:p w14:paraId="40CC23B9" w14:textId="77777777" w:rsidR="00312042" w:rsidRPr="00631C1C" w:rsidRDefault="00312042" w:rsidP="009A58EE">
            <w:pPr>
              <w:pStyle w:val="Normal-pool-Table"/>
              <w:jc w:val="right"/>
              <w:rPr>
                <w:szCs w:val="18"/>
              </w:rPr>
            </w:pPr>
            <w:r w:rsidRPr="00631C1C">
              <w:rPr>
                <w:szCs w:val="18"/>
              </w:rPr>
              <w:t>19 386</w:t>
            </w:r>
          </w:p>
        </w:tc>
        <w:tc>
          <w:tcPr>
            <w:tcW w:w="1313" w:type="dxa"/>
            <w:tcBorders>
              <w:top w:val="nil"/>
              <w:left w:val="nil"/>
              <w:bottom w:val="single" w:sz="4" w:space="0" w:color="auto"/>
              <w:right w:val="single" w:sz="4" w:space="0" w:color="auto"/>
            </w:tcBorders>
            <w:noWrap/>
            <w:hideMark/>
          </w:tcPr>
          <w:p w14:paraId="728345D9" w14:textId="77777777" w:rsidR="00312042" w:rsidRPr="00631C1C" w:rsidRDefault="00312042" w:rsidP="009A58EE">
            <w:pPr>
              <w:pStyle w:val="Normal-pool-Table"/>
              <w:jc w:val="right"/>
              <w:rPr>
                <w:szCs w:val="18"/>
              </w:rPr>
            </w:pPr>
            <w:r w:rsidRPr="00631C1C">
              <w:rPr>
                <w:szCs w:val="18"/>
              </w:rPr>
              <w:t>34 075</w:t>
            </w:r>
          </w:p>
        </w:tc>
      </w:tr>
      <w:tr w:rsidR="00F234CD" w:rsidRPr="00631C1C" w14:paraId="2DBF3B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216292" w14:textId="77777777" w:rsidR="00312042" w:rsidRPr="00631C1C" w:rsidRDefault="00312042" w:rsidP="009A58EE">
            <w:pPr>
              <w:pStyle w:val="Normal-pool-Table"/>
              <w:rPr>
                <w:szCs w:val="18"/>
              </w:rPr>
            </w:pPr>
            <w:r w:rsidRPr="00631C1C">
              <w:rPr>
                <w:szCs w:val="18"/>
              </w:rPr>
              <w:t>140</w:t>
            </w:r>
          </w:p>
        </w:tc>
        <w:tc>
          <w:tcPr>
            <w:tcW w:w="2573" w:type="dxa"/>
            <w:tcBorders>
              <w:top w:val="nil"/>
              <w:left w:val="nil"/>
              <w:bottom w:val="single" w:sz="4" w:space="0" w:color="auto"/>
              <w:right w:val="single" w:sz="4" w:space="0" w:color="auto"/>
            </w:tcBorders>
            <w:noWrap/>
            <w:hideMark/>
          </w:tcPr>
          <w:p w14:paraId="03CF423A" w14:textId="77777777" w:rsidR="00312042" w:rsidRPr="00631C1C" w:rsidRDefault="00312042" w:rsidP="009A58EE">
            <w:pPr>
              <w:pStyle w:val="Normal-pool-Table"/>
              <w:rPr>
                <w:szCs w:val="18"/>
              </w:rPr>
            </w:pPr>
            <w:r w:rsidRPr="00631C1C">
              <w:rPr>
                <w:szCs w:val="18"/>
              </w:rPr>
              <w:t>Italy</w:t>
            </w:r>
          </w:p>
        </w:tc>
        <w:tc>
          <w:tcPr>
            <w:tcW w:w="1400" w:type="dxa"/>
            <w:tcBorders>
              <w:top w:val="nil"/>
              <w:left w:val="nil"/>
              <w:bottom w:val="single" w:sz="4" w:space="0" w:color="auto"/>
              <w:right w:val="single" w:sz="4" w:space="0" w:color="auto"/>
            </w:tcBorders>
            <w:noWrap/>
            <w:hideMark/>
          </w:tcPr>
          <w:p w14:paraId="412C4D9D" w14:textId="590F5DBE"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813</w:t>
            </w:r>
          </w:p>
        </w:tc>
        <w:tc>
          <w:tcPr>
            <w:tcW w:w="1073" w:type="dxa"/>
            <w:tcBorders>
              <w:top w:val="nil"/>
              <w:left w:val="nil"/>
              <w:bottom w:val="single" w:sz="4" w:space="0" w:color="auto"/>
              <w:right w:val="single" w:sz="4" w:space="0" w:color="auto"/>
            </w:tcBorders>
            <w:noWrap/>
            <w:hideMark/>
          </w:tcPr>
          <w:p w14:paraId="5BAA4FC2" w14:textId="3D8C14E5"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8392</w:t>
            </w:r>
          </w:p>
        </w:tc>
        <w:tc>
          <w:tcPr>
            <w:tcW w:w="1293" w:type="dxa"/>
            <w:tcBorders>
              <w:top w:val="nil"/>
              <w:left w:val="nil"/>
              <w:bottom w:val="single" w:sz="4" w:space="0" w:color="auto"/>
              <w:right w:val="single" w:sz="4" w:space="0" w:color="auto"/>
            </w:tcBorders>
            <w:noWrap/>
            <w:hideMark/>
          </w:tcPr>
          <w:p w14:paraId="2FC2A982" w14:textId="77777777" w:rsidR="00312042" w:rsidRPr="00631C1C" w:rsidRDefault="00312042" w:rsidP="009A58EE">
            <w:pPr>
              <w:pStyle w:val="Normal-pool-Table"/>
              <w:jc w:val="right"/>
              <w:rPr>
                <w:szCs w:val="18"/>
              </w:rPr>
            </w:pPr>
            <w:r w:rsidRPr="00631C1C">
              <w:rPr>
                <w:szCs w:val="18"/>
              </w:rPr>
              <w:t>87 542</w:t>
            </w:r>
          </w:p>
        </w:tc>
        <w:tc>
          <w:tcPr>
            <w:tcW w:w="1293" w:type="dxa"/>
            <w:tcBorders>
              <w:top w:val="nil"/>
              <w:left w:val="nil"/>
              <w:bottom w:val="single" w:sz="4" w:space="0" w:color="auto"/>
              <w:right w:val="single" w:sz="4" w:space="0" w:color="auto"/>
            </w:tcBorders>
            <w:noWrap/>
            <w:hideMark/>
          </w:tcPr>
          <w:p w14:paraId="59EDA682" w14:textId="77777777" w:rsidR="00312042" w:rsidRPr="00631C1C" w:rsidRDefault="00312042" w:rsidP="009A58EE">
            <w:pPr>
              <w:pStyle w:val="Normal-pool-Table"/>
              <w:jc w:val="right"/>
              <w:rPr>
                <w:szCs w:val="18"/>
              </w:rPr>
            </w:pPr>
            <w:r w:rsidRPr="00631C1C">
              <w:rPr>
                <w:szCs w:val="18"/>
              </w:rPr>
              <w:t>115 534</w:t>
            </w:r>
          </w:p>
        </w:tc>
        <w:tc>
          <w:tcPr>
            <w:tcW w:w="1313" w:type="dxa"/>
            <w:tcBorders>
              <w:top w:val="nil"/>
              <w:left w:val="nil"/>
              <w:bottom w:val="single" w:sz="4" w:space="0" w:color="auto"/>
              <w:right w:val="single" w:sz="4" w:space="0" w:color="auto"/>
            </w:tcBorders>
            <w:noWrap/>
            <w:hideMark/>
          </w:tcPr>
          <w:p w14:paraId="0D19B19B" w14:textId="77777777" w:rsidR="00312042" w:rsidRPr="00631C1C" w:rsidRDefault="00312042" w:rsidP="009A58EE">
            <w:pPr>
              <w:pStyle w:val="Normal-pool-Table"/>
              <w:jc w:val="right"/>
              <w:rPr>
                <w:szCs w:val="18"/>
              </w:rPr>
            </w:pPr>
            <w:r w:rsidRPr="00631C1C">
              <w:rPr>
                <w:szCs w:val="18"/>
              </w:rPr>
              <w:t>203 076</w:t>
            </w:r>
          </w:p>
        </w:tc>
      </w:tr>
      <w:tr w:rsidR="00F234CD" w:rsidRPr="00631C1C" w14:paraId="1081004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646103" w14:textId="77777777" w:rsidR="00312042" w:rsidRPr="00631C1C" w:rsidRDefault="00312042" w:rsidP="009A58EE">
            <w:pPr>
              <w:pStyle w:val="Normal-pool-Table"/>
              <w:rPr>
                <w:szCs w:val="18"/>
              </w:rPr>
            </w:pPr>
            <w:r w:rsidRPr="00631C1C">
              <w:rPr>
                <w:szCs w:val="18"/>
              </w:rPr>
              <w:t>141</w:t>
            </w:r>
          </w:p>
        </w:tc>
        <w:tc>
          <w:tcPr>
            <w:tcW w:w="2573" w:type="dxa"/>
            <w:tcBorders>
              <w:top w:val="nil"/>
              <w:left w:val="nil"/>
              <w:bottom w:val="single" w:sz="4" w:space="0" w:color="auto"/>
              <w:right w:val="single" w:sz="4" w:space="0" w:color="auto"/>
            </w:tcBorders>
            <w:noWrap/>
            <w:hideMark/>
          </w:tcPr>
          <w:p w14:paraId="51EA7A45" w14:textId="77777777" w:rsidR="00312042" w:rsidRPr="00631C1C" w:rsidRDefault="00312042" w:rsidP="009A58EE">
            <w:pPr>
              <w:pStyle w:val="Normal-pool-Table"/>
              <w:rPr>
                <w:szCs w:val="18"/>
              </w:rPr>
            </w:pPr>
            <w:r w:rsidRPr="00631C1C">
              <w:rPr>
                <w:szCs w:val="18"/>
              </w:rPr>
              <w:t>Liechtenstein</w:t>
            </w:r>
          </w:p>
        </w:tc>
        <w:tc>
          <w:tcPr>
            <w:tcW w:w="1400" w:type="dxa"/>
            <w:tcBorders>
              <w:top w:val="nil"/>
              <w:left w:val="nil"/>
              <w:bottom w:val="single" w:sz="4" w:space="0" w:color="auto"/>
              <w:right w:val="single" w:sz="4" w:space="0" w:color="auto"/>
            </w:tcBorders>
            <w:noWrap/>
            <w:hideMark/>
          </w:tcPr>
          <w:p w14:paraId="2B617C2A" w14:textId="420A6AF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009</w:t>
            </w:r>
          </w:p>
        </w:tc>
        <w:tc>
          <w:tcPr>
            <w:tcW w:w="1073" w:type="dxa"/>
            <w:tcBorders>
              <w:top w:val="nil"/>
              <w:left w:val="nil"/>
              <w:bottom w:val="single" w:sz="4" w:space="0" w:color="auto"/>
              <w:right w:val="single" w:sz="4" w:space="0" w:color="auto"/>
            </w:tcBorders>
            <w:noWrap/>
            <w:hideMark/>
          </w:tcPr>
          <w:p w14:paraId="55E51B97" w14:textId="24B71E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16062D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9BDD7E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30FCEE6" w14:textId="77777777" w:rsidR="00312042" w:rsidRPr="00631C1C" w:rsidRDefault="00312042" w:rsidP="009A58EE">
            <w:pPr>
              <w:pStyle w:val="Normal-pool-Table"/>
              <w:jc w:val="right"/>
              <w:rPr>
                <w:szCs w:val="18"/>
              </w:rPr>
            </w:pPr>
            <w:r w:rsidRPr="00631C1C">
              <w:rPr>
                <w:szCs w:val="18"/>
              </w:rPr>
              <w:t>715</w:t>
            </w:r>
          </w:p>
        </w:tc>
      </w:tr>
      <w:tr w:rsidR="00F234CD" w:rsidRPr="00631C1C" w14:paraId="22149F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F4A2E0" w14:textId="77777777" w:rsidR="00312042" w:rsidRPr="00631C1C" w:rsidRDefault="00312042" w:rsidP="009A58EE">
            <w:pPr>
              <w:pStyle w:val="Normal-pool-Table"/>
              <w:rPr>
                <w:szCs w:val="18"/>
              </w:rPr>
            </w:pPr>
            <w:r w:rsidRPr="00631C1C">
              <w:rPr>
                <w:szCs w:val="18"/>
              </w:rPr>
              <w:t>142</w:t>
            </w:r>
          </w:p>
        </w:tc>
        <w:tc>
          <w:tcPr>
            <w:tcW w:w="2573" w:type="dxa"/>
            <w:tcBorders>
              <w:top w:val="nil"/>
              <w:left w:val="nil"/>
              <w:bottom w:val="single" w:sz="4" w:space="0" w:color="auto"/>
              <w:right w:val="single" w:sz="4" w:space="0" w:color="auto"/>
            </w:tcBorders>
            <w:noWrap/>
            <w:hideMark/>
          </w:tcPr>
          <w:p w14:paraId="27193841" w14:textId="77777777" w:rsidR="00312042" w:rsidRPr="00631C1C" w:rsidRDefault="00312042" w:rsidP="009A58EE">
            <w:pPr>
              <w:pStyle w:val="Normal-pool-Table"/>
              <w:rPr>
                <w:szCs w:val="18"/>
              </w:rPr>
            </w:pPr>
            <w:r w:rsidRPr="00631C1C">
              <w:rPr>
                <w:szCs w:val="18"/>
              </w:rPr>
              <w:t>Luxembourg</w:t>
            </w:r>
          </w:p>
        </w:tc>
        <w:tc>
          <w:tcPr>
            <w:tcW w:w="1400" w:type="dxa"/>
            <w:tcBorders>
              <w:top w:val="nil"/>
              <w:left w:val="nil"/>
              <w:bottom w:val="single" w:sz="4" w:space="0" w:color="auto"/>
              <w:right w:val="single" w:sz="4" w:space="0" w:color="auto"/>
            </w:tcBorders>
            <w:noWrap/>
            <w:hideMark/>
          </w:tcPr>
          <w:p w14:paraId="0D8FD707" w14:textId="201C4C1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073</w:t>
            </w:r>
          </w:p>
        </w:tc>
        <w:tc>
          <w:tcPr>
            <w:tcW w:w="1073" w:type="dxa"/>
            <w:tcBorders>
              <w:top w:val="nil"/>
              <w:left w:val="nil"/>
              <w:bottom w:val="single" w:sz="4" w:space="0" w:color="auto"/>
              <w:right w:val="single" w:sz="4" w:space="0" w:color="auto"/>
            </w:tcBorders>
            <w:noWrap/>
            <w:hideMark/>
          </w:tcPr>
          <w:p w14:paraId="6238F0F9" w14:textId="789EBBC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0737</w:t>
            </w:r>
          </w:p>
        </w:tc>
        <w:tc>
          <w:tcPr>
            <w:tcW w:w="1293" w:type="dxa"/>
            <w:tcBorders>
              <w:top w:val="nil"/>
              <w:left w:val="nil"/>
              <w:bottom w:val="single" w:sz="4" w:space="0" w:color="auto"/>
              <w:right w:val="single" w:sz="4" w:space="0" w:color="auto"/>
            </w:tcBorders>
            <w:noWrap/>
            <w:hideMark/>
          </w:tcPr>
          <w:p w14:paraId="3D815A99" w14:textId="77777777" w:rsidR="00312042" w:rsidRPr="00631C1C" w:rsidRDefault="00312042" w:rsidP="009A58EE">
            <w:pPr>
              <w:pStyle w:val="Normal-pool-Table"/>
              <w:jc w:val="right"/>
              <w:rPr>
                <w:szCs w:val="18"/>
              </w:rPr>
            </w:pPr>
            <w:r w:rsidRPr="00631C1C">
              <w:rPr>
                <w:szCs w:val="18"/>
              </w:rPr>
              <w:t>2 272</w:t>
            </w:r>
          </w:p>
        </w:tc>
        <w:tc>
          <w:tcPr>
            <w:tcW w:w="1293" w:type="dxa"/>
            <w:tcBorders>
              <w:top w:val="nil"/>
              <w:left w:val="nil"/>
              <w:bottom w:val="single" w:sz="4" w:space="0" w:color="auto"/>
              <w:right w:val="single" w:sz="4" w:space="0" w:color="auto"/>
            </w:tcBorders>
            <w:noWrap/>
            <w:hideMark/>
          </w:tcPr>
          <w:p w14:paraId="267D66C4" w14:textId="77777777" w:rsidR="00312042" w:rsidRPr="00631C1C" w:rsidRDefault="00312042" w:rsidP="009A58EE">
            <w:pPr>
              <w:pStyle w:val="Normal-pool-Table"/>
              <w:jc w:val="right"/>
              <w:rPr>
                <w:szCs w:val="18"/>
              </w:rPr>
            </w:pPr>
            <w:r w:rsidRPr="00631C1C">
              <w:rPr>
                <w:szCs w:val="18"/>
              </w:rPr>
              <w:t>2 998</w:t>
            </w:r>
          </w:p>
        </w:tc>
        <w:tc>
          <w:tcPr>
            <w:tcW w:w="1313" w:type="dxa"/>
            <w:tcBorders>
              <w:top w:val="nil"/>
              <w:left w:val="nil"/>
              <w:bottom w:val="single" w:sz="4" w:space="0" w:color="auto"/>
              <w:right w:val="single" w:sz="4" w:space="0" w:color="auto"/>
            </w:tcBorders>
            <w:noWrap/>
            <w:hideMark/>
          </w:tcPr>
          <w:p w14:paraId="33DC361C" w14:textId="77777777" w:rsidR="00312042" w:rsidRPr="00631C1C" w:rsidRDefault="00312042" w:rsidP="009A58EE">
            <w:pPr>
              <w:pStyle w:val="Normal-pool-Table"/>
              <w:jc w:val="right"/>
              <w:rPr>
                <w:szCs w:val="18"/>
              </w:rPr>
            </w:pPr>
            <w:r w:rsidRPr="00631C1C">
              <w:rPr>
                <w:szCs w:val="18"/>
              </w:rPr>
              <w:t>5 270</w:t>
            </w:r>
          </w:p>
        </w:tc>
      </w:tr>
      <w:tr w:rsidR="00F234CD" w:rsidRPr="00631C1C" w14:paraId="6B8A099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46F839" w14:textId="77777777" w:rsidR="00312042" w:rsidRPr="00631C1C" w:rsidRDefault="00312042" w:rsidP="009A58EE">
            <w:pPr>
              <w:pStyle w:val="Normal-pool-Table"/>
              <w:rPr>
                <w:szCs w:val="18"/>
              </w:rPr>
            </w:pPr>
            <w:r w:rsidRPr="00631C1C">
              <w:rPr>
                <w:szCs w:val="18"/>
              </w:rPr>
              <w:t>143</w:t>
            </w:r>
          </w:p>
        </w:tc>
        <w:tc>
          <w:tcPr>
            <w:tcW w:w="2573" w:type="dxa"/>
            <w:tcBorders>
              <w:top w:val="nil"/>
              <w:left w:val="nil"/>
              <w:bottom w:val="single" w:sz="4" w:space="0" w:color="auto"/>
              <w:right w:val="single" w:sz="4" w:space="0" w:color="auto"/>
            </w:tcBorders>
            <w:noWrap/>
            <w:hideMark/>
          </w:tcPr>
          <w:p w14:paraId="19AD68FE" w14:textId="77777777" w:rsidR="00312042" w:rsidRPr="00631C1C" w:rsidRDefault="00312042" w:rsidP="009A58EE">
            <w:pPr>
              <w:pStyle w:val="Normal-pool-Table"/>
              <w:rPr>
                <w:szCs w:val="18"/>
              </w:rPr>
            </w:pPr>
            <w:r w:rsidRPr="00631C1C">
              <w:rPr>
                <w:szCs w:val="18"/>
              </w:rPr>
              <w:t>Malta</w:t>
            </w:r>
          </w:p>
        </w:tc>
        <w:tc>
          <w:tcPr>
            <w:tcW w:w="1400" w:type="dxa"/>
            <w:tcBorders>
              <w:top w:val="nil"/>
              <w:left w:val="nil"/>
              <w:bottom w:val="single" w:sz="4" w:space="0" w:color="auto"/>
              <w:right w:val="single" w:sz="4" w:space="0" w:color="auto"/>
            </w:tcBorders>
            <w:noWrap/>
            <w:hideMark/>
          </w:tcPr>
          <w:p w14:paraId="2CA19A49" w14:textId="7C97BE4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w:t>
            </w:r>
          </w:p>
        </w:tc>
        <w:tc>
          <w:tcPr>
            <w:tcW w:w="1073" w:type="dxa"/>
            <w:tcBorders>
              <w:top w:val="nil"/>
              <w:left w:val="nil"/>
              <w:bottom w:val="single" w:sz="4" w:space="0" w:color="auto"/>
              <w:right w:val="single" w:sz="4" w:space="0" w:color="auto"/>
            </w:tcBorders>
            <w:noWrap/>
            <w:hideMark/>
          </w:tcPr>
          <w:p w14:paraId="4EA8BD55" w14:textId="646C828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0202</w:t>
            </w:r>
          </w:p>
        </w:tc>
        <w:tc>
          <w:tcPr>
            <w:tcW w:w="1293" w:type="dxa"/>
            <w:tcBorders>
              <w:top w:val="nil"/>
              <w:left w:val="nil"/>
              <w:bottom w:val="single" w:sz="4" w:space="0" w:color="auto"/>
              <w:right w:val="single" w:sz="4" w:space="0" w:color="auto"/>
            </w:tcBorders>
            <w:noWrap/>
            <w:hideMark/>
          </w:tcPr>
          <w:p w14:paraId="3A74456A" w14:textId="77777777" w:rsidR="00312042" w:rsidRPr="00631C1C" w:rsidRDefault="00312042" w:rsidP="009A58EE">
            <w:pPr>
              <w:pStyle w:val="Normal-pool-Table"/>
              <w:jc w:val="right"/>
              <w:rPr>
                <w:szCs w:val="18"/>
              </w:rPr>
            </w:pPr>
            <w:r w:rsidRPr="00631C1C">
              <w:rPr>
                <w:szCs w:val="18"/>
              </w:rPr>
              <w:t>622</w:t>
            </w:r>
          </w:p>
        </w:tc>
        <w:tc>
          <w:tcPr>
            <w:tcW w:w="1293" w:type="dxa"/>
            <w:tcBorders>
              <w:top w:val="nil"/>
              <w:left w:val="nil"/>
              <w:bottom w:val="single" w:sz="4" w:space="0" w:color="auto"/>
              <w:right w:val="single" w:sz="4" w:space="0" w:color="auto"/>
            </w:tcBorders>
            <w:noWrap/>
            <w:hideMark/>
          </w:tcPr>
          <w:p w14:paraId="1997BDB1" w14:textId="77777777" w:rsidR="00312042" w:rsidRPr="00631C1C" w:rsidRDefault="00312042" w:rsidP="009A58EE">
            <w:pPr>
              <w:pStyle w:val="Normal-pool-Table"/>
              <w:jc w:val="right"/>
              <w:rPr>
                <w:szCs w:val="18"/>
              </w:rPr>
            </w:pPr>
            <w:r w:rsidRPr="00631C1C">
              <w:rPr>
                <w:szCs w:val="18"/>
              </w:rPr>
              <w:t>821</w:t>
            </w:r>
          </w:p>
        </w:tc>
        <w:tc>
          <w:tcPr>
            <w:tcW w:w="1313" w:type="dxa"/>
            <w:tcBorders>
              <w:top w:val="nil"/>
              <w:left w:val="nil"/>
              <w:bottom w:val="single" w:sz="4" w:space="0" w:color="auto"/>
              <w:right w:val="single" w:sz="4" w:space="0" w:color="auto"/>
            </w:tcBorders>
            <w:noWrap/>
            <w:hideMark/>
          </w:tcPr>
          <w:p w14:paraId="6D54DC08" w14:textId="77777777" w:rsidR="00312042" w:rsidRPr="00631C1C" w:rsidRDefault="00312042" w:rsidP="009A58EE">
            <w:pPr>
              <w:pStyle w:val="Normal-pool-Table"/>
              <w:jc w:val="right"/>
              <w:rPr>
                <w:szCs w:val="18"/>
              </w:rPr>
            </w:pPr>
            <w:r w:rsidRPr="00631C1C">
              <w:rPr>
                <w:szCs w:val="18"/>
              </w:rPr>
              <w:t>1 444</w:t>
            </w:r>
          </w:p>
        </w:tc>
      </w:tr>
      <w:tr w:rsidR="00F234CD" w:rsidRPr="00631C1C" w14:paraId="79D5F51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9F4BF6" w14:textId="77777777" w:rsidR="00312042" w:rsidRPr="00631C1C" w:rsidRDefault="00312042" w:rsidP="009A58EE">
            <w:pPr>
              <w:pStyle w:val="Normal-pool-Table"/>
              <w:rPr>
                <w:szCs w:val="18"/>
              </w:rPr>
            </w:pPr>
            <w:r w:rsidRPr="00631C1C">
              <w:rPr>
                <w:szCs w:val="18"/>
              </w:rPr>
              <w:t>144</w:t>
            </w:r>
          </w:p>
        </w:tc>
        <w:tc>
          <w:tcPr>
            <w:tcW w:w="2573" w:type="dxa"/>
            <w:tcBorders>
              <w:top w:val="nil"/>
              <w:left w:val="nil"/>
              <w:bottom w:val="single" w:sz="4" w:space="0" w:color="auto"/>
              <w:right w:val="single" w:sz="4" w:space="0" w:color="auto"/>
            </w:tcBorders>
            <w:noWrap/>
            <w:hideMark/>
          </w:tcPr>
          <w:p w14:paraId="5F31EF50" w14:textId="77777777" w:rsidR="00312042" w:rsidRPr="00631C1C" w:rsidRDefault="00312042" w:rsidP="009A58EE">
            <w:pPr>
              <w:pStyle w:val="Normal-pool-Table"/>
              <w:rPr>
                <w:szCs w:val="18"/>
              </w:rPr>
            </w:pPr>
            <w:r w:rsidRPr="00631C1C">
              <w:rPr>
                <w:szCs w:val="18"/>
              </w:rPr>
              <w:t>Monaco</w:t>
            </w:r>
          </w:p>
        </w:tc>
        <w:tc>
          <w:tcPr>
            <w:tcW w:w="1400" w:type="dxa"/>
            <w:tcBorders>
              <w:top w:val="nil"/>
              <w:left w:val="nil"/>
              <w:bottom w:val="single" w:sz="4" w:space="0" w:color="auto"/>
              <w:right w:val="single" w:sz="4" w:space="0" w:color="auto"/>
            </w:tcBorders>
            <w:noWrap/>
            <w:hideMark/>
          </w:tcPr>
          <w:p w14:paraId="19B6ACD4" w14:textId="31D8B7A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1010EF8D" w14:textId="620990F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74C29FFA"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69803D04"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7B1C4C0" w14:textId="77777777" w:rsidR="00312042" w:rsidRPr="00631C1C" w:rsidRDefault="00312042" w:rsidP="009A58EE">
            <w:pPr>
              <w:pStyle w:val="Normal-pool-Table"/>
              <w:jc w:val="right"/>
              <w:rPr>
                <w:szCs w:val="18"/>
              </w:rPr>
            </w:pPr>
            <w:r w:rsidRPr="00631C1C">
              <w:rPr>
                <w:szCs w:val="18"/>
              </w:rPr>
              <w:t>794</w:t>
            </w:r>
          </w:p>
        </w:tc>
      </w:tr>
      <w:tr w:rsidR="00F234CD" w:rsidRPr="00631C1C" w14:paraId="6BF498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27FFDF" w14:textId="77777777" w:rsidR="00312042" w:rsidRPr="00631C1C" w:rsidRDefault="00312042" w:rsidP="009A58EE">
            <w:pPr>
              <w:pStyle w:val="Normal-pool-Table"/>
              <w:rPr>
                <w:szCs w:val="18"/>
              </w:rPr>
            </w:pPr>
            <w:r w:rsidRPr="00631C1C">
              <w:rPr>
                <w:szCs w:val="18"/>
              </w:rPr>
              <w:t>145</w:t>
            </w:r>
          </w:p>
        </w:tc>
        <w:tc>
          <w:tcPr>
            <w:tcW w:w="2573" w:type="dxa"/>
            <w:tcBorders>
              <w:top w:val="nil"/>
              <w:left w:val="nil"/>
              <w:bottom w:val="single" w:sz="4" w:space="0" w:color="auto"/>
              <w:right w:val="single" w:sz="4" w:space="0" w:color="auto"/>
            </w:tcBorders>
            <w:noWrap/>
            <w:hideMark/>
          </w:tcPr>
          <w:p w14:paraId="398FCE60" w14:textId="77777777" w:rsidR="00312042" w:rsidRPr="00631C1C" w:rsidRDefault="00312042" w:rsidP="009A58EE">
            <w:pPr>
              <w:pStyle w:val="Normal-pool-Table"/>
              <w:rPr>
                <w:szCs w:val="18"/>
              </w:rPr>
            </w:pPr>
            <w:r w:rsidRPr="00631C1C">
              <w:rPr>
                <w:szCs w:val="18"/>
              </w:rPr>
              <w:t>Netherlands (Kingdom of the)</w:t>
            </w:r>
          </w:p>
        </w:tc>
        <w:tc>
          <w:tcPr>
            <w:tcW w:w="1400" w:type="dxa"/>
            <w:tcBorders>
              <w:top w:val="nil"/>
              <w:left w:val="nil"/>
              <w:bottom w:val="single" w:sz="4" w:space="0" w:color="auto"/>
              <w:right w:val="single" w:sz="4" w:space="0" w:color="auto"/>
            </w:tcBorders>
            <w:noWrap/>
            <w:hideMark/>
          </w:tcPr>
          <w:p w14:paraId="5CED13D6" w14:textId="240B9978"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298</w:t>
            </w:r>
          </w:p>
        </w:tc>
        <w:tc>
          <w:tcPr>
            <w:tcW w:w="1073" w:type="dxa"/>
            <w:tcBorders>
              <w:top w:val="nil"/>
              <w:left w:val="nil"/>
              <w:bottom w:val="single" w:sz="4" w:space="0" w:color="auto"/>
              <w:right w:val="single" w:sz="4" w:space="0" w:color="auto"/>
            </w:tcBorders>
            <w:noWrap/>
            <w:hideMark/>
          </w:tcPr>
          <w:p w14:paraId="0E1EE637" w14:textId="6C0B517B"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3101</w:t>
            </w:r>
          </w:p>
        </w:tc>
        <w:tc>
          <w:tcPr>
            <w:tcW w:w="1293" w:type="dxa"/>
            <w:tcBorders>
              <w:top w:val="nil"/>
              <w:left w:val="nil"/>
              <w:bottom w:val="single" w:sz="4" w:space="0" w:color="auto"/>
              <w:right w:val="single" w:sz="4" w:space="0" w:color="auto"/>
            </w:tcBorders>
            <w:noWrap/>
            <w:hideMark/>
          </w:tcPr>
          <w:p w14:paraId="52728DEB" w14:textId="77777777" w:rsidR="00312042" w:rsidRPr="00631C1C" w:rsidRDefault="00312042" w:rsidP="009A58EE">
            <w:pPr>
              <w:pStyle w:val="Normal-pool-Table"/>
              <w:jc w:val="right"/>
              <w:rPr>
                <w:szCs w:val="18"/>
              </w:rPr>
            </w:pPr>
            <w:r w:rsidRPr="00631C1C">
              <w:rPr>
                <w:szCs w:val="18"/>
              </w:rPr>
              <w:t>40 394</w:t>
            </w:r>
          </w:p>
        </w:tc>
        <w:tc>
          <w:tcPr>
            <w:tcW w:w="1293" w:type="dxa"/>
            <w:tcBorders>
              <w:top w:val="nil"/>
              <w:left w:val="nil"/>
              <w:bottom w:val="single" w:sz="4" w:space="0" w:color="auto"/>
              <w:right w:val="single" w:sz="4" w:space="0" w:color="auto"/>
            </w:tcBorders>
            <w:noWrap/>
            <w:hideMark/>
          </w:tcPr>
          <w:p w14:paraId="0FBB4438" w14:textId="77777777" w:rsidR="00312042" w:rsidRPr="00631C1C" w:rsidRDefault="00312042" w:rsidP="009A58EE">
            <w:pPr>
              <w:pStyle w:val="Normal-pool-Table"/>
              <w:jc w:val="right"/>
              <w:rPr>
                <w:szCs w:val="18"/>
              </w:rPr>
            </w:pPr>
            <w:r w:rsidRPr="00631C1C">
              <w:rPr>
                <w:szCs w:val="18"/>
              </w:rPr>
              <w:t>53 311</w:t>
            </w:r>
          </w:p>
        </w:tc>
        <w:tc>
          <w:tcPr>
            <w:tcW w:w="1313" w:type="dxa"/>
            <w:tcBorders>
              <w:top w:val="nil"/>
              <w:left w:val="nil"/>
              <w:bottom w:val="single" w:sz="4" w:space="0" w:color="auto"/>
              <w:right w:val="single" w:sz="4" w:space="0" w:color="auto"/>
            </w:tcBorders>
            <w:noWrap/>
            <w:hideMark/>
          </w:tcPr>
          <w:p w14:paraId="1E34D5A3" w14:textId="77777777" w:rsidR="00312042" w:rsidRPr="00631C1C" w:rsidRDefault="00312042" w:rsidP="009A58EE">
            <w:pPr>
              <w:pStyle w:val="Normal-pool-Table"/>
              <w:jc w:val="right"/>
              <w:rPr>
                <w:szCs w:val="18"/>
              </w:rPr>
            </w:pPr>
            <w:r w:rsidRPr="00631C1C">
              <w:rPr>
                <w:szCs w:val="18"/>
              </w:rPr>
              <w:t>93 705</w:t>
            </w:r>
          </w:p>
        </w:tc>
      </w:tr>
      <w:tr w:rsidR="00F234CD" w:rsidRPr="00631C1C" w14:paraId="06EE48E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178CE70" w14:textId="77777777" w:rsidR="00312042" w:rsidRPr="00631C1C" w:rsidRDefault="00312042" w:rsidP="009A58EE">
            <w:pPr>
              <w:pStyle w:val="Normal-pool-Table"/>
              <w:rPr>
                <w:szCs w:val="18"/>
              </w:rPr>
            </w:pPr>
            <w:r w:rsidRPr="00631C1C">
              <w:rPr>
                <w:szCs w:val="18"/>
              </w:rPr>
              <w:t>146</w:t>
            </w:r>
          </w:p>
        </w:tc>
        <w:tc>
          <w:tcPr>
            <w:tcW w:w="2573" w:type="dxa"/>
            <w:tcBorders>
              <w:top w:val="nil"/>
              <w:left w:val="nil"/>
              <w:bottom w:val="single" w:sz="4" w:space="0" w:color="auto"/>
              <w:right w:val="single" w:sz="4" w:space="0" w:color="auto"/>
            </w:tcBorders>
            <w:noWrap/>
            <w:hideMark/>
          </w:tcPr>
          <w:p w14:paraId="32945144" w14:textId="77777777" w:rsidR="00312042" w:rsidRPr="00631C1C" w:rsidRDefault="00312042" w:rsidP="009A58EE">
            <w:pPr>
              <w:pStyle w:val="Normal-pool-Table"/>
              <w:rPr>
                <w:szCs w:val="18"/>
              </w:rPr>
            </w:pPr>
            <w:r w:rsidRPr="00631C1C">
              <w:rPr>
                <w:szCs w:val="18"/>
              </w:rPr>
              <w:t>Norway</w:t>
            </w:r>
          </w:p>
        </w:tc>
        <w:tc>
          <w:tcPr>
            <w:tcW w:w="1400" w:type="dxa"/>
            <w:tcBorders>
              <w:top w:val="nil"/>
              <w:left w:val="nil"/>
              <w:bottom w:val="single" w:sz="4" w:space="0" w:color="auto"/>
              <w:right w:val="single" w:sz="4" w:space="0" w:color="auto"/>
            </w:tcBorders>
            <w:noWrap/>
            <w:hideMark/>
          </w:tcPr>
          <w:p w14:paraId="7EFE687A" w14:textId="0941C1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653</w:t>
            </w:r>
          </w:p>
        </w:tc>
        <w:tc>
          <w:tcPr>
            <w:tcW w:w="1073" w:type="dxa"/>
            <w:tcBorders>
              <w:top w:val="nil"/>
              <w:left w:val="nil"/>
              <w:bottom w:val="single" w:sz="4" w:space="0" w:color="auto"/>
              <w:right w:val="single" w:sz="4" w:space="0" w:color="auto"/>
            </w:tcBorders>
            <w:noWrap/>
            <w:hideMark/>
          </w:tcPr>
          <w:p w14:paraId="00FB1B2B" w14:textId="3A98538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6591</w:t>
            </w:r>
          </w:p>
        </w:tc>
        <w:tc>
          <w:tcPr>
            <w:tcW w:w="1293" w:type="dxa"/>
            <w:tcBorders>
              <w:top w:val="nil"/>
              <w:left w:val="nil"/>
              <w:bottom w:val="single" w:sz="4" w:space="0" w:color="auto"/>
              <w:right w:val="single" w:sz="4" w:space="0" w:color="auto"/>
            </w:tcBorders>
            <w:noWrap/>
            <w:hideMark/>
          </w:tcPr>
          <w:p w14:paraId="3C4DE410" w14:textId="77777777" w:rsidR="00312042" w:rsidRPr="00631C1C" w:rsidRDefault="00312042" w:rsidP="009A58EE">
            <w:pPr>
              <w:pStyle w:val="Normal-pool-Table"/>
              <w:jc w:val="right"/>
              <w:rPr>
                <w:szCs w:val="18"/>
              </w:rPr>
            </w:pPr>
            <w:r w:rsidRPr="00631C1C">
              <w:rPr>
                <w:szCs w:val="18"/>
              </w:rPr>
              <w:t>20 322</w:t>
            </w:r>
          </w:p>
        </w:tc>
        <w:tc>
          <w:tcPr>
            <w:tcW w:w="1293" w:type="dxa"/>
            <w:tcBorders>
              <w:top w:val="nil"/>
              <w:left w:val="nil"/>
              <w:bottom w:val="single" w:sz="4" w:space="0" w:color="auto"/>
              <w:right w:val="single" w:sz="4" w:space="0" w:color="auto"/>
            </w:tcBorders>
            <w:noWrap/>
            <w:hideMark/>
          </w:tcPr>
          <w:p w14:paraId="1333106F" w14:textId="77777777" w:rsidR="00312042" w:rsidRPr="00631C1C" w:rsidRDefault="00312042" w:rsidP="009A58EE">
            <w:pPr>
              <w:pStyle w:val="Normal-pool-Table"/>
              <w:jc w:val="right"/>
              <w:rPr>
                <w:szCs w:val="18"/>
              </w:rPr>
            </w:pPr>
            <w:r w:rsidRPr="00631C1C">
              <w:rPr>
                <w:szCs w:val="18"/>
              </w:rPr>
              <w:t>26 820</w:t>
            </w:r>
          </w:p>
        </w:tc>
        <w:tc>
          <w:tcPr>
            <w:tcW w:w="1313" w:type="dxa"/>
            <w:tcBorders>
              <w:top w:val="nil"/>
              <w:left w:val="nil"/>
              <w:bottom w:val="single" w:sz="4" w:space="0" w:color="auto"/>
              <w:right w:val="single" w:sz="4" w:space="0" w:color="auto"/>
            </w:tcBorders>
            <w:noWrap/>
            <w:hideMark/>
          </w:tcPr>
          <w:p w14:paraId="290A305E" w14:textId="77777777" w:rsidR="00312042" w:rsidRPr="00631C1C" w:rsidRDefault="00312042" w:rsidP="009A58EE">
            <w:pPr>
              <w:pStyle w:val="Normal-pool-Table"/>
              <w:jc w:val="right"/>
              <w:rPr>
                <w:szCs w:val="18"/>
              </w:rPr>
            </w:pPr>
            <w:r w:rsidRPr="00631C1C">
              <w:rPr>
                <w:szCs w:val="18"/>
              </w:rPr>
              <w:t>47 141</w:t>
            </w:r>
          </w:p>
        </w:tc>
      </w:tr>
      <w:tr w:rsidR="00F234CD" w:rsidRPr="00631C1C" w14:paraId="53CFC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6FE669" w14:textId="77777777" w:rsidR="00312042" w:rsidRPr="00631C1C" w:rsidRDefault="00312042" w:rsidP="009A58EE">
            <w:pPr>
              <w:pStyle w:val="Normal-pool-Table"/>
              <w:rPr>
                <w:szCs w:val="18"/>
              </w:rPr>
            </w:pPr>
            <w:r w:rsidRPr="00631C1C">
              <w:rPr>
                <w:szCs w:val="18"/>
              </w:rPr>
              <w:t>147</w:t>
            </w:r>
          </w:p>
        </w:tc>
        <w:tc>
          <w:tcPr>
            <w:tcW w:w="2573" w:type="dxa"/>
            <w:tcBorders>
              <w:top w:val="nil"/>
              <w:left w:val="nil"/>
              <w:bottom w:val="single" w:sz="4" w:space="0" w:color="auto"/>
              <w:right w:val="single" w:sz="4" w:space="0" w:color="auto"/>
            </w:tcBorders>
            <w:noWrap/>
            <w:hideMark/>
          </w:tcPr>
          <w:p w14:paraId="25E74D32" w14:textId="77777777" w:rsidR="00312042" w:rsidRPr="00631C1C" w:rsidRDefault="00312042" w:rsidP="009A58EE">
            <w:pPr>
              <w:pStyle w:val="Normal-pool-Table"/>
              <w:rPr>
                <w:szCs w:val="18"/>
              </w:rPr>
            </w:pPr>
            <w:r w:rsidRPr="00631C1C">
              <w:rPr>
                <w:szCs w:val="18"/>
              </w:rPr>
              <w:t>Portugal</w:t>
            </w:r>
          </w:p>
        </w:tc>
        <w:tc>
          <w:tcPr>
            <w:tcW w:w="1400" w:type="dxa"/>
            <w:tcBorders>
              <w:top w:val="nil"/>
              <w:left w:val="nil"/>
              <w:bottom w:val="single" w:sz="4" w:space="0" w:color="auto"/>
              <w:right w:val="single" w:sz="4" w:space="0" w:color="auto"/>
            </w:tcBorders>
            <w:noWrap/>
            <w:hideMark/>
          </w:tcPr>
          <w:p w14:paraId="3589452A" w14:textId="00C8941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328</w:t>
            </w:r>
          </w:p>
        </w:tc>
        <w:tc>
          <w:tcPr>
            <w:tcW w:w="1073" w:type="dxa"/>
            <w:tcBorders>
              <w:top w:val="nil"/>
              <w:left w:val="nil"/>
              <w:bottom w:val="single" w:sz="4" w:space="0" w:color="auto"/>
              <w:right w:val="single" w:sz="4" w:space="0" w:color="auto"/>
            </w:tcBorders>
            <w:noWrap/>
            <w:hideMark/>
          </w:tcPr>
          <w:p w14:paraId="6E2F3977" w14:textId="29E720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3311</w:t>
            </w:r>
          </w:p>
        </w:tc>
        <w:tc>
          <w:tcPr>
            <w:tcW w:w="1293" w:type="dxa"/>
            <w:tcBorders>
              <w:top w:val="nil"/>
              <w:left w:val="nil"/>
              <w:bottom w:val="single" w:sz="4" w:space="0" w:color="auto"/>
              <w:right w:val="single" w:sz="4" w:space="0" w:color="auto"/>
            </w:tcBorders>
            <w:noWrap/>
            <w:hideMark/>
          </w:tcPr>
          <w:p w14:paraId="24BC88F0" w14:textId="77777777" w:rsidR="00312042" w:rsidRPr="00631C1C" w:rsidRDefault="00312042" w:rsidP="009A58EE">
            <w:pPr>
              <w:pStyle w:val="Normal-pool-Table"/>
              <w:jc w:val="right"/>
              <w:rPr>
                <w:szCs w:val="18"/>
              </w:rPr>
            </w:pPr>
            <w:r w:rsidRPr="00631C1C">
              <w:rPr>
                <w:szCs w:val="18"/>
              </w:rPr>
              <w:t>10 208</w:t>
            </w:r>
          </w:p>
        </w:tc>
        <w:tc>
          <w:tcPr>
            <w:tcW w:w="1293" w:type="dxa"/>
            <w:tcBorders>
              <w:top w:val="nil"/>
              <w:left w:val="nil"/>
              <w:bottom w:val="single" w:sz="4" w:space="0" w:color="auto"/>
              <w:right w:val="single" w:sz="4" w:space="0" w:color="auto"/>
            </w:tcBorders>
            <w:noWrap/>
            <w:hideMark/>
          </w:tcPr>
          <w:p w14:paraId="6FDE18A8" w14:textId="77777777" w:rsidR="00312042" w:rsidRPr="00631C1C" w:rsidRDefault="00312042" w:rsidP="009A58EE">
            <w:pPr>
              <w:pStyle w:val="Normal-pool-Table"/>
              <w:jc w:val="right"/>
              <w:rPr>
                <w:szCs w:val="18"/>
              </w:rPr>
            </w:pPr>
            <w:r w:rsidRPr="00631C1C">
              <w:rPr>
                <w:szCs w:val="18"/>
              </w:rPr>
              <w:t>13 471</w:t>
            </w:r>
          </w:p>
        </w:tc>
        <w:tc>
          <w:tcPr>
            <w:tcW w:w="1313" w:type="dxa"/>
            <w:tcBorders>
              <w:top w:val="nil"/>
              <w:left w:val="nil"/>
              <w:bottom w:val="single" w:sz="4" w:space="0" w:color="auto"/>
              <w:right w:val="single" w:sz="4" w:space="0" w:color="auto"/>
            </w:tcBorders>
            <w:noWrap/>
            <w:hideMark/>
          </w:tcPr>
          <w:p w14:paraId="3664CB16" w14:textId="77777777" w:rsidR="00312042" w:rsidRPr="00631C1C" w:rsidRDefault="00312042" w:rsidP="009A58EE">
            <w:pPr>
              <w:pStyle w:val="Normal-pool-Table"/>
              <w:jc w:val="right"/>
              <w:rPr>
                <w:szCs w:val="18"/>
              </w:rPr>
            </w:pPr>
            <w:r w:rsidRPr="00631C1C">
              <w:rPr>
                <w:szCs w:val="18"/>
              </w:rPr>
              <w:t>23 679</w:t>
            </w:r>
          </w:p>
        </w:tc>
      </w:tr>
      <w:tr w:rsidR="00F234CD" w:rsidRPr="00631C1C" w14:paraId="1625ECA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61538E2" w14:textId="77777777" w:rsidR="00312042" w:rsidRPr="00631C1C" w:rsidRDefault="00312042" w:rsidP="009A58EE">
            <w:pPr>
              <w:pStyle w:val="Normal-pool-Table"/>
              <w:rPr>
                <w:szCs w:val="18"/>
              </w:rPr>
            </w:pPr>
            <w:r w:rsidRPr="00631C1C">
              <w:rPr>
                <w:szCs w:val="18"/>
              </w:rPr>
              <w:t>148</w:t>
            </w:r>
          </w:p>
        </w:tc>
        <w:tc>
          <w:tcPr>
            <w:tcW w:w="2573" w:type="dxa"/>
            <w:tcBorders>
              <w:top w:val="nil"/>
              <w:left w:val="nil"/>
              <w:bottom w:val="single" w:sz="4" w:space="0" w:color="auto"/>
              <w:right w:val="single" w:sz="4" w:space="0" w:color="auto"/>
            </w:tcBorders>
            <w:noWrap/>
            <w:hideMark/>
          </w:tcPr>
          <w:p w14:paraId="573412C9" w14:textId="77777777" w:rsidR="00312042" w:rsidRPr="00631C1C" w:rsidRDefault="00312042" w:rsidP="009A58EE">
            <w:pPr>
              <w:pStyle w:val="Normal-pool-Table"/>
              <w:rPr>
                <w:szCs w:val="18"/>
              </w:rPr>
            </w:pPr>
            <w:r w:rsidRPr="00631C1C">
              <w:rPr>
                <w:szCs w:val="18"/>
              </w:rPr>
              <w:t>Spain</w:t>
            </w:r>
          </w:p>
        </w:tc>
        <w:tc>
          <w:tcPr>
            <w:tcW w:w="1400" w:type="dxa"/>
            <w:tcBorders>
              <w:top w:val="nil"/>
              <w:left w:val="nil"/>
              <w:bottom w:val="single" w:sz="4" w:space="0" w:color="auto"/>
              <w:right w:val="single" w:sz="4" w:space="0" w:color="auto"/>
            </w:tcBorders>
            <w:noWrap/>
            <w:hideMark/>
          </w:tcPr>
          <w:p w14:paraId="03C19D50" w14:textId="22D04A21"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895</w:t>
            </w:r>
          </w:p>
        </w:tc>
        <w:tc>
          <w:tcPr>
            <w:tcW w:w="1073" w:type="dxa"/>
            <w:tcBorders>
              <w:top w:val="nil"/>
              <w:left w:val="nil"/>
              <w:bottom w:val="single" w:sz="4" w:space="0" w:color="auto"/>
              <w:right w:val="single" w:sz="4" w:space="0" w:color="auto"/>
            </w:tcBorders>
            <w:noWrap/>
            <w:hideMark/>
          </w:tcPr>
          <w:p w14:paraId="35BCB5F1" w14:textId="2BB88C86"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9126</w:t>
            </w:r>
          </w:p>
        </w:tc>
        <w:tc>
          <w:tcPr>
            <w:tcW w:w="1293" w:type="dxa"/>
            <w:tcBorders>
              <w:top w:val="nil"/>
              <w:left w:val="nil"/>
              <w:bottom w:val="single" w:sz="4" w:space="0" w:color="auto"/>
              <w:right w:val="single" w:sz="4" w:space="0" w:color="auto"/>
            </w:tcBorders>
            <w:noWrap/>
            <w:hideMark/>
          </w:tcPr>
          <w:p w14:paraId="239CBB04" w14:textId="77777777" w:rsidR="00312042" w:rsidRPr="00631C1C" w:rsidRDefault="00312042" w:rsidP="009A58EE">
            <w:pPr>
              <w:pStyle w:val="Normal-pool-Table"/>
              <w:jc w:val="right"/>
              <w:rPr>
                <w:szCs w:val="18"/>
              </w:rPr>
            </w:pPr>
            <w:r w:rsidRPr="00631C1C">
              <w:rPr>
                <w:szCs w:val="18"/>
              </w:rPr>
              <w:t>58 973</w:t>
            </w:r>
          </w:p>
        </w:tc>
        <w:tc>
          <w:tcPr>
            <w:tcW w:w="1293" w:type="dxa"/>
            <w:tcBorders>
              <w:top w:val="nil"/>
              <w:left w:val="nil"/>
              <w:bottom w:val="single" w:sz="4" w:space="0" w:color="auto"/>
              <w:right w:val="single" w:sz="4" w:space="0" w:color="auto"/>
            </w:tcBorders>
            <w:noWrap/>
            <w:hideMark/>
          </w:tcPr>
          <w:p w14:paraId="4EBF4179" w14:textId="77777777" w:rsidR="00312042" w:rsidRPr="00631C1C" w:rsidRDefault="00312042" w:rsidP="009A58EE">
            <w:pPr>
              <w:pStyle w:val="Normal-pool-Table"/>
              <w:jc w:val="right"/>
              <w:rPr>
                <w:szCs w:val="18"/>
              </w:rPr>
            </w:pPr>
            <w:r w:rsidRPr="00631C1C">
              <w:rPr>
                <w:szCs w:val="18"/>
              </w:rPr>
              <w:t>77 831</w:t>
            </w:r>
          </w:p>
        </w:tc>
        <w:tc>
          <w:tcPr>
            <w:tcW w:w="1313" w:type="dxa"/>
            <w:tcBorders>
              <w:top w:val="nil"/>
              <w:left w:val="nil"/>
              <w:bottom w:val="single" w:sz="4" w:space="0" w:color="auto"/>
              <w:right w:val="single" w:sz="4" w:space="0" w:color="auto"/>
            </w:tcBorders>
            <w:noWrap/>
            <w:hideMark/>
          </w:tcPr>
          <w:p w14:paraId="1A3FA191" w14:textId="77777777" w:rsidR="00312042" w:rsidRPr="00631C1C" w:rsidRDefault="00312042" w:rsidP="009A58EE">
            <w:pPr>
              <w:pStyle w:val="Normal-pool-Table"/>
              <w:jc w:val="right"/>
              <w:rPr>
                <w:szCs w:val="18"/>
              </w:rPr>
            </w:pPr>
            <w:r w:rsidRPr="00631C1C">
              <w:rPr>
                <w:szCs w:val="18"/>
              </w:rPr>
              <w:t>136 804</w:t>
            </w:r>
          </w:p>
        </w:tc>
      </w:tr>
      <w:tr w:rsidR="00F234CD" w:rsidRPr="00631C1C" w14:paraId="3B1D83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F48641" w14:textId="77777777" w:rsidR="00312042" w:rsidRPr="00631C1C" w:rsidRDefault="00312042" w:rsidP="009A58EE">
            <w:pPr>
              <w:pStyle w:val="Normal-pool-Table"/>
              <w:rPr>
                <w:szCs w:val="18"/>
              </w:rPr>
            </w:pPr>
            <w:r w:rsidRPr="00631C1C">
              <w:rPr>
                <w:szCs w:val="18"/>
              </w:rPr>
              <w:t>149</w:t>
            </w:r>
          </w:p>
        </w:tc>
        <w:tc>
          <w:tcPr>
            <w:tcW w:w="2573" w:type="dxa"/>
            <w:tcBorders>
              <w:top w:val="nil"/>
              <w:left w:val="nil"/>
              <w:bottom w:val="single" w:sz="4" w:space="0" w:color="auto"/>
              <w:right w:val="single" w:sz="4" w:space="0" w:color="auto"/>
            </w:tcBorders>
            <w:noWrap/>
            <w:hideMark/>
          </w:tcPr>
          <w:p w14:paraId="0ACF3F50" w14:textId="77777777" w:rsidR="00312042" w:rsidRPr="00631C1C" w:rsidRDefault="00312042" w:rsidP="009A58EE">
            <w:pPr>
              <w:pStyle w:val="Normal-pool-Table"/>
              <w:rPr>
                <w:szCs w:val="18"/>
              </w:rPr>
            </w:pPr>
            <w:r w:rsidRPr="00631C1C">
              <w:rPr>
                <w:szCs w:val="18"/>
              </w:rPr>
              <w:t>Sweden</w:t>
            </w:r>
          </w:p>
        </w:tc>
        <w:tc>
          <w:tcPr>
            <w:tcW w:w="1400" w:type="dxa"/>
            <w:tcBorders>
              <w:top w:val="nil"/>
              <w:left w:val="nil"/>
              <w:bottom w:val="single" w:sz="4" w:space="0" w:color="auto"/>
              <w:right w:val="single" w:sz="4" w:space="0" w:color="auto"/>
            </w:tcBorders>
            <w:noWrap/>
            <w:hideMark/>
          </w:tcPr>
          <w:p w14:paraId="4BBC8F6B" w14:textId="61F3B92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822</w:t>
            </w:r>
          </w:p>
        </w:tc>
        <w:tc>
          <w:tcPr>
            <w:tcW w:w="1073" w:type="dxa"/>
            <w:tcBorders>
              <w:top w:val="nil"/>
              <w:left w:val="nil"/>
              <w:bottom w:val="single" w:sz="4" w:space="0" w:color="auto"/>
              <w:right w:val="single" w:sz="4" w:space="0" w:color="auto"/>
            </w:tcBorders>
            <w:noWrap/>
            <w:hideMark/>
          </w:tcPr>
          <w:p w14:paraId="1BD6CDEC" w14:textId="5E13AFE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8297</w:t>
            </w:r>
          </w:p>
        </w:tc>
        <w:tc>
          <w:tcPr>
            <w:tcW w:w="1293" w:type="dxa"/>
            <w:tcBorders>
              <w:top w:val="nil"/>
              <w:left w:val="nil"/>
              <w:bottom w:val="single" w:sz="4" w:space="0" w:color="auto"/>
              <w:right w:val="single" w:sz="4" w:space="0" w:color="auto"/>
            </w:tcBorders>
            <w:noWrap/>
            <w:hideMark/>
          </w:tcPr>
          <w:p w14:paraId="1AA6863E" w14:textId="77777777" w:rsidR="00312042" w:rsidRPr="00631C1C" w:rsidRDefault="00312042" w:rsidP="009A58EE">
            <w:pPr>
              <w:pStyle w:val="Normal-pool-Table"/>
              <w:jc w:val="right"/>
              <w:rPr>
                <w:szCs w:val="18"/>
              </w:rPr>
            </w:pPr>
            <w:r w:rsidRPr="00631C1C">
              <w:rPr>
                <w:szCs w:val="18"/>
              </w:rPr>
              <w:t>25 581</w:t>
            </w:r>
          </w:p>
        </w:tc>
        <w:tc>
          <w:tcPr>
            <w:tcW w:w="1293" w:type="dxa"/>
            <w:tcBorders>
              <w:top w:val="nil"/>
              <w:left w:val="nil"/>
              <w:bottom w:val="single" w:sz="4" w:space="0" w:color="auto"/>
              <w:right w:val="single" w:sz="4" w:space="0" w:color="auto"/>
            </w:tcBorders>
            <w:noWrap/>
            <w:hideMark/>
          </w:tcPr>
          <w:p w14:paraId="0178B226" w14:textId="77777777" w:rsidR="00312042" w:rsidRPr="00631C1C" w:rsidRDefault="00312042" w:rsidP="009A58EE">
            <w:pPr>
              <w:pStyle w:val="Normal-pool-Table"/>
              <w:jc w:val="right"/>
              <w:rPr>
                <w:szCs w:val="18"/>
              </w:rPr>
            </w:pPr>
            <w:r w:rsidRPr="00631C1C">
              <w:rPr>
                <w:szCs w:val="18"/>
              </w:rPr>
              <w:t>33 761</w:t>
            </w:r>
          </w:p>
        </w:tc>
        <w:tc>
          <w:tcPr>
            <w:tcW w:w="1313" w:type="dxa"/>
            <w:tcBorders>
              <w:top w:val="nil"/>
              <w:left w:val="nil"/>
              <w:bottom w:val="single" w:sz="4" w:space="0" w:color="auto"/>
              <w:right w:val="single" w:sz="4" w:space="0" w:color="auto"/>
            </w:tcBorders>
            <w:noWrap/>
            <w:hideMark/>
          </w:tcPr>
          <w:p w14:paraId="0E570312" w14:textId="77777777" w:rsidR="00312042" w:rsidRPr="00631C1C" w:rsidRDefault="00312042" w:rsidP="009A58EE">
            <w:pPr>
              <w:pStyle w:val="Normal-pool-Table"/>
              <w:jc w:val="right"/>
              <w:rPr>
                <w:szCs w:val="18"/>
              </w:rPr>
            </w:pPr>
            <w:r w:rsidRPr="00631C1C">
              <w:rPr>
                <w:szCs w:val="18"/>
              </w:rPr>
              <w:t>59 342</w:t>
            </w:r>
          </w:p>
        </w:tc>
      </w:tr>
      <w:tr w:rsidR="00F234CD" w:rsidRPr="00631C1C" w14:paraId="29BB371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65A53BA" w14:textId="77777777" w:rsidR="00312042" w:rsidRPr="00631C1C" w:rsidRDefault="00312042" w:rsidP="009A58EE">
            <w:pPr>
              <w:pStyle w:val="Normal-pool-Table"/>
              <w:rPr>
                <w:szCs w:val="18"/>
              </w:rPr>
            </w:pPr>
            <w:r w:rsidRPr="00631C1C">
              <w:rPr>
                <w:szCs w:val="18"/>
              </w:rPr>
              <w:t>150</w:t>
            </w:r>
          </w:p>
        </w:tc>
        <w:tc>
          <w:tcPr>
            <w:tcW w:w="2573" w:type="dxa"/>
            <w:tcBorders>
              <w:top w:val="nil"/>
              <w:left w:val="nil"/>
              <w:bottom w:val="single" w:sz="4" w:space="0" w:color="auto"/>
              <w:right w:val="single" w:sz="4" w:space="0" w:color="auto"/>
            </w:tcBorders>
            <w:noWrap/>
            <w:hideMark/>
          </w:tcPr>
          <w:p w14:paraId="024AF312" w14:textId="77777777" w:rsidR="00312042" w:rsidRPr="00631C1C" w:rsidRDefault="00312042" w:rsidP="009A58EE">
            <w:pPr>
              <w:pStyle w:val="Normal-pool-Table"/>
              <w:rPr>
                <w:szCs w:val="18"/>
              </w:rPr>
            </w:pPr>
            <w:r w:rsidRPr="00631C1C">
              <w:rPr>
                <w:szCs w:val="18"/>
              </w:rPr>
              <w:t>Switzerland</w:t>
            </w:r>
          </w:p>
        </w:tc>
        <w:tc>
          <w:tcPr>
            <w:tcW w:w="1400" w:type="dxa"/>
            <w:tcBorders>
              <w:top w:val="nil"/>
              <w:left w:val="nil"/>
              <w:bottom w:val="single" w:sz="4" w:space="0" w:color="auto"/>
              <w:right w:val="single" w:sz="4" w:space="0" w:color="auto"/>
            </w:tcBorders>
            <w:noWrap/>
            <w:hideMark/>
          </w:tcPr>
          <w:p w14:paraId="105BAD9E" w14:textId="3450FEA6"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029</w:t>
            </w:r>
          </w:p>
        </w:tc>
        <w:tc>
          <w:tcPr>
            <w:tcW w:w="1073" w:type="dxa"/>
            <w:tcBorders>
              <w:top w:val="nil"/>
              <w:left w:val="nil"/>
              <w:bottom w:val="single" w:sz="4" w:space="0" w:color="auto"/>
              <w:right w:val="single" w:sz="4" w:space="0" w:color="auto"/>
            </w:tcBorders>
            <w:noWrap/>
            <w:hideMark/>
          </w:tcPr>
          <w:p w14:paraId="28204318" w14:textId="22460132"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0386</w:t>
            </w:r>
          </w:p>
        </w:tc>
        <w:tc>
          <w:tcPr>
            <w:tcW w:w="1293" w:type="dxa"/>
            <w:tcBorders>
              <w:top w:val="nil"/>
              <w:left w:val="nil"/>
              <w:bottom w:val="single" w:sz="4" w:space="0" w:color="auto"/>
              <w:right w:val="single" w:sz="4" w:space="0" w:color="auto"/>
            </w:tcBorders>
            <w:noWrap/>
            <w:hideMark/>
          </w:tcPr>
          <w:p w14:paraId="78BABF24" w14:textId="77777777" w:rsidR="00312042" w:rsidRPr="00631C1C" w:rsidRDefault="00312042" w:rsidP="009A58EE">
            <w:pPr>
              <w:pStyle w:val="Normal-pool-Table"/>
              <w:jc w:val="right"/>
              <w:rPr>
                <w:szCs w:val="18"/>
              </w:rPr>
            </w:pPr>
            <w:r w:rsidRPr="00631C1C">
              <w:rPr>
                <w:szCs w:val="18"/>
              </w:rPr>
              <w:t>32 023</w:t>
            </w:r>
          </w:p>
        </w:tc>
        <w:tc>
          <w:tcPr>
            <w:tcW w:w="1293" w:type="dxa"/>
            <w:tcBorders>
              <w:top w:val="nil"/>
              <w:left w:val="nil"/>
              <w:bottom w:val="single" w:sz="4" w:space="0" w:color="auto"/>
              <w:right w:val="single" w:sz="4" w:space="0" w:color="auto"/>
            </w:tcBorders>
            <w:noWrap/>
            <w:hideMark/>
          </w:tcPr>
          <w:p w14:paraId="2F43B699" w14:textId="77777777" w:rsidR="00312042" w:rsidRPr="00631C1C" w:rsidRDefault="00312042" w:rsidP="009A58EE">
            <w:pPr>
              <w:pStyle w:val="Normal-pool-Table"/>
              <w:jc w:val="right"/>
              <w:rPr>
                <w:szCs w:val="18"/>
              </w:rPr>
            </w:pPr>
            <w:r w:rsidRPr="00631C1C">
              <w:rPr>
                <w:szCs w:val="18"/>
              </w:rPr>
              <w:t>42 263</w:t>
            </w:r>
          </w:p>
        </w:tc>
        <w:tc>
          <w:tcPr>
            <w:tcW w:w="1313" w:type="dxa"/>
            <w:tcBorders>
              <w:top w:val="nil"/>
              <w:left w:val="nil"/>
              <w:bottom w:val="single" w:sz="4" w:space="0" w:color="auto"/>
              <w:right w:val="single" w:sz="4" w:space="0" w:color="auto"/>
            </w:tcBorders>
            <w:noWrap/>
            <w:hideMark/>
          </w:tcPr>
          <w:p w14:paraId="53C0E26C" w14:textId="77777777" w:rsidR="00312042" w:rsidRPr="00631C1C" w:rsidRDefault="00312042" w:rsidP="009A58EE">
            <w:pPr>
              <w:pStyle w:val="Normal-pool-Table"/>
              <w:jc w:val="right"/>
              <w:rPr>
                <w:szCs w:val="18"/>
              </w:rPr>
            </w:pPr>
            <w:r w:rsidRPr="00631C1C">
              <w:rPr>
                <w:szCs w:val="18"/>
              </w:rPr>
              <w:t>74 286</w:t>
            </w:r>
          </w:p>
        </w:tc>
      </w:tr>
      <w:tr w:rsidR="00F234CD" w:rsidRPr="00631C1C" w14:paraId="79D2876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3CDF0C" w14:textId="77777777" w:rsidR="00312042" w:rsidRPr="00631C1C" w:rsidRDefault="00312042" w:rsidP="009A58EE">
            <w:pPr>
              <w:pStyle w:val="Normal-pool-Table"/>
              <w:rPr>
                <w:szCs w:val="18"/>
              </w:rPr>
            </w:pPr>
            <w:r w:rsidRPr="00631C1C">
              <w:rPr>
                <w:szCs w:val="18"/>
              </w:rPr>
              <w:t>151</w:t>
            </w:r>
          </w:p>
        </w:tc>
        <w:tc>
          <w:tcPr>
            <w:tcW w:w="2573" w:type="dxa"/>
            <w:tcBorders>
              <w:top w:val="nil"/>
              <w:left w:val="nil"/>
              <w:bottom w:val="single" w:sz="4" w:space="0" w:color="auto"/>
              <w:right w:val="single" w:sz="4" w:space="0" w:color="auto"/>
            </w:tcBorders>
            <w:noWrap/>
            <w:hideMark/>
          </w:tcPr>
          <w:p w14:paraId="50458E99" w14:textId="77777777" w:rsidR="00312042" w:rsidRPr="00631C1C" w:rsidRDefault="00312042" w:rsidP="009A58EE">
            <w:pPr>
              <w:pStyle w:val="Normal-pool-Table"/>
              <w:rPr>
                <w:szCs w:val="18"/>
              </w:rPr>
            </w:pPr>
            <w:r w:rsidRPr="00631C1C">
              <w:rPr>
                <w:szCs w:val="18"/>
              </w:rPr>
              <w:t>Türkiye</w:t>
            </w:r>
          </w:p>
        </w:tc>
        <w:tc>
          <w:tcPr>
            <w:tcW w:w="1400" w:type="dxa"/>
            <w:tcBorders>
              <w:top w:val="nil"/>
              <w:left w:val="nil"/>
              <w:bottom w:val="single" w:sz="4" w:space="0" w:color="auto"/>
              <w:right w:val="single" w:sz="4" w:space="0" w:color="auto"/>
            </w:tcBorders>
            <w:noWrap/>
            <w:hideMark/>
          </w:tcPr>
          <w:p w14:paraId="177C691D" w14:textId="72A89B4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685</w:t>
            </w:r>
          </w:p>
        </w:tc>
        <w:tc>
          <w:tcPr>
            <w:tcW w:w="1073" w:type="dxa"/>
            <w:tcBorders>
              <w:top w:val="nil"/>
              <w:left w:val="nil"/>
              <w:bottom w:val="single" w:sz="4" w:space="0" w:color="auto"/>
              <w:right w:val="single" w:sz="4" w:space="0" w:color="auto"/>
            </w:tcBorders>
            <w:noWrap/>
            <w:hideMark/>
          </w:tcPr>
          <w:p w14:paraId="1AD935BC" w14:textId="495AC56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6914</w:t>
            </w:r>
          </w:p>
        </w:tc>
        <w:tc>
          <w:tcPr>
            <w:tcW w:w="1293" w:type="dxa"/>
            <w:tcBorders>
              <w:top w:val="nil"/>
              <w:left w:val="nil"/>
              <w:bottom w:val="single" w:sz="4" w:space="0" w:color="auto"/>
              <w:right w:val="single" w:sz="4" w:space="0" w:color="auto"/>
            </w:tcBorders>
            <w:noWrap/>
            <w:hideMark/>
          </w:tcPr>
          <w:p w14:paraId="19EF299E" w14:textId="77777777" w:rsidR="00312042" w:rsidRPr="00631C1C" w:rsidRDefault="00312042" w:rsidP="009A58EE">
            <w:pPr>
              <w:pStyle w:val="Normal-pool-Table"/>
              <w:jc w:val="right"/>
              <w:rPr>
                <w:szCs w:val="18"/>
              </w:rPr>
            </w:pPr>
            <w:r w:rsidRPr="00631C1C">
              <w:rPr>
                <w:szCs w:val="18"/>
              </w:rPr>
              <w:t>21 318</w:t>
            </w:r>
          </w:p>
        </w:tc>
        <w:tc>
          <w:tcPr>
            <w:tcW w:w="1293" w:type="dxa"/>
            <w:tcBorders>
              <w:top w:val="nil"/>
              <w:left w:val="nil"/>
              <w:bottom w:val="single" w:sz="4" w:space="0" w:color="auto"/>
              <w:right w:val="single" w:sz="4" w:space="0" w:color="auto"/>
            </w:tcBorders>
            <w:noWrap/>
            <w:hideMark/>
          </w:tcPr>
          <w:p w14:paraId="071C4E58" w14:textId="77777777" w:rsidR="00312042" w:rsidRPr="00631C1C" w:rsidRDefault="00312042" w:rsidP="009A58EE">
            <w:pPr>
              <w:pStyle w:val="Normal-pool-Table"/>
              <w:jc w:val="right"/>
              <w:rPr>
                <w:szCs w:val="18"/>
              </w:rPr>
            </w:pPr>
            <w:r w:rsidRPr="00631C1C">
              <w:rPr>
                <w:szCs w:val="18"/>
              </w:rPr>
              <w:t>28 134</w:t>
            </w:r>
          </w:p>
        </w:tc>
        <w:tc>
          <w:tcPr>
            <w:tcW w:w="1313" w:type="dxa"/>
            <w:tcBorders>
              <w:top w:val="nil"/>
              <w:left w:val="nil"/>
              <w:bottom w:val="single" w:sz="4" w:space="0" w:color="auto"/>
              <w:right w:val="single" w:sz="4" w:space="0" w:color="auto"/>
            </w:tcBorders>
            <w:noWrap/>
            <w:hideMark/>
          </w:tcPr>
          <w:p w14:paraId="63F6456E" w14:textId="77777777" w:rsidR="00312042" w:rsidRPr="00631C1C" w:rsidRDefault="00312042" w:rsidP="009A58EE">
            <w:pPr>
              <w:pStyle w:val="Normal-pool-Table"/>
              <w:jc w:val="right"/>
              <w:rPr>
                <w:szCs w:val="18"/>
              </w:rPr>
            </w:pPr>
            <w:r w:rsidRPr="00631C1C">
              <w:rPr>
                <w:szCs w:val="18"/>
              </w:rPr>
              <w:t>49 452</w:t>
            </w:r>
          </w:p>
        </w:tc>
      </w:tr>
      <w:tr w:rsidR="00F234CD" w:rsidRPr="00631C1C" w14:paraId="034E9D90"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1CA0FFE4" w14:textId="77777777" w:rsidR="00312042" w:rsidRPr="00631C1C" w:rsidRDefault="00312042" w:rsidP="009A58EE">
            <w:pPr>
              <w:pStyle w:val="Normal-pool-Table"/>
              <w:rPr>
                <w:szCs w:val="18"/>
              </w:rPr>
            </w:pPr>
            <w:r w:rsidRPr="00631C1C">
              <w:rPr>
                <w:szCs w:val="18"/>
              </w:rPr>
              <w:t>152</w:t>
            </w:r>
          </w:p>
        </w:tc>
        <w:tc>
          <w:tcPr>
            <w:tcW w:w="2573" w:type="dxa"/>
            <w:tcBorders>
              <w:top w:val="nil"/>
              <w:left w:val="nil"/>
              <w:bottom w:val="single" w:sz="4" w:space="0" w:color="auto"/>
              <w:right w:val="single" w:sz="4" w:space="0" w:color="auto"/>
            </w:tcBorders>
            <w:noWrap/>
            <w:hideMark/>
          </w:tcPr>
          <w:p w14:paraId="67858B58" w14:textId="77777777" w:rsidR="00312042" w:rsidRPr="00631C1C" w:rsidRDefault="00312042" w:rsidP="009A58EE">
            <w:pPr>
              <w:pStyle w:val="Normal-pool-Table"/>
              <w:rPr>
                <w:szCs w:val="18"/>
              </w:rPr>
            </w:pPr>
            <w:r w:rsidRPr="00631C1C">
              <w:rPr>
                <w:szCs w:val="18"/>
              </w:rPr>
              <w:t>United Kingdom of Great Britain and Northern Ireland</w:t>
            </w:r>
          </w:p>
        </w:tc>
        <w:tc>
          <w:tcPr>
            <w:tcW w:w="1400" w:type="dxa"/>
            <w:tcBorders>
              <w:top w:val="nil"/>
              <w:left w:val="nil"/>
              <w:bottom w:val="single" w:sz="4" w:space="0" w:color="auto"/>
              <w:right w:val="single" w:sz="4" w:space="0" w:color="auto"/>
            </w:tcBorders>
            <w:noWrap/>
            <w:vAlign w:val="bottom"/>
            <w:hideMark/>
          </w:tcPr>
          <w:p w14:paraId="093F8DAF" w14:textId="3A53873D"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991</w:t>
            </w:r>
          </w:p>
        </w:tc>
        <w:tc>
          <w:tcPr>
            <w:tcW w:w="1073" w:type="dxa"/>
            <w:tcBorders>
              <w:top w:val="nil"/>
              <w:left w:val="nil"/>
              <w:bottom w:val="single" w:sz="4" w:space="0" w:color="auto"/>
              <w:right w:val="single" w:sz="4" w:space="0" w:color="auto"/>
            </w:tcBorders>
            <w:noWrap/>
            <w:vAlign w:val="bottom"/>
            <w:hideMark/>
          </w:tcPr>
          <w:p w14:paraId="662B1676" w14:textId="3177F6F1" w:rsidR="00312042" w:rsidRPr="00631C1C" w:rsidRDefault="00312042" w:rsidP="009A58EE">
            <w:pPr>
              <w:pStyle w:val="Normal-pool-Table"/>
              <w:jc w:val="right"/>
              <w:rPr>
                <w:szCs w:val="18"/>
              </w:rPr>
            </w:pPr>
            <w:r w:rsidRPr="00631C1C">
              <w:rPr>
                <w:szCs w:val="18"/>
              </w:rPr>
              <w:t>4</w:t>
            </w:r>
            <w:r w:rsidR="005D12FE">
              <w:rPr>
                <w:szCs w:val="18"/>
              </w:rPr>
              <w:t>.</w:t>
            </w:r>
            <w:r w:rsidRPr="00631C1C">
              <w:rPr>
                <w:szCs w:val="18"/>
              </w:rPr>
              <w:t>0282</w:t>
            </w:r>
          </w:p>
        </w:tc>
        <w:tc>
          <w:tcPr>
            <w:tcW w:w="1293" w:type="dxa"/>
            <w:tcBorders>
              <w:top w:val="nil"/>
              <w:left w:val="nil"/>
              <w:bottom w:val="single" w:sz="4" w:space="0" w:color="auto"/>
              <w:right w:val="single" w:sz="4" w:space="0" w:color="auto"/>
            </w:tcBorders>
            <w:noWrap/>
            <w:vAlign w:val="bottom"/>
            <w:hideMark/>
          </w:tcPr>
          <w:p w14:paraId="1E09AD4C" w14:textId="77777777" w:rsidR="00312042" w:rsidRPr="00631C1C" w:rsidRDefault="00312042" w:rsidP="009A58EE">
            <w:pPr>
              <w:pStyle w:val="Normal-pool-Table"/>
              <w:jc w:val="right"/>
              <w:rPr>
                <w:szCs w:val="18"/>
              </w:rPr>
            </w:pPr>
            <w:r w:rsidRPr="00631C1C">
              <w:rPr>
                <w:szCs w:val="18"/>
              </w:rPr>
              <w:t>124 202</w:t>
            </w:r>
          </w:p>
        </w:tc>
        <w:tc>
          <w:tcPr>
            <w:tcW w:w="1293" w:type="dxa"/>
            <w:tcBorders>
              <w:top w:val="nil"/>
              <w:left w:val="nil"/>
              <w:bottom w:val="single" w:sz="4" w:space="0" w:color="auto"/>
              <w:right w:val="single" w:sz="4" w:space="0" w:color="auto"/>
            </w:tcBorders>
            <w:noWrap/>
            <w:vAlign w:val="bottom"/>
            <w:hideMark/>
          </w:tcPr>
          <w:p w14:paraId="7449FCD2" w14:textId="77777777" w:rsidR="00312042" w:rsidRPr="00631C1C" w:rsidRDefault="00312042" w:rsidP="009A58EE">
            <w:pPr>
              <w:pStyle w:val="Normal-pool-Table"/>
              <w:jc w:val="right"/>
              <w:rPr>
                <w:szCs w:val="18"/>
              </w:rPr>
            </w:pPr>
            <w:r w:rsidRPr="00631C1C">
              <w:rPr>
                <w:szCs w:val="18"/>
              </w:rPr>
              <w:t>163 917</w:t>
            </w:r>
          </w:p>
        </w:tc>
        <w:tc>
          <w:tcPr>
            <w:tcW w:w="1313" w:type="dxa"/>
            <w:tcBorders>
              <w:top w:val="nil"/>
              <w:left w:val="nil"/>
              <w:bottom w:val="single" w:sz="4" w:space="0" w:color="auto"/>
              <w:right w:val="single" w:sz="4" w:space="0" w:color="auto"/>
            </w:tcBorders>
            <w:noWrap/>
            <w:vAlign w:val="bottom"/>
            <w:hideMark/>
          </w:tcPr>
          <w:p w14:paraId="5574F7AD" w14:textId="77777777" w:rsidR="00312042" w:rsidRPr="00631C1C" w:rsidRDefault="00312042" w:rsidP="009A58EE">
            <w:pPr>
              <w:pStyle w:val="Normal-pool-Table"/>
              <w:jc w:val="right"/>
              <w:rPr>
                <w:szCs w:val="18"/>
              </w:rPr>
            </w:pPr>
            <w:r w:rsidRPr="00631C1C">
              <w:rPr>
                <w:szCs w:val="18"/>
              </w:rPr>
              <w:t>288 119</w:t>
            </w:r>
          </w:p>
        </w:tc>
      </w:tr>
      <w:tr w:rsidR="00F234CD" w:rsidRPr="00631C1C" w14:paraId="5FA6F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9FF5E7F" w14:textId="77777777" w:rsidR="00312042" w:rsidRPr="00631C1C" w:rsidRDefault="00312042" w:rsidP="009A58EE">
            <w:pPr>
              <w:pStyle w:val="Normal-pool-Table"/>
              <w:rPr>
                <w:szCs w:val="18"/>
              </w:rPr>
            </w:pPr>
            <w:r w:rsidRPr="00631C1C">
              <w:rPr>
                <w:szCs w:val="18"/>
              </w:rPr>
              <w:t>153</w:t>
            </w:r>
          </w:p>
        </w:tc>
        <w:tc>
          <w:tcPr>
            <w:tcW w:w="2573" w:type="dxa"/>
            <w:tcBorders>
              <w:top w:val="nil"/>
              <w:left w:val="nil"/>
              <w:bottom w:val="single" w:sz="4" w:space="0" w:color="auto"/>
              <w:right w:val="single" w:sz="4" w:space="0" w:color="auto"/>
            </w:tcBorders>
            <w:noWrap/>
            <w:hideMark/>
          </w:tcPr>
          <w:p w14:paraId="54D92F64" w14:textId="77777777" w:rsidR="00312042" w:rsidRPr="00631C1C" w:rsidRDefault="00312042" w:rsidP="009A58EE">
            <w:pPr>
              <w:pStyle w:val="Normal-pool-Table"/>
              <w:rPr>
                <w:szCs w:val="18"/>
              </w:rPr>
            </w:pPr>
            <w:r w:rsidRPr="00631C1C">
              <w:rPr>
                <w:szCs w:val="18"/>
              </w:rPr>
              <w:t>United States of America</w:t>
            </w:r>
          </w:p>
        </w:tc>
        <w:tc>
          <w:tcPr>
            <w:tcW w:w="1400" w:type="dxa"/>
            <w:tcBorders>
              <w:top w:val="nil"/>
              <w:left w:val="nil"/>
              <w:bottom w:val="single" w:sz="4" w:space="0" w:color="auto"/>
              <w:right w:val="single" w:sz="4" w:space="0" w:color="auto"/>
            </w:tcBorders>
            <w:noWrap/>
            <w:hideMark/>
          </w:tcPr>
          <w:p w14:paraId="2AFBE679" w14:textId="77777777" w:rsidR="00312042" w:rsidRPr="00631C1C" w:rsidRDefault="00312042" w:rsidP="009A58EE">
            <w:pPr>
              <w:pStyle w:val="Normal-pool-Table"/>
              <w:jc w:val="right"/>
              <w:rPr>
                <w:szCs w:val="18"/>
              </w:rPr>
            </w:pPr>
            <w:r w:rsidRPr="00631C1C">
              <w:rPr>
                <w:szCs w:val="18"/>
              </w:rPr>
              <w:t>22</w:t>
            </w:r>
          </w:p>
        </w:tc>
        <w:tc>
          <w:tcPr>
            <w:tcW w:w="1073" w:type="dxa"/>
            <w:tcBorders>
              <w:top w:val="nil"/>
              <w:left w:val="nil"/>
              <w:bottom w:val="single" w:sz="4" w:space="0" w:color="auto"/>
              <w:right w:val="single" w:sz="4" w:space="0" w:color="auto"/>
            </w:tcBorders>
            <w:noWrap/>
            <w:hideMark/>
          </w:tcPr>
          <w:p w14:paraId="1CC56CF3" w14:textId="624955D6" w:rsidR="00312042" w:rsidRPr="00631C1C" w:rsidRDefault="00312042" w:rsidP="009A58EE">
            <w:pPr>
              <w:pStyle w:val="Normal-pool-Table"/>
              <w:jc w:val="right"/>
              <w:rPr>
                <w:szCs w:val="18"/>
              </w:rPr>
            </w:pPr>
            <w:r w:rsidRPr="00631C1C">
              <w:rPr>
                <w:szCs w:val="18"/>
              </w:rPr>
              <w:t>22</w:t>
            </w:r>
            <w:r w:rsidR="005D12FE">
              <w:rPr>
                <w:szCs w:val="18"/>
              </w:rPr>
              <w:t>.</w:t>
            </w:r>
            <w:r w:rsidRPr="00631C1C">
              <w:rPr>
                <w:szCs w:val="18"/>
              </w:rPr>
              <w:t>0000</w:t>
            </w:r>
          </w:p>
        </w:tc>
        <w:tc>
          <w:tcPr>
            <w:tcW w:w="1293" w:type="dxa"/>
            <w:tcBorders>
              <w:top w:val="nil"/>
              <w:left w:val="nil"/>
              <w:bottom w:val="single" w:sz="4" w:space="0" w:color="auto"/>
              <w:right w:val="single" w:sz="4" w:space="0" w:color="auto"/>
            </w:tcBorders>
            <w:noWrap/>
            <w:hideMark/>
          </w:tcPr>
          <w:p w14:paraId="5CF17A92" w14:textId="77777777" w:rsidR="00312042" w:rsidRPr="00631C1C" w:rsidRDefault="00312042" w:rsidP="009A58EE">
            <w:pPr>
              <w:pStyle w:val="Normal-pool-Table"/>
              <w:jc w:val="right"/>
              <w:rPr>
                <w:szCs w:val="18"/>
              </w:rPr>
            </w:pPr>
            <w:r w:rsidRPr="00631C1C">
              <w:rPr>
                <w:szCs w:val="18"/>
              </w:rPr>
              <w:t>678 337</w:t>
            </w:r>
          </w:p>
        </w:tc>
        <w:tc>
          <w:tcPr>
            <w:tcW w:w="1293" w:type="dxa"/>
            <w:tcBorders>
              <w:top w:val="nil"/>
              <w:left w:val="nil"/>
              <w:bottom w:val="single" w:sz="4" w:space="0" w:color="auto"/>
              <w:right w:val="single" w:sz="4" w:space="0" w:color="auto"/>
            </w:tcBorders>
            <w:noWrap/>
            <w:hideMark/>
          </w:tcPr>
          <w:p w14:paraId="36F81A24" w14:textId="77777777" w:rsidR="00312042" w:rsidRPr="00631C1C" w:rsidRDefault="00312042" w:rsidP="009A58EE">
            <w:pPr>
              <w:pStyle w:val="Normal-pool-Table"/>
              <w:jc w:val="right"/>
              <w:rPr>
                <w:szCs w:val="18"/>
              </w:rPr>
            </w:pPr>
            <w:r w:rsidRPr="00631C1C">
              <w:rPr>
                <w:szCs w:val="18"/>
              </w:rPr>
              <w:t>895 240</w:t>
            </w:r>
          </w:p>
        </w:tc>
        <w:tc>
          <w:tcPr>
            <w:tcW w:w="1313" w:type="dxa"/>
            <w:tcBorders>
              <w:top w:val="nil"/>
              <w:left w:val="nil"/>
              <w:bottom w:val="single" w:sz="4" w:space="0" w:color="auto"/>
              <w:right w:val="single" w:sz="4" w:space="0" w:color="auto"/>
            </w:tcBorders>
            <w:noWrap/>
            <w:hideMark/>
          </w:tcPr>
          <w:p w14:paraId="670FAE84" w14:textId="77777777" w:rsidR="00312042" w:rsidRPr="00631C1C" w:rsidRDefault="00312042" w:rsidP="009A58EE">
            <w:pPr>
              <w:pStyle w:val="Normal-pool-Table"/>
              <w:jc w:val="right"/>
              <w:rPr>
                <w:szCs w:val="18"/>
              </w:rPr>
            </w:pPr>
            <w:r w:rsidRPr="00631C1C">
              <w:rPr>
                <w:szCs w:val="18"/>
              </w:rPr>
              <w:t>1 573 577</w:t>
            </w:r>
          </w:p>
        </w:tc>
      </w:tr>
      <w:tr w:rsidR="00F234CD" w:rsidRPr="00631C1C"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631C1C" w:rsidRDefault="00312042" w:rsidP="009A58EE">
            <w:pPr>
              <w:pStyle w:val="Normal-pool-Table"/>
              <w:rPr>
                <w:szCs w:val="18"/>
              </w:rPr>
            </w:pPr>
            <w:r w:rsidRPr="00631C1C">
              <w:rPr>
                <w:szCs w:val="18"/>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631C1C" w:rsidRDefault="00312042" w:rsidP="009A58EE">
            <w:pPr>
              <w:pStyle w:val="Normal-pool-Table"/>
              <w:rPr>
                <w:b/>
                <w:bCs/>
                <w:szCs w:val="18"/>
              </w:rPr>
            </w:pPr>
            <w:r w:rsidRPr="00631C1C">
              <w:rPr>
                <w:b/>
                <w:bCs/>
                <w:szCs w:val="18"/>
              </w:rPr>
              <w:t>Total assessed contributions</w:t>
            </w:r>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631C1C" w:rsidRDefault="00312042" w:rsidP="009A58EE">
            <w:pPr>
              <w:pStyle w:val="Normal-pool-Table"/>
              <w:rPr>
                <w:szCs w:val="18"/>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631C1C" w:rsidRDefault="00312042" w:rsidP="009A58EE">
            <w:pPr>
              <w:pStyle w:val="Normal-pool-Table"/>
              <w:rPr>
                <w:b/>
                <w:bCs/>
                <w:szCs w:val="18"/>
              </w:rPr>
            </w:pPr>
            <w:r w:rsidRPr="00631C1C">
              <w:rPr>
                <w:b/>
                <w:bCs/>
                <w:szCs w:val="18"/>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77777777" w:rsidR="00312042" w:rsidRPr="00631C1C" w:rsidRDefault="00312042" w:rsidP="009A58EE">
            <w:pPr>
              <w:pStyle w:val="Normal-pool-Table"/>
              <w:rPr>
                <w:b/>
                <w:bCs/>
                <w:szCs w:val="18"/>
              </w:rPr>
            </w:pPr>
            <w:r w:rsidRPr="00631C1C">
              <w:rPr>
                <w:b/>
                <w:bCs/>
                <w:szCs w:val="18"/>
              </w:rPr>
              <w:t>3 083 350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77777777" w:rsidR="00312042" w:rsidRPr="00631C1C" w:rsidRDefault="00312042" w:rsidP="009A58EE">
            <w:pPr>
              <w:pStyle w:val="Normal-pool-Table"/>
              <w:rPr>
                <w:b/>
                <w:bCs/>
                <w:szCs w:val="18"/>
              </w:rPr>
            </w:pPr>
            <w:r w:rsidRPr="00631C1C">
              <w:rPr>
                <w:b/>
                <w:bCs/>
                <w:szCs w:val="18"/>
              </w:rPr>
              <w:t>4 069 275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77777777" w:rsidR="00312042" w:rsidRPr="00631C1C" w:rsidRDefault="00312042" w:rsidP="009A58EE">
            <w:pPr>
              <w:pStyle w:val="Normal-pool-Table"/>
              <w:rPr>
                <w:b/>
                <w:bCs/>
                <w:szCs w:val="18"/>
              </w:rPr>
            </w:pPr>
            <w:r w:rsidRPr="00631C1C">
              <w:rPr>
                <w:b/>
                <w:bCs/>
                <w:szCs w:val="18"/>
              </w:rPr>
              <w:t>7 152 625</w:t>
            </w:r>
          </w:p>
        </w:tc>
      </w:tr>
      <w:tr w:rsidR="00F234CD" w:rsidRPr="00631C1C"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631C1C" w:rsidRDefault="00312042" w:rsidP="009A58EE">
            <w:pPr>
              <w:pStyle w:val="Normal-pool-Table"/>
              <w:rPr>
                <w:szCs w:val="18"/>
              </w:rPr>
            </w:pPr>
            <w:r w:rsidRPr="00631C1C">
              <w:rPr>
                <w:szCs w:val="18"/>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77777777" w:rsidR="00312042" w:rsidRPr="00631C1C" w:rsidRDefault="00312042" w:rsidP="009A58EE">
            <w:pPr>
              <w:pStyle w:val="Normal-pool-Table"/>
              <w:rPr>
                <w:b/>
                <w:bCs/>
                <w:szCs w:val="18"/>
              </w:rPr>
            </w:pPr>
            <w:r w:rsidRPr="00631C1C">
              <w:rPr>
                <w:b/>
                <w:bCs/>
                <w:szCs w:val="18"/>
              </w:rPr>
              <w:t>Total approved budget (including host country contribution*)</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631C1C" w:rsidRDefault="00312042" w:rsidP="009A58EE">
            <w:pPr>
              <w:pStyle w:val="Normal-pool-Table"/>
              <w:rPr>
                <w:szCs w:val="18"/>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631C1C" w:rsidRDefault="00312042" w:rsidP="009A58EE">
            <w:pPr>
              <w:pStyle w:val="Normal-pool-Table"/>
              <w:rPr>
                <w:b/>
                <w:bCs/>
                <w:szCs w:val="18"/>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77777777" w:rsidR="00312042" w:rsidRPr="00631C1C" w:rsidRDefault="00312042" w:rsidP="009A58EE">
            <w:pPr>
              <w:pStyle w:val="Normal-pool-Table"/>
              <w:rPr>
                <w:b/>
                <w:bCs/>
                <w:szCs w:val="18"/>
              </w:rPr>
            </w:pPr>
            <w:r w:rsidRPr="00631C1C">
              <w:rPr>
                <w:b/>
                <w:bCs/>
                <w:szCs w:val="18"/>
              </w:rPr>
              <w:t>3 727 934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77777777" w:rsidR="00312042" w:rsidRPr="00631C1C" w:rsidRDefault="00312042" w:rsidP="009A58EE">
            <w:pPr>
              <w:pStyle w:val="Normal-pool-Table"/>
              <w:rPr>
                <w:b/>
                <w:bCs/>
                <w:szCs w:val="18"/>
              </w:rPr>
            </w:pPr>
            <w:r w:rsidRPr="00631C1C">
              <w:rPr>
                <w:b/>
                <w:bCs/>
                <w:szCs w:val="18"/>
              </w:rPr>
              <w:t>4 703 619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77777777" w:rsidR="00312042" w:rsidRPr="00631C1C" w:rsidRDefault="00312042" w:rsidP="009A58EE">
            <w:pPr>
              <w:pStyle w:val="Normal-pool-Table"/>
              <w:rPr>
                <w:b/>
                <w:bCs/>
                <w:szCs w:val="18"/>
              </w:rPr>
            </w:pPr>
            <w:r w:rsidRPr="00631C1C">
              <w:rPr>
                <w:b/>
                <w:bCs/>
                <w:szCs w:val="18"/>
              </w:rPr>
              <w:t>8 431 553</w:t>
            </w:r>
          </w:p>
        </w:tc>
      </w:tr>
    </w:tbl>
    <w:p w14:paraId="78A539D2" w14:textId="697A1737" w:rsidR="00312042" w:rsidRPr="00F16F39" w:rsidRDefault="00312042" w:rsidP="00F16F39">
      <w:pPr>
        <w:spacing w:before="40"/>
        <w:ind w:left="1247"/>
        <w:rPr>
          <w:rFonts w:asciiTheme="majorBidi" w:hAnsiTheme="majorBidi" w:cstheme="majorBidi"/>
          <w:sz w:val="17"/>
          <w:szCs w:val="17"/>
        </w:rPr>
      </w:pPr>
      <w:r w:rsidRPr="00631C1C">
        <w:rPr>
          <w:rFonts w:asciiTheme="majorBidi" w:hAnsiTheme="majorBidi" w:cstheme="majorBidi"/>
          <w:i/>
          <w:iCs/>
          <w:sz w:val="17"/>
          <w:szCs w:val="17"/>
        </w:rPr>
        <w:tab/>
        <w:t xml:space="preserve">* </w:t>
      </w:r>
      <w:r w:rsidRPr="00F16F39">
        <w:rPr>
          <w:rFonts w:asciiTheme="majorBidi" w:hAnsiTheme="majorBidi" w:cstheme="majorBidi"/>
          <w:sz w:val="17"/>
          <w:szCs w:val="17"/>
        </w:rPr>
        <w:t>Includes the estimated host country contribution of Switzerland to the general trust fund in United States dollars.</w:t>
      </w:r>
    </w:p>
    <w:p w14:paraId="75A83881" w14:textId="77777777" w:rsidR="00312042" w:rsidRPr="00631C1C" w:rsidRDefault="00312042" w:rsidP="00312042">
      <w:pPr>
        <w:rPr>
          <w:rFonts w:asciiTheme="majorBidi" w:hAnsiTheme="majorBidi" w:cstheme="majorBidi"/>
        </w:rPr>
      </w:pPr>
      <w:r w:rsidRPr="00631C1C">
        <w:rPr>
          <w:rFonts w:asciiTheme="majorBidi" w:hAnsiTheme="majorBidi" w:cstheme="majorBidi"/>
        </w:rPr>
        <w:br w:type="page"/>
      </w:r>
    </w:p>
    <w:p w14:paraId="518C9995" w14:textId="35227E6E" w:rsidR="00312042" w:rsidRPr="00631C1C" w:rsidRDefault="00312042" w:rsidP="00312042">
      <w:pPr>
        <w:pStyle w:val="Titletable"/>
        <w:rPr>
          <w:rFonts w:asciiTheme="majorBidi" w:hAnsiTheme="majorBidi" w:cstheme="majorBidi"/>
          <w:b w:val="0"/>
          <w:bCs w:val="0"/>
        </w:rPr>
      </w:pPr>
      <w:r w:rsidRPr="00631C1C">
        <w:rPr>
          <w:rFonts w:asciiTheme="majorBidi" w:hAnsiTheme="majorBidi" w:cstheme="majorBidi"/>
          <w:b w:val="0"/>
          <w:bCs w:val="0"/>
        </w:rPr>
        <w:lastRenderedPageBreak/>
        <w:t>Table 3</w:t>
      </w:r>
      <w:r w:rsidRPr="00631C1C">
        <w:rPr>
          <w:rFonts w:asciiTheme="majorBidi" w:hAnsiTheme="majorBidi" w:cstheme="majorBidi"/>
          <w:b w:val="0"/>
          <w:bCs w:val="0"/>
        </w:rPr>
        <w:br/>
      </w:r>
      <w:r w:rsidRPr="00631C1C">
        <w:rPr>
          <w:rFonts w:asciiTheme="majorBidi" w:hAnsiTheme="majorBidi" w:cstheme="majorBidi"/>
        </w:rPr>
        <w:t xml:space="preserve">Indicative </w:t>
      </w:r>
      <w:r w:rsidRPr="00631C1C">
        <w:t>secretariat</w:t>
      </w:r>
      <w:r w:rsidRPr="00631C1C">
        <w:rPr>
          <w:rFonts w:asciiTheme="majorBidi" w:hAnsiTheme="majorBidi" w:cstheme="majorBidi"/>
        </w:rPr>
        <w:t xml:space="preserve"> staffing for the biennium 2026</w:t>
      </w:r>
      <w:r w:rsidR="000A19B4">
        <w:rPr>
          <w:rFonts w:asciiTheme="majorBidi" w:hAnsiTheme="majorBidi" w:cstheme="majorBidi"/>
        </w:rPr>
        <w:t>–</w:t>
      </w:r>
      <w:r w:rsidRPr="00631C1C">
        <w:rPr>
          <w:rFonts w:asciiTheme="majorBidi" w:hAnsiTheme="majorBidi" w:cstheme="majorBidi"/>
        </w:rPr>
        <w:t>2027</w:t>
      </w:r>
    </w:p>
    <w:tbl>
      <w:tblPr>
        <w:tblW w:w="8307" w:type="dxa"/>
        <w:jc w:val="right"/>
        <w:tblLook w:val="04A0" w:firstRow="1" w:lastRow="0" w:firstColumn="1" w:lastColumn="0" w:noHBand="0" w:noVBand="1"/>
      </w:tblPr>
      <w:tblGrid>
        <w:gridCol w:w="2182"/>
        <w:gridCol w:w="1426"/>
        <w:gridCol w:w="1426"/>
        <w:gridCol w:w="1842"/>
        <w:gridCol w:w="1431"/>
      </w:tblGrid>
      <w:tr w:rsidR="00316BC5" w:rsidRPr="00631C1C"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2E102C" w:rsidRDefault="00316BC5" w:rsidP="009A58EE">
            <w:pPr>
              <w:jc w:val="center"/>
              <w:rPr>
                <w:rFonts w:asciiTheme="majorBidi" w:hAnsiTheme="majorBidi" w:cstheme="majorBidi"/>
                <w:i/>
                <w:iCs/>
              </w:rPr>
            </w:pPr>
            <w:r w:rsidRPr="002E102C">
              <w:rPr>
                <w:rFonts w:asciiTheme="majorBidi" w:hAnsiTheme="majorBidi" w:cstheme="majorBidi"/>
                <w:i/>
                <w:iCs/>
              </w:rPr>
              <w:t>Staff category and level</w:t>
            </w:r>
          </w:p>
        </w:tc>
        <w:tc>
          <w:tcPr>
            <w:tcW w:w="1426" w:type="dxa"/>
            <w:tcBorders>
              <w:top w:val="single" w:sz="4" w:space="0" w:color="auto"/>
              <w:left w:val="nil"/>
              <w:bottom w:val="single" w:sz="12" w:space="0" w:color="auto"/>
              <w:right w:val="nil"/>
            </w:tcBorders>
            <w:vAlign w:val="bottom"/>
            <w:hideMark/>
          </w:tcPr>
          <w:p w14:paraId="2E3C5085"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General trust fund</w:t>
            </w:r>
          </w:p>
        </w:tc>
        <w:tc>
          <w:tcPr>
            <w:tcW w:w="1426" w:type="dxa"/>
            <w:tcBorders>
              <w:top w:val="single" w:sz="4" w:space="0" w:color="auto"/>
              <w:left w:val="nil"/>
              <w:bottom w:val="single" w:sz="12" w:space="0" w:color="auto"/>
              <w:right w:val="nil"/>
            </w:tcBorders>
            <w:vAlign w:val="bottom"/>
            <w:hideMark/>
          </w:tcPr>
          <w:p w14:paraId="5AE9DA1A"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Special trust fund</w:t>
            </w:r>
          </w:p>
        </w:tc>
        <w:tc>
          <w:tcPr>
            <w:tcW w:w="1842" w:type="dxa"/>
            <w:tcBorders>
              <w:top w:val="single" w:sz="4" w:space="0" w:color="auto"/>
              <w:left w:val="nil"/>
              <w:bottom w:val="single" w:sz="12" w:space="0" w:color="auto"/>
              <w:right w:val="nil"/>
            </w:tcBorders>
            <w:vAlign w:val="bottom"/>
            <w:hideMark/>
          </w:tcPr>
          <w:p w14:paraId="586104D7" w14:textId="45D34D8D" w:rsidR="00316BC5" w:rsidRPr="002E102C" w:rsidRDefault="00316BC5" w:rsidP="00316BC5">
            <w:pPr>
              <w:jc w:val="right"/>
              <w:rPr>
                <w:rFonts w:asciiTheme="majorBidi" w:hAnsiTheme="majorBidi" w:cstheme="majorBidi"/>
                <w:i/>
                <w:iCs/>
              </w:rPr>
            </w:pPr>
            <w:r w:rsidRPr="002E102C">
              <w:rPr>
                <w:rFonts w:asciiTheme="majorBidi" w:hAnsiTheme="majorBidi" w:cstheme="majorBidi"/>
                <w:i/>
                <w:iCs/>
              </w:rPr>
              <w:t>UNEP programme support</w:t>
            </w:r>
            <w:r w:rsidR="003E6775" w:rsidRPr="002E102C">
              <w:rPr>
                <w:rFonts w:asciiTheme="majorBidi" w:hAnsiTheme="majorBidi" w:cstheme="majorBidi"/>
                <w:i/>
                <w:iCs/>
              </w:rPr>
              <w:t xml:space="preserve"> </w:t>
            </w:r>
            <w:r w:rsidRPr="002E102C">
              <w:rPr>
                <w:rFonts w:asciiTheme="majorBidi" w:hAnsiTheme="majorBidi" w:cstheme="majorBidi"/>
                <w:i/>
                <w:iCs/>
              </w:rPr>
              <w:t>costs</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Total</w:t>
            </w:r>
          </w:p>
        </w:tc>
      </w:tr>
      <w:tr w:rsidR="00F234CD" w:rsidRPr="00631C1C"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A. Professional categories</w:t>
            </w:r>
          </w:p>
        </w:tc>
      </w:tr>
      <w:tr w:rsidR="00F234CD" w:rsidRPr="00631C1C"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AF1CAD" w:rsidRDefault="00312042" w:rsidP="009A58EE">
            <w:pPr>
              <w:rPr>
                <w:rFonts w:asciiTheme="majorBidi" w:hAnsiTheme="majorBidi" w:cstheme="majorBidi"/>
              </w:rPr>
            </w:pPr>
            <w:r w:rsidRPr="00AF1CAD">
              <w:rPr>
                <w:rFonts w:asciiTheme="majorBidi" w:hAnsiTheme="majorBidi" w:cstheme="majorBidi"/>
              </w:rPr>
              <w:t>D-1</w:t>
            </w:r>
          </w:p>
        </w:tc>
        <w:tc>
          <w:tcPr>
            <w:tcW w:w="1426" w:type="dxa"/>
            <w:tcBorders>
              <w:top w:val="nil"/>
              <w:left w:val="nil"/>
              <w:bottom w:val="nil"/>
              <w:right w:val="nil"/>
            </w:tcBorders>
            <w:noWrap/>
            <w:vAlign w:val="center"/>
            <w:hideMark/>
          </w:tcPr>
          <w:p w14:paraId="105FC90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26" w:type="dxa"/>
            <w:tcBorders>
              <w:top w:val="nil"/>
              <w:left w:val="nil"/>
              <w:bottom w:val="nil"/>
              <w:right w:val="nil"/>
            </w:tcBorders>
            <w:noWrap/>
            <w:vAlign w:val="center"/>
            <w:hideMark/>
          </w:tcPr>
          <w:p w14:paraId="45B0F1EE"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303E1B1E" w14:textId="77777777" w:rsidR="00312042" w:rsidRPr="00631C1C" w:rsidRDefault="00312042" w:rsidP="009A58EE">
            <w:pPr>
              <w:rPr>
                <w:rFonts w:asciiTheme="majorBidi" w:hAnsiTheme="majorBidi" w:cstheme="majorBidi"/>
              </w:rPr>
            </w:pPr>
          </w:p>
        </w:tc>
        <w:tc>
          <w:tcPr>
            <w:tcW w:w="1431" w:type="dxa"/>
            <w:tcBorders>
              <w:top w:val="nil"/>
              <w:left w:val="nil"/>
              <w:bottom w:val="nil"/>
              <w:right w:val="nil"/>
            </w:tcBorders>
            <w:noWrap/>
            <w:vAlign w:val="center"/>
            <w:hideMark/>
          </w:tcPr>
          <w:p w14:paraId="59A317B4"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r>
      <w:tr w:rsidR="00F234CD" w:rsidRPr="00631C1C"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AF1CAD" w:rsidRDefault="00312042" w:rsidP="009A58EE">
            <w:pPr>
              <w:rPr>
                <w:rFonts w:asciiTheme="majorBidi" w:hAnsiTheme="majorBidi" w:cstheme="majorBidi"/>
              </w:rPr>
            </w:pPr>
            <w:r w:rsidRPr="00AF1CAD">
              <w:rPr>
                <w:rFonts w:asciiTheme="majorBidi" w:hAnsiTheme="majorBidi" w:cstheme="majorBidi"/>
              </w:rPr>
              <w:t>P-5</w:t>
            </w:r>
          </w:p>
        </w:tc>
        <w:tc>
          <w:tcPr>
            <w:tcW w:w="1426" w:type="dxa"/>
            <w:tcBorders>
              <w:top w:val="nil"/>
              <w:left w:val="nil"/>
              <w:bottom w:val="nil"/>
              <w:right w:val="nil"/>
            </w:tcBorders>
            <w:noWrap/>
            <w:vAlign w:val="center"/>
            <w:hideMark/>
          </w:tcPr>
          <w:p w14:paraId="68649EE6"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26" w:type="dxa"/>
            <w:tcBorders>
              <w:top w:val="nil"/>
              <w:left w:val="nil"/>
              <w:bottom w:val="nil"/>
              <w:right w:val="nil"/>
            </w:tcBorders>
            <w:noWrap/>
            <w:vAlign w:val="center"/>
            <w:hideMark/>
          </w:tcPr>
          <w:p w14:paraId="7730C208"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842" w:type="dxa"/>
            <w:tcBorders>
              <w:top w:val="nil"/>
              <w:left w:val="nil"/>
              <w:bottom w:val="nil"/>
              <w:right w:val="nil"/>
            </w:tcBorders>
            <w:noWrap/>
            <w:vAlign w:val="center"/>
            <w:hideMark/>
          </w:tcPr>
          <w:p w14:paraId="24909D00" w14:textId="77777777" w:rsidR="00312042" w:rsidRPr="00AF1CAD" w:rsidRDefault="00312042" w:rsidP="009A58EE">
            <w:pPr>
              <w:jc w:val="right"/>
              <w:rPr>
                <w:rFonts w:asciiTheme="majorBidi" w:hAnsiTheme="majorBidi" w:cstheme="majorBidi"/>
              </w:rPr>
            </w:pPr>
          </w:p>
        </w:tc>
        <w:tc>
          <w:tcPr>
            <w:tcW w:w="1431" w:type="dxa"/>
            <w:tcBorders>
              <w:top w:val="nil"/>
              <w:left w:val="nil"/>
              <w:bottom w:val="nil"/>
              <w:right w:val="nil"/>
            </w:tcBorders>
            <w:noWrap/>
            <w:vAlign w:val="center"/>
            <w:hideMark/>
          </w:tcPr>
          <w:p w14:paraId="5AE3D8A6"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r>
      <w:tr w:rsidR="00F234CD" w:rsidRPr="00631C1C"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AF1CAD" w:rsidRDefault="00312042" w:rsidP="009A58EE">
            <w:pPr>
              <w:rPr>
                <w:rFonts w:asciiTheme="majorBidi" w:hAnsiTheme="majorBidi" w:cstheme="majorBidi"/>
              </w:rPr>
            </w:pPr>
            <w:r w:rsidRPr="00AF1CAD">
              <w:rPr>
                <w:rFonts w:asciiTheme="majorBidi" w:hAnsiTheme="majorBidi" w:cstheme="majorBidi"/>
              </w:rPr>
              <w:t>P-4</w:t>
            </w:r>
          </w:p>
        </w:tc>
        <w:tc>
          <w:tcPr>
            <w:tcW w:w="1426" w:type="dxa"/>
            <w:tcBorders>
              <w:top w:val="nil"/>
              <w:left w:val="nil"/>
              <w:bottom w:val="nil"/>
              <w:right w:val="nil"/>
            </w:tcBorders>
            <w:noWrap/>
            <w:vAlign w:val="center"/>
            <w:hideMark/>
          </w:tcPr>
          <w:p w14:paraId="7083064C"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3</w:t>
            </w:r>
          </w:p>
        </w:tc>
        <w:tc>
          <w:tcPr>
            <w:tcW w:w="1426" w:type="dxa"/>
            <w:tcBorders>
              <w:top w:val="nil"/>
              <w:left w:val="nil"/>
              <w:bottom w:val="nil"/>
              <w:right w:val="nil"/>
            </w:tcBorders>
            <w:noWrap/>
            <w:vAlign w:val="center"/>
            <w:hideMark/>
          </w:tcPr>
          <w:p w14:paraId="6D9576E9"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19FFB8AA"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nil"/>
              <w:left w:val="nil"/>
              <w:bottom w:val="nil"/>
              <w:right w:val="nil"/>
            </w:tcBorders>
            <w:noWrap/>
            <w:vAlign w:val="center"/>
            <w:hideMark/>
          </w:tcPr>
          <w:p w14:paraId="025C1A84"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4</w:t>
            </w:r>
          </w:p>
        </w:tc>
      </w:tr>
      <w:tr w:rsidR="00F234CD" w:rsidRPr="00631C1C"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AF1CAD" w:rsidRDefault="00312042" w:rsidP="009A58EE">
            <w:pPr>
              <w:rPr>
                <w:rFonts w:asciiTheme="majorBidi" w:hAnsiTheme="majorBidi" w:cstheme="majorBidi"/>
              </w:rPr>
            </w:pPr>
            <w:r w:rsidRPr="00AF1CAD">
              <w:rPr>
                <w:rFonts w:asciiTheme="majorBidi" w:hAnsiTheme="majorBidi" w:cstheme="majorBidi"/>
              </w:rPr>
              <w:t>P-3</w:t>
            </w:r>
          </w:p>
        </w:tc>
        <w:tc>
          <w:tcPr>
            <w:tcW w:w="1426" w:type="dxa"/>
            <w:tcBorders>
              <w:top w:val="nil"/>
              <w:left w:val="nil"/>
              <w:bottom w:val="nil"/>
              <w:right w:val="nil"/>
            </w:tcBorders>
            <w:noWrap/>
            <w:vAlign w:val="center"/>
            <w:hideMark/>
          </w:tcPr>
          <w:p w14:paraId="0F2D465D"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c>
          <w:tcPr>
            <w:tcW w:w="1426" w:type="dxa"/>
            <w:tcBorders>
              <w:top w:val="nil"/>
              <w:left w:val="nil"/>
              <w:bottom w:val="nil"/>
              <w:right w:val="nil"/>
            </w:tcBorders>
            <w:noWrap/>
            <w:vAlign w:val="center"/>
            <w:hideMark/>
          </w:tcPr>
          <w:p w14:paraId="56F11DC6"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7B101369" w14:textId="77777777" w:rsidR="00312042" w:rsidRPr="00631C1C" w:rsidRDefault="00312042" w:rsidP="009A58EE">
            <w:pPr>
              <w:rPr>
                <w:rFonts w:asciiTheme="majorBidi" w:hAnsiTheme="majorBidi" w:cstheme="majorBidi"/>
              </w:rPr>
            </w:pPr>
          </w:p>
        </w:tc>
        <w:tc>
          <w:tcPr>
            <w:tcW w:w="1431" w:type="dxa"/>
            <w:tcBorders>
              <w:top w:val="nil"/>
              <w:left w:val="nil"/>
              <w:bottom w:val="nil"/>
              <w:right w:val="nil"/>
            </w:tcBorders>
            <w:noWrap/>
            <w:vAlign w:val="center"/>
            <w:hideMark/>
          </w:tcPr>
          <w:p w14:paraId="32C5A539"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r>
      <w:tr w:rsidR="00F234CD" w:rsidRPr="00631C1C"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AF1CAD" w:rsidRDefault="00312042" w:rsidP="009A58EE">
            <w:pPr>
              <w:rPr>
                <w:rFonts w:asciiTheme="majorBidi" w:hAnsiTheme="majorBidi" w:cstheme="majorBidi"/>
              </w:rPr>
            </w:pPr>
            <w:r w:rsidRPr="00AF1CAD">
              <w:rPr>
                <w:rFonts w:asciiTheme="majorBidi" w:hAnsiTheme="majorBidi" w:cstheme="majorBidi"/>
              </w:rPr>
              <w:t>P-2</w:t>
            </w:r>
            <w:r w:rsidRPr="007B1491">
              <w:rPr>
                <w:rFonts w:asciiTheme="majorBidi" w:hAnsiTheme="majorBidi" w:cstheme="majorBidi"/>
                <w:i/>
                <w:iCs/>
                <w:vertAlign w:val="superscript"/>
              </w:rPr>
              <w:t>a</w:t>
            </w:r>
          </w:p>
        </w:tc>
        <w:tc>
          <w:tcPr>
            <w:tcW w:w="1426" w:type="dxa"/>
            <w:tcBorders>
              <w:top w:val="nil"/>
              <w:left w:val="nil"/>
              <w:bottom w:val="single" w:sz="4" w:space="0" w:color="auto"/>
              <w:right w:val="nil"/>
            </w:tcBorders>
            <w:noWrap/>
            <w:vAlign w:val="center"/>
            <w:hideMark/>
          </w:tcPr>
          <w:p w14:paraId="5C75C968" w14:textId="77777777" w:rsidR="00312042" w:rsidRPr="00AF1CAD" w:rsidRDefault="00312042" w:rsidP="009A58EE">
            <w:pPr>
              <w:rPr>
                <w:rFonts w:asciiTheme="majorBidi" w:hAnsiTheme="majorBidi" w:cstheme="majorBidi"/>
              </w:rPr>
            </w:pPr>
          </w:p>
        </w:tc>
        <w:tc>
          <w:tcPr>
            <w:tcW w:w="1426" w:type="dxa"/>
            <w:tcBorders>
              <w:top w:val="nil"/>
              <w:left w:val="nil"/>
              <w:bottom w:val="single" w:sz="4" w:space="0" w:color="auto"/>
              <w:right w:val="nil"/>
            </w:tcBorders>
            <w:noWrap/>
            <w:vAlign w:val="center"/>
            <w:hideMark/>
          </w:tcPr>
          <w:p w14:paraId="2DBC81A9" w14:textId="77777777" w:rsidR="00312042" w:rsidRPr="00631C1C" w:rsidRDefault="00312042" w:rsidP="009A58EE">
            <w:pPr>
              <w:rPr>
                <w:rFonts w:asciiTheme="majorBidi" w:hAnsiTheme="majorBidi" w:cstheme="majorBidi"/>
              </w:rPr>
            </w:pPr>
          </w:p>
        </w:tc>
        <w:tc>
          <w:tcPr>
            <w:tcW w:w="1842" w:type="dxa"/>
            <w:tcBorders>
              <w:top w:val="nil"/>
              <w:left w:val="nil"/>
              <w:bottom w:val="single" w:sz="4" w:space="0" w:color="auto"/>
              <w:right w:val="nil"/>
            </w:tcBorders>
            <w:noWrap/>
            <w:vAlign w:val="center"/>
            <w:hideMark/>
          </w:tcPr>
          <w:p w14:paraId="33C6F2E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nil"/>
              <w:left w:val="nil"/>
              <w:bottom w:val="single" w:sz="4" w:space="0" w:color="auto"/>
              <w:right w:val="nil"/>
            </w:tcBorders>
            <w:noWrap/>
            <w:vAlign w:val="center"/>
            <w:hideMark/>
          </w:tcPr>
          <w:p w14:paraId="726279B0"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r>
      <w:tr w:rsidR="00F234CD" w:rsidRPr="00631C1C"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Subtotal (A)</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10</w:t>
            </w:r>
          </w:p>
        </w:tc>
      </w:tr>
      <w:tr w:rsidR="00F234CD" w:rsidRPr="00631C1C"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B. General Service category</w:t>
            </w:r>
          </w:p>
        </w:tc>
      </w:tr>
      <w:tr w:rsidR="00F234CD" w:rsidRPr="00631C1C"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AF1CAD" w:rsidRDefault="00312042" w:rsidP="009A58EE">
            <w:pPr>
              <w:rPr>
                <w:rFonts w:asciiTheme="majorBidi" w:hAnsiTheme="majorBidi" w:cstheme="majorBidi"/>
              </w:rPr>
            </w:pPr>
            <w:proofErr w:type="spellStart"/>
            <w:r w:rsidRPr="00AF1CAD">
              <w:rPr>
                <w:rFonts w:asciiTheme="majorBidi" w:hAnsiTheme="majorBidi" w:cstheme="majorBidi"/>
              </w:rPr>
              <w:t>GS</w:t>
            </w:r>
            <w:r w:rsidRPr="007B1491">
              <w:rPr>
                <w:rFonts w:asciiTheme="majorBidi" w:hAnsiTheme="majorBidi" w:cstheme="majorBidi"/>
                <w:i/>
                <w:iCs/>
                <w:vertAlign w:val="superscript"/>
              </w:rPr>
              <w:t>b</w:t>
            </w:r>
            <w:proofErr w:type="spellEnd"/>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AF1CAD" w:rsidRDefault="00312042" w:rsidP="009A58EE">
            <w:pPr>
              <w:jc w:val="right"/>
              <w:rPr>
                <w:rFonts w:asciiTheme="majorBidi" w:hAnsiTheme="majorBidi" w:cstheme="majorBidi"/>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5</w:t>
            </w:r>
          </w:p>
        </w:tc>
      </w:tr>
      <w:tr w:rsidR="00F234CD" w:rsidRPr="00631C1C"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Subtotal (B)</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5</w:t>
            </w:r>
          </w:p>
        </w:tc>
      </w:tr>
      <w:tr w:rsidR="00F234CD" w:rsidRPr="00631C1C"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Total (A + B)</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15</w:t>
            </w:r>
          </w:p>
        </w:tc>
      </w:tr>
    </w:tbl>
    <w:p w14:paraId="08443095" w14:textId="4BDC9B3C" w:rsidR="00E35F69" w:rsidRPr="00656DE5" w:rsidRDefault="00E35F69" w:rsidP="00312042">
      <w:pPr>
        <w:pStyle w:val="Normal-pool"/>
        <w:spacing w:before="60"/>
        <w:ind w:left="1247"/>
        <w:rPr>
          <w:rFonts w:asciiTheme="majorBidi" w:hAnsiTheme="majorBidi" w:cstheme="majorBidi"/>
          <w:sz w:val="17"/>
          <w:szCs w:val="17"/>
          <w:lang w:eastAsia="zh-CN"/>
        </w:rPr>
      </w:pPr>
      <w:r w:rsidRPr="00656DE5">
        <w:rPr>
          <w:rFonts w:asciiTheme="majorBidi" w:hAnsiTheme="majorBidi" w:cstheme="majorBidi"/>
          <w:sz w:val="17"/>
          <w:szCs w:val="17"/>
          <w:lang w:eastAsia="zh-CN"/>
        </w:rPr>
        <w:tab/>
      </w:r>
      <w:r w:rsidRPr="007B1491">
        <w:rPr>
          <w:rFonts w:asciiTheme="majorBidi" w:hAnsiTheme="majorBidi" w:cstheme="majorBidi"/>
          <w:i/>
          <w:iCs/>
          <w:sz w:val="17"/>
          <w:szCs w:val="17"/>
          <w:lang w:eastAsia="zh-CN"/>
        </w:rPr>
        <w:t>Abbreviation</w:t>
      </w:r>
      <w:r>
        <w:rPr>
          <w:rFonts w:asciiTheme="majorBidi" w:hAnsiTheme="majorBidi" w:cstheme="majorBidi"/>
          <w:sz w:val="17"/>
          <w:szCs w:val="17"/>
          <w:lang w:eastAsia="zh-CN"/>
        </w:rPr>
        <w:t>:</w:t>
      </w:r>
      <w:r w:rsidRPr="00AF1CAD">
        <w:rPr>
          <w:rFonts w:asciiTheme="majorBidi" w:hAnsiTheme="majorBidi" w:cstheme="majorBidi"/>
          <w:sz w:val="17"/>
          <w:szCs w:val="17"/>
          <w:lang w:eastAsia="zh-CN"/>
        </w:rPr>
        <w:t xml:space="preserve"> </w:t>
      </w:r>
      <w:r>
        <w:rPr>
          <w:rFonts w:asciiTheme="majorBidi" w:hAnsiTheme="majorBidi" w:cstheme="majorBidi"/>
          <w:sz w:val="17"/>
          <w:szCs w:val="17"/>
          <w:lang w:eastAsia="zh-CN"/>
        </w:rPr>
        <w:t>UNEP – United Nations Environment Programme</w:t>
      </w:r>
      <w:r w:rsidRPr="00AF1CAD">
        <w:rPr>
          <w:rFonts w:asciiTheme="majorBidi" w:hAnsiTheme="majorBidi" w:cstheme="majorBidi"/>
          <w:sz w:val="17"/>
          <w:szCs w:val="17"/>
          <w:lang w:eastAsia="zh-CN"/>
        </w:rPr>
        <w:t>.</w:t>
      </w:r>
    </w:p>
    <w:p w14:paraId="0EDBFB52" w14:textId="1FABE5CB" w:rsidR="00312042" w:rsidRPr="00AF1CAD" w:rsidRDefault="00312042" w:rsidP="00312042">
      <w:pPr>
        <w:pStyle w:val="Normal-pool"/>
        <w:spacing w:before="60"/>
        <w:ind w:left="1247"/>
        <w:rPr>
          <w:rFonts w:asciiTheme="majorBidi" w:hAnsiTheme="majorBidi" w:cstheme="majorBidi"/>
          <w:sz w:val="17"/>
          <w:szCs w:val="17"/>
          <w:lang w:eastAsia="zh-CN"/>
        </w:rPr>
      </w:pPr>
      <w:r w:rsidRPr="00AF1CAD">
        <w:rPr>
          <w:rFonts w:asciiTheme="majorBidi" w:hAnsiTheme="majorBidi" w:cstheme="majorBidi"/>
          <w:sz w:val="17"/>
          <w:szCs w:val="17"/>
          <w:vertAlign w:val="superscript"/>
          <w:lang w:eastAsia="zh-CN"/>
        </w:rPr>
        <w:tab/>
      </w:r>
      <w:r w:rsidRPr="007B1491">
        <w:rPr>
          <w:rFonts w:asciiTheme="majorBidi" w:hAnsiTheme="majorBidi" w:cstheme="majorBidi"/>
          <w:i/>
          <w:iCs/>
          <w:sz w:val="17"/>
          <w:szCs w:val="17"/>
          <w:vertAlign w:val="superscript"/>
          <w:lang w:eastAsia="zh-CN"/>
        </w:rPr>
        <w:t>a</w:t>
      </w:r>
      <w:r w:rsidRPr="00AF1CAD">
        <w:rPr>
          <w:rFonts w:asciiTheme="majorBidi" w:hAnsiTheme="majorBidi" w:cstheme="majorBidi"/>
          <w:sz w:val="17"/>
          <w:szCs w:val="17"/>
          <w:lang w:eastAsia="zh-CN"/>
        </w:rPr>
        <w:t xml:space="preserve"> </w:t>
      </w:r>
      <w:proofErr w:type="spellStart"/>
      <w:r w:rsidRPr="00AF1CAD">
        <w:rPr>
          <w:rFonts w:asciiTheme="majorBidi" w:hAnsiTheme="majorBidi" w:cstheme="majorBidi"/>
          <w:sz w:val="17"/>
          <w:szCs w:val="17"/>
          <w:lang w:eastAsia="zh-CN"/>
        </w:rPr>
        <w:t>A</w:t>
      </w:r>
      <w:proofErr w:type="spellEnd"/>
      <w:r w:rsidRPr="00AF1CAD">
        <w:rPr>
          <w:rFonts w:asciiTheme="majorBidi" w:hAnsiTheme="majorBidi" w:cstheme="majorBidi"/>
          <w:sz w:val="17"/>
          <w:szCs w:val="17"/>
          <w:lang w:eastAsia="zh-CN"/>
        </w:rPr>
        <w:t xml:space="preserve"> P-2 Associate Administrative Officer funded by UNEP programme support costs joined in December</w:t>
      </w:r>
      <w:r w:rsidR="004C2F27">
        <w:rPr>
          <w:rFonts w:asciiTheme="majorBidi" w:hAnsiTheme="majorBidi" w:cstheme="majorBidi"/>
          <w:sz w:val="17"/>
          <w:szCs w:val="17"/>
          <w:lang w:eastAsia="zh-CN"/>
        </w:rPr>
        <w:t xml:space="preserve"> </w:t>
      </w:r>
      <w:r w:rsidRPr="00AF1CAD">
        <w:rPr>
          <w:rFonts w:asciiTheme="majorBidi" w:hAnsiTheme="majorBidi" w:cstheme="majorBidi"/>
          <w:sz w:val="17"/>
          <w:szCs w:val="17"/>
          <w:lang w:eastAsia="zh-CN"/>
        </w:rPr>
        <w:t>2024 (position at 50 per cent).</w:t>
      </w:r>
    </w:p>
    <w:p w14:paraId="28452FA3" w14:textId="03AC1827" w:rsidR="00312042" w:rsidRPr="00AF1CAD" w:rsidRDefault="00312042" w:rsidP="00312042">
      <w:pPr>
        <w:pStyle w:val="Normal-pool"/>
        <w:spacing w:before="60"/>
        <w:ind w:left="1247"/>
        <w:rPr>
          <w:rFonts w:asciiTheme="majorBidi" w:hAnsiTheme="majorBidi" w:cstheme="majorBidi"/>
          <w:sz w:val="17"/>
          <w:szCs w:val="17"/>
          <w:lang w:eastAsia="zh-CN"/>
        </w:rPr>
      </w:pPr>
      <w:r w:rsidRPr="00AF1CAD">
        <w:rPr>
          <w:rFonts w:asciiTheme="majorBidi" w:hAnsiTheme="majorBidi" w:cstheme="majorBidi"/>
          <w:sz w:val="17"/>
          <w:szCs w:val="17"/>
          <w:vertAlign w:val="superscript"/>
          <w:lang w:eastAsia="zh-CN"/>
        </w:rPr>
        <w:tab/>
      </w:r>
      <w:r w:rsidRPr="007B1491">
        <w:rPr>
          <w:rFonts w:asciiTheme="majorBidi" w:hAnsiTheme="majorBidi" w:cstheme="majorBidi"/>
          <w:i/>
          <w:iCs/>
          <w:sz w:val="17"/>
          <w:szCs w:val="17"/>
          <w:vertAlign w:val="superscript"/>
          <w:lang w:eastAsia="zh-CN"/>
        </w:rPr>
        <w:t>b</w:t>
      </w:r>
      <w:r w:rsidRPr="00AF1CAD">
        <w:rPr>
          <w:rFonts w:asciiTheme="majorBidi" w:hAnsiTheme="majorBidi" w:cstheme="majorBidi"/>
          <w:sz w:val="17"/>
          <w:szCs w:val="17"/>
          <w:lang w:eastAsia="zh-CN"/>
        </w:rPr>
        <w:t xml:space="preserve"> </w:t>
      </w:r>
      <w:proofErr w:type="gramStart"/>
      <w:r w:rsidRPr="00AF1CAD">
        <w:rPr>
          <w:rFonts w:asciiTheme="majorBidi" w:hAnsiTheme="majorBidi" w:cstheme="majorBidi"/>
          <w:sz w:val="17"/>
          <w:szCs w:val="17"/>
          <w:lang w:eastAsia="zh-CN"/>
        </w:rPr>
        <w:t>The</w:t>
      </w:r>
      <w:proofErr w:type="gramEnd"/>
      <w:r w:rsidRPr="00AF1CAD">
        <w:rPr>
          <w:rFonts w:asciiTheme="majorBidi" w:hAnsiTheme="majorBidi" w:cstheme="majorBidi"/>
          <w:sz w:val="17"/>
          <w:szCs w:val="17"/>
          <w:lang w:eastAsia="zh-CN"/>
        </w:rPr>
        <w:t xml:space="preserve"> GS-5 Administrative Assistant position remains vacant for the biennium 2026</w:t>
      </w:r>
      <w:r w:rsidR="00E35F69">
        <w:rPr>
          <w:rFonts w:asciiTheme="majorBidi" w:hAnsiTheme="majorBidi" w:cstheme="majorBidi"/>
          <w:sz w:val="17"/>
          <w:szCs w:val="17"/>
          <w:lang w:eastAsia="zh-CN"/>
        </w:rPr>
        <w:t>–</w:t>
      </w:r>
      <w:r w:rsidRPr="00AF1CAD">
        <w:rPr>
          <w:rFonts w:asciiTheme="majorBidi" w:hAnsiTheme="majorBidi" w:cstheme="majorBidi"/>
          <w:sz w:val="17"/>
          <w:szCs w:val="17"/>
          <w:lang w:eastAsia="zh-CN"/>
        </w:rPr>
        <w:t>2027 and is expected to be filled when funds become available.</w:t>
      </w:r>
    </w:p>
    <w:p w14:paraId="0141588F" w14:textId="77777777" w:rsidR="00312042" w:rsidRPr="00631C1C" w:rsidRDefault="00312042" w:rsidP="00312042">
      <w:pPr>
        <w:pStyle w:val="Normal-pool"/>
      </w:pPr>
      <w:r w:rsidRPr="00631C1C">
        <w:br w:type="page"/>
      </w:r>
    </w:p>
    <w:p w14:paraId="42EF1F58" w14:textId="0813315C" w:rsidR="00312042" w:rsidRPr="00631C1C" w:rsidRDefault="00312042" w:rsidP="00312042">
      <w:pPr>
        <w:pStyle w:val="CH2"/>
      </w:pPr>
      <w:bookmarkStart w:id="84" w:name="_Toc213853079"/>
      <w:r w:rsidRPr="00631C1C">
        <w:lastRenderedPageBreak/>
        <w:tab/>
      </w:r>
      <w:r w:rsidRPr="00631C1C">
        <w:tab/>
      </w:r>
      <w:bookmarkStart w:id="85" w:name="_Toc219712828"/>
      <w:r w:rsidRPr="00631C1C">
        <w:t xml:space="preserve">Decision MC-6/22: </w:t>
      </w:r>
      <w:r w:rsidR="00A549CF">
        <w:t xml:space="preserve">Dates </w:t>
      </w:r>
      <w:r w:rsidR="00A549CF" w:rsidRPr="00A549CF">
        <w:t xml:space="preserve">and </w:t>
      </w:r>
      <w:r w:rsidR="00A549CF" w:rsidRPr="007B1491">
        <w:t>v</w:t>
      </w:r>
      <w:r w:rsidRPr="00A549CF">
        <w:t>enue</w:t>
      </w:r>
      <w:r w:rsidRPr="00631C1C">
        <w:t xml:space="preserve"> of the seventh meeting of the Conference of the Parties to the Minamata Convention on Mercury</w:t>
      </w:r>
      <w:bookmarkEnd w:id="84"/>
      <w:bookmarkEnd w:id="85"/>
    </w:p>
    <w:p w14:paraId="6A92520D" w14:textId="77777777"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0A62B549" w14:textId="174297A4" w:rsidR="00312042" w:rsidRPr="00284598"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284598">
        <w:rPr>
          <w:rFonts w:asciiTheme="majorBidi" w:hAnsiTheme="majorBidi" w:cstheme="majorBidi"/>
          <w:i/>
          <w:iCs/>
        </w:rPr>
        <w:t xml:space="preserve">Decides </w:t>
      </w:r>
      <w:r w:rsidRPr="00284598">
        <w:rPr>
          <w:rFonts w:asciiTheme="majorBidi" w:hAnsiTheme="majorBidi" w:cstheme="majorBidi"/>
        </w:rPr>
        <w:t>to convene the next meeting of the Conference of the Parties to the Minamata Convention on Mercury in Geneva</w:t>
      </w:r>
      <w:r w:rsidR="001F21EB" w:rsidRPr="00284598">
        <w:rPr>
          <w:rFonts w:asciiTheme="majorBidi" w:hAnsiTheme="majorBidi" w:cstheme="majorBidi"/>
        </w:rPr>
        <w:t xml:space="preserve"> from 14 to 18 June 2027</w:t>
      </w:r>
      <w:r w:rsidRPr="00284598">
        <w:rPr>
          <w:rFonts w:asciiTheme="majorBidi" w:hAnsiTheme="majorBidi" w:cstheme="majorBidi"/>
        </w:rPr>
        <w:t>;</w:t>
      </w:r>
      <w:r w:rsidR="00E6519C">
        <w:rPr>
          <w:rStyle w:val="FootnoteReference"/>
          <w:rFonts w:cstheme="majorBidi"/>
        </w:rPr>
        <w:footnoteReference w:id="46"/>
      </w:r>
      <w:r w:rsidR="00C0031B" w:rsidRPr="00284598">
        <w:rPr>
          <w:rStyle w:val="CommentReference"/>
        </w:rPr>
        <w:t xml:space="preserve"> </w:t>
      </w:r>
    </w:p>
    <w:p w14:paraId="07D16EF7" w14:textId="77777777"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Requests</w:t>
      </w:r>
      <w:r w:rsidRPr="00631C1C">
        <w:rPr>
          <w:rFonts w:asciiTheme="majorBidi" w:hAnsiTheme="majorBidi" w:cstheme="majorBidi"/>
        </w:rPr>
        <w:t xml:space="preserve"> the Executive Secretary,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assist parties in their preparations for the meeting, to support, subject to the availability of resources, regional meetings, held in coordination with other </w:t>
      </w:r>
      <w:r w:rsidRPr="00631C1C">
        <w:rPr>
          <w:rFonts w:asciiTheme="majorBidi" w:hAnsiTheme="majorBidi" w:cstheme="majorBidi"/>
          <w:iCs/>
        </w:rPr>
        <w:t>regional</w:t>
      </w:r>
      <w:r w:rsidRPr="00631C1C">
        <w:rPr>
          <w:rFonts w:asciiTheme="majorBidi" w:hAnsiTheme="majorBidi" w:cstheme="majorBidi"/>
        </w:rPr>
        <w:t xml:space="preserve"> meetings, to facilitate regional preparatory </w:t>
      </w:r>
      <w:proofErr w:type="gramStart"/>
      <w:r w:rsidRPr="00631C1C">
        <w:rPr>
          <w:rFonts w:asciiTheme="majorBidi" w:hAnsiTheme="majorBidi" w:cstheme="majorBidi"/>
        </w:rPr>
        <w:t>processes;</w:t>
      </w:r>
      <w:proofErr w:type="gramEnd"/>
      <w:r w:rsidRPr="00631C1C">
        <w:rPr>
          <w:rFonts w:asciiTheme="majorBidi" w:hAnsiTheme="majorBidi" w:cstheme="majorBidi"/>
        </w:rPr>
        <w:t xml:space="preserve"> </w:t>
      </w:r>
    </w:p>
    <w:p w14:paraId="089AAB1D" w14:textId="2A91C3F2"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 xml:space="preserve">the Executive Secretary,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further assist parties and regions in their preparations, to distribute the provisional agenda, together with supporting documents, to the parties, in the official languages of the </w:t>
      </w:r>
      <w:r w:rsidR="0039520C">
        <w:rPr>
          <w:rFonts w:asciiTheme="majorBidi" w:hAnsiTheme="majorBidi" w:cstheme="majorBidi"/>
        </w:rPr>
        <w:t>United Nations</w:t>
      </w:r>
      <w:r w:rsidRPr="00631C1C">
        <w:rPr>
          <w:rFonts w:asciiTheme="majorBidi" w:hAnsiTheme="majorBidi" w:cstheme="majorBidi"/>
        </w:rPr>
        <w:t xml:space="preserve">, at least eight weeks before the opening of future meetings of the Conference of the </w:t>
      </w:r>
      <w:proofErr w:type="gramStart"/>
      <w:r w:rsidRPr="00631C1C">
        <w:rPr>
          <w:rFonts w:asciiTheme="majorBidi" w:hAnsiTheme="majorBidi" w:cstheme="majorBidi"/>
        </w:rPr>
        <w:t>Parties;</w:t>
      </w:r>
      <w:proofErr w:type="gramEnd"/>
    </w:p>
    <w:p w14:paraId="30A31F8C" w14:textId="3516D6A2"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w:t>
      </w:r>
      <w:r w:rsidRPr="00631C1C">
        <w:rPr>
          <w:rFonts w:asciiTheme="majorBidi" w:hAnsiTheme="majorBidi" w:cstheme="majorBidi"/>
          <w:shd w:val="clear" w:color="auto" w:fill="FFFFFF" w:themeFill="background1"/>
        </w:rPr>
        <w:t>parties to submit offers to host the eighth meeting of the Conference of the Parties at least three months before the opening of the seventh meeting, for consideration by the Conference</w:t>
      </w:r>
      <w:r w:rsidRPr="00631C1C">
        <w:rPr>
          <w:rFonts w:asciiTheme="majorBidi" w:hAnsiTheme="majorBidi" w:cstheme="majorBidi"/>
        </w:rPr>
        <w:t xml:space="preserve"> of the Parties</w:t>
      </w:r>
      <w:r w:rsidRPr="00631C1C">
        <w:rPr>
          <w:rFonts w:asciiTheme="majorBidi" w:hAnsiTheme="majorBidi" w:cstheme="majorBidi"/>
          <w:shd w:val="clear" w:color="auto" w:fill="FFFFFF" w:themeFill="background1"/>
        </w:rPr>
        <w:t xml:space="preserve"> at its seventh meeting</w:t>
      </w:r>
      <w:r w:rsidRPr="00631C1C">
        <w:rPr>
          <w:rFonts w:asciiTheme="majorBidi" w:hAnsiTheme="majorBidi" w:cstheme="majorBidi"/>
        </w:rPr>
        <w:t>.</w:t>
      </w:r>
    </w:p>
    <w:p w14:paraId="7CFE178C" w14:textId="77777777"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E84D8D">
      <w:headerReference w:type="even" r:id="rId19"/>
      <w:headerReference w:type="default" r:id="rId20"/>
      <w:headerReference w:type="first" r:id="rId21"/>
      <w:footerReference w:type="first" r:id="rId22"/>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EAA4" w14:textId="77777777" w:rsidR="00A62F42" w:rsidRPr="00CD5597" w:rsidRDefault="00A62F42">
      <w:r w:rsidRPr="00CD5597">
        <w:separator/>
      </w:r>
    </w:p>
  </w:endnote>
  <w:endnote w:type="continuationSeparator" w:id="0">
    <w:p w14:paraId="48529255" w14:textId="77777777" w:rsidR="00A62F42" w:rsidRPr="00CD5597" w:rsidRDefault="00A62F42">
      <w:r w:rsidRPr="00CD5597">
        <w:continuationSeparator/>
      </w:r>
    </w:p>
  </w:endnote>
  <w:endnote w:type="continuationNotice" w:id="1">
    <w:p w14:paraId="6C98A18A" w14:textId="77777777" w:rsidR="00A62F42" w:rsidRDefault="00A62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04B64EDC" w:rsidR="00312042" w:rsidRDefault="00E84D8D" w:rsidP="00E84D8D">
    <w:pPr>
      <w:pStyle w:val="Footer-jobnumber"/>
    </w:pPr>
    <w:bookmarkStart w:id="13" w:name="FooterJobDate"/>
    <w:r>
      <w:t>K</w:t>
    </w:r>
    <w:r w:rsidR="00FC727F">
      <w:t>2519185</w:t>
    </w:r>
    <w:r>
      <w:t>[E]</w:t>
    </w:r>
    <w:r w:rsidR="00714D70">
      <w:tab/>
      <w:t>170</w:t>
    </w:r>
    <w:r w:rsidR="009B01E6">
      <w:t>3</w:t>
    </w:r>
    <w:r w:rsidR="00714D70">
      <w:t>26</w:t>
    </w:r>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9344" w14:textId="77777777" w:rsidR="00A62F42" w:rsidRPr="00CD5597" w:rsidRDefault="00A62F42" w:rsidP="00C70B49">
      <w:pPr>
        <w:pStyle w:val="Footnote-Separator"/>
        <w:rPr>
          <w:szCs w:val="18"/>
        </w:rPr>
      </w:pPr>
      <w:r w:rsidRPr="00CD5597">
        <w:separator/>
      </w:r>
    </w:p>
  </w:footnote>
  <w:footnote w:type="continuationSeparator" w:id="0">
    <w:p w14:paraId="4F784640" w14:textId="77777777" w:rsidR="00A62F42" w:rsidRPr="00CD5597" w:rsidRDefault="00A62F42" w:rsidP="00C70B49">
      <w:pPr>
        <w:pStyle w:val="Footnote-Separator"/>
      </w:pPr>
      <w:r w:rsidRPr="00CD5597">
        <w:continuationSeparator/>
      </w:r>
    </w:p>
  </w:footnote>
  <w:footnote w:type="continuationNotice" w:id="1">
    <w:p w14:paraId="34844B39" w14:textId="77777777" w:rsidR="00A62F42" w:rsidRPr="00CD5597" w:rsidRDefault="00A62F42" w:rsidP="00C70B49">
      <w:pPr>
        <w:pStyle w:val="ASpacer"/>
      </w:pPr>
    </w:p>
  </w:footnote>
  <w:footnote w:id="2">
    <w:p w14:paraId="35A1D58E" w14:textId="36CB9462" w:rsidR="00312042" w:rsidRPr="00AF1CAD" w:rsidRDefault="00312042" w:rsidP="00312042">
      <w:pPr>
        <w:pStyle w:val="Footnote-Text"/>
        <w:rPr>
          <w:szCs w:val="18"/>
          <w:lang w:val="es-ES"/>
        </w:rPr>
      </w:pPr>
      <w:r w:rsidRPr="00631C1C">
        <w:rPr>
          <w:rStyle w:val="FootnoteReference"/>
          <w:sz w:val="18"/>
        </w:rPr>
        <w:footnoteRef/>
      </w:r>
      <w:r w:rsidRPr="00AF1CAD">
        <w:rPr>
          <w:szCs w:val="18"/>
          <w:lang w:val="es-ES"/>
        </w:rPr>
        <w:t xml:space="preserve"> UNEP/MC/COP.6/14, annex, para. 3 (b).</w:t>
      </w:r>
    </w:p>
  </w:footnote>
  <w:footnote w:id="3">
    <w:p w14:paraId="1C8A6E7F" w14:textId="3B084892" w:rsidR="00312042" w:rsidRPr="00631C1C" w:rsidRDefault="00312042" w:rsidP="00312042">
      <w:pPr>
        <w:pStyle w:val="Footnote-Text"/>
        <w:rPr>
          <w:szCs w:val="18"/>
        </w:rPr>
      </w:pPr>
      <w:r w:rsidRPr="00631C1C">
        <w:rPr>
          <w:rStyle w:val="FootnoteReference"/>
          <w:sz w:val="18"/>
        </w:rPr>
        <w:footnoteRef/>
      </w:r>
      <w:r w:rsidRPr="00631C1C">
        <w:rPr>
          <w:szCs w:val="18"/>
        </w:rPr>
        <w:t xml:space="preserve"> For example, the newly launched project entitled “Accelerate Minamata Convention compliance through improved understanding and control of mercury trade in Latin America”.</w:t>
      </w:r>
    </w:p>
  </w:footnote>
  <w:footnote w:id="4">
    <w:p w14:paraId="013A1712" w14:textId="6F52ABC9" w:rsidR="006A51FD" w:rsidRPr="00636DE0" w:rsidRDefault="006A51FD" w:rsidP="006A51FD">
      <w:pPr>
        <w:pStyle w:val="Footnote-Text"/>
        <w:rPr>
          <w:szCs w:val="18"/>
        </w:rPr>
      </w:pPr>
      <w:r w:rsidRPr="00631C1C">
        <w:rPr>
          <w:rStyle w:val="FootnoteReference"/>
          <w:sz w:val="18"/>
        </w:rPr>
        <w:footnoteRef/>
      </w:r>
      <w:r w:rsidRPr="00636DE0">
        <w:rPr>
          <w:szCs w:val="18"/>
        </w:rPr>
        <w:t xml:space="preserve"> </w:t>
      </w:r>
      <w:r w:rsidRPr="006A51FD">
        <w:rPr>
          <w:szCs w:val="18"/>
        </w:rPr>
        <w:t>UNEP/MC/COP.6/26</w:t>
      </w:r>
      <w:r w:rsidRPr="00636DE0">
        <w:rPr>
          <w:szCs w:val="18"/>
        </w:rPr>
        <w:t>.</w:t>
      </w:r>
    </w:p>
  </w:footnote>
  <w:footnote w:id="5">
    <w:p w14:paraId="3A3ABC83" w14:textId="77777777" w:rsidR="00D86B1A" w:rsidRPr="00631C1C" w:rsidRDefault="00D86B1A" w:rsidP="00D86B1A">
      <w:pPr>
        <w:pStyle w:val="Footnote-Text"/>
        <w:rPr>
          <w:szCs w:val="18"/>
        </w:rPr>
      </w:pPr>
      <w:r w:rsidRPr="00631C1C">
        <w:rPr>
          <w:rStyle w:val="FootnoteReference"/>
          <w:sz w:val="18"/>
        </w:rPr>
        <w:footnoteRef/>
      </w:r>
      <w:r w:rsidRPr="00631C1C">
        <w:rPr>
          <w:szCs w:val="18"/>
        </w:rPr>
        <w:t xml:space="preserve"> The guidance was adopted in decision MC-1/2.</w:t>
      </w:r>
    </w:p>
  </w:footnote>
  <w:footnote w:id="6">
    <w:p w14:paraId="7E329062" w14:textId="12E21E32" w:rsidR="00924456" w:rsidRPr="000A43B3" w:rsidRDefault="00924456" w:rsidP="00924456">
      <w:pPr>
        <w:pStyle w:val="Footnote-Text"/>
        <w:rPr>
          <w:szCs w:val="18"/>
        </w:rPr>
      </w:pPr>
      <w:r w:rsidRPr="00631C1C">
        <w:rPr>
          <w:rStyle w:val="FootnoteReference"/>
          <w:sz w:val="18"/>
        </w:rPr>
        <w:footnoteRef/>
      </w:r>
      <w:r w:rsidRPr="000A43B3">
        <w:rPr>
          <w:szCs w:val="18"/>
        </w:rPr>
        <w:t xml:space="preserve"> </w:t>
      </w:r>
      <w:r w:rsidRPr="006A51FD">
        <w:rPr>
          <w:szCs w:val="18"/>
        </w:rPr>
        <w:t>UNEP/MC/COP.6/2</w:t>
      </w:r>
      <w:r>
        <w:rPr>
          <w:szCs w:val="18"/>
        </w:rPr>
        <w:t>7</w:t>
      </w:r>
      <w:r w:rsidRPr="000A43B3">
        <w:rPr>
          <w:szCs w:val="18"/>
        </w:rPr>
        <w:t>.</w:t>
      </w:r>
    </w:p>
  </w:footnote>
  <w:footnote w:id="7">
    <w:p w14:paraId="62A8509C" w14:textId="77777777" w:rsidR="00D86B1A" w:rsidRPr="00631C1C" w:rsidRDefault="00D86B1A" w:rsidP="00D86B1A">
      <w:pPr>
        <w:pStyle w:val="Footnote-Text"/>
        <w:rPr>
          <w:szCs w:val="18"/>
        </w:rPr>
      </w:pPr>
      <w:r w:rsidRPr="00631C1C">
        <w:rPr>
          <w:rStyle w:val="FootnoteReference"/>
          <w:sz w:val="18"/>
        </w:rPr>
        <w:footnoteRef/>
      </w:r>
      <w:r w:rsidRPr="00631C1C">
        <w:rPr>
          <w:szCs w:val="18"/>
        </w:rPr>
        <w:t xml:space="preserve"> The guidance was adopted in decision MC-1/2.</w:t>
      </w:r>
    </w:p>
  </w:footnote>
  <w:footnote w:id="8">
    <w:p w14:paraId="11710DFF" w14:textId="61F41309" w:rsidR="00E10A40" w:rsidRPr="00631C1C" w:rsidRDefault="00E10A40" w:rsidP="00E10A40">
      <w:pPr>
        <w:pStyle w:val="Footnote-Text"/>
      </w:pPr>
      <w:r w:rsidRPr="00631C1C">
        <w:rPr>
          <w:rStyle w:val="FootnoteReference"/>
        </w:rPr>
        <w:footnoteRef/>
      </w:r>
      <w:r w:rsidRPr="00631C1C">
        <w:t xml:space="preserve"> </w:t>
      </w:r>
      <w:r w:rsidRPr="00E10A40">
        <w:t>UNEP/MC/COP.6/5/Add.1</w:t>
      </w:r>
      <w:r w:rsidRPr="00631C1C">
        <w:t>.</w:t>
      </w:r>
    </w:p>
  </w:footnote>
  <w:footnote w:id="9">
    <w:p w14:paraId="00E2DC8A" w14:textId="4834D5C6" w:rsidR="00312042" w:rsidRPr="00631C1C" w:rsidRDefault="00312042" w:rsidP="00312042">
      <w:pPr>
        <w:pStyle w:val="Footnote-Text"/>
      </w:pPr>
      <w:r w:rsidRPr="00631C1C">
        <w:rPr>
          <w:rStyle w:val="FootnoteReference"/>
        </w:rPr>
        <w:footnoteRef/>
      </w:r>
      <w:r w:rsidRPr="00631C1C">
        <w:t xml:space="preserve"> This work is intended to study mercury compounds that may be used in products or processes, or that can be converted to elemental mercury. It is not intended to cover mercury compounds that fall under the definition of mercury wastes in accordance with paragraph 2 of article 11.</w:t>
      </w:r>
    </w:p>
  </w:footnote>
  <w:footnote w:id="10">
    <w:p w14:paraId="4485C47E" w14:textId="471EB457" w:rsidR="00847BEF" w:rsidRPr="00847BEF" w:rsidRDefault="00847BEF" w:rsidP="00847BEF">
      <w:pPr>
        <w:pStyle w:val="Footnote-Text"/>
        <w:rPr>
          <w:lang w:val="en-US"/>
        </w:rPr>
      </w:pPr>
      <w:r>
        <w:rPr>
          <w:rStyle w:val="FootnoteReference"/>
        </w:rPr>
        <w:footnoteRef/>
      </w:r>
      <w:r>
        <w:t xml:space="preserve"> </w:t>
      </w:r>
      <w:r w:rsidRPr="00631C1C">
        <w:t>The added entries are shaded in grey.</w:t>
      </w:r>
    </w:p>
  </w:footnote>
  <w:footnote w:id="11">
    <w:p w14:paraId="3C455A9A" w14:textId="77777777" w:rsidR="00DB2767" w:rsidRPr="00631C1C" w:rsidRDefault="00DB2767" w:rsidP="00DB2767">
      <w:pPr>
        <w:pStyle w:val="Footnote-Text"/>
        <w:tabs>
          <w:tab w:val="clear" w:pos="1247"/>
          <w:tab w:val="clear" w:pos="1871"/>
          <w:tab w:val="clear" w:pos="2495"/>
          <w:tab w:val="clear" w:pos="3119"/>
          <w:tab w:val="clear" w:pos="3742"/>
          <w:tab w:val="clear" w:pos="4366"/>
        </w:tabs>
        <w:rPr>
          <w:szCs w:val="18"/>
        </w:rPr>
      </w:pPr>
      <w:r w:rsidRPr="00631C1C">
        <w:rPr>
          <w:rStyle w:val="FootnoteReference"/>
        </w:rPr>
        <w:footnoteRef/>
      </w:r>
      <w:r w:rsidRPr="00631C1C">
        <w:rPr>
          <w:szCs w:val="18"/>
        </w:rPr>
        <w:t xml:space="preserve"> The added provision is shaded in grey.</w:t>
      </w:r>
    </w:p>
  </w:footnote>
  <w:footnote w:id="12">
    <w:p w14:paraId="005FE6F7" w14:textId="18BDF7E6" w:rsidR="00726D06" w:rsidRPr="00663B1C" w:rsidRDefault="00726D06" w:rsidP="00726D06">
      <w:pPr>
        <w:pStyle w:val="Footnote-Text"/>
        <w:rPr>
          <w:szCs w:val="18"/>
        </w:rPr>
      </w:pPr>
      <w:r w:rsidRPr="00631C1C">
        <w:rPr>
          <w:rStyle w:val="FootnoteReference"/>
          <w:sz w:val="18"/>
        </w:rPr>
        <w:footnoteRef/>
      </w:r>
      <w:r w:rsidRPr="00663B1C">
        <w:rPr>
          <w:szCs w:val="18"/>
        </w:rPr>
        <w:t xml:space="preserve"> </w:t>
      </w:r>
      <w:r w:rsidRPr="00726D06">
        <w:rPr>
          <w:szCs w:val="18"/>
        </w:rPr>
        <w:t>UNEP/MC/COP.6/INF/8</w:t>
      </w:r>
      <w:r w:rsidRPr="00663B1C">
        <w:rPr>
          <w:szCs w:val="18"/>
        </w:rPr>
        <w:t>.</w:t>
      </w:r>
    </w:p>
  </w:footnote>
  <w:footnote w:id="13">
    <w:p w14:paraId="10E0F291" w14:textId="527D0EB2" w:rsidR="00476C29" w:rsidRPr="00476C29" w:rsidRDefault="00476C29" w:rsidP="00E837B1">
      <w:pPr>
        <w:pStyle w:val="Footnote-Text"/>
        <w:rPr>
          <w:lang w:val="en-US"/>
        </w:rPr>
      </w:pPr>
      <w:r>
        <w:rPr>
          <w:rStyle w:val="FootnoteReference"/>
        </w:rPr>
        <w:footnoteRef/>
      </w:r>
      <w:r>
        <w:t xml:space="preserve"> </w:t>
      </w:r>
      <w:r w:rsidRPr="00BA100F">
        <w:t>UNEP/MC/COP.6/6/Add.2</w:t>
      </w:r>
      <w:r w:rsidRPr="00663B1C">
        <w:t>.</w:t>
      </w:r>
    </w:p>
  </w:footnote>
  <w:footnote w:id="14">
    <w:p w14:paraId="45B0BE91" w14:textId="7E01FB89" w:rsidR="00B43E9A" w:rsidRPr="00B43E9A" w:rsidRDefault="00B43E9A" w:rsidP="00B43E9A">
      <w:pPr>
        <w:pStyle w:val="Footnote-Text"/>
        <w:rPr>
          <w:lang w:val="en-US"/>
        </w:rPr>
      </w:pPr>
      <w:r>
        <w:rPr>
          <w:rStyle w:val="FootnoteReference"/>
        </w:rPr>
        <w:footnoteRef/>
      </w:r>
      <w:r>
        <w:t xml:space="preserve"> </w:t>
      </w:r>
      <w:r w:rsidRPr="00631C1C">
        <w:t>UNEP/MC/COP.6/28, annex I</w:t>
      </w:r>
      <w:r w:rsidRPr="00631C1C">
        <w:rPr>
          <w:szCs w:val="18"/>
        </w:rPr>
        <w:t>.</w:t>
      </w:r>
    </w:p>
  </w:footnote>
  <w:footnote w:id="15">
    <w:p w14:paraId="75C979D4" w14:textId="525700AD" w:rsidR="00C72250" w:rsidRPr="00631C1C" w:rsidRDefault="00C72250" w:rsidP="00C72250">
      <w:pPr>
        <w:pStyle w:val="Footnote-Text"/>
        <w:rPr>
          <w:szCs w:val="18"/>
        </w:rPr>
      </w:pPr>
      <w:r w:rsidRPr="00631C1C">
        <w:rPr>
          <w:rStyle w:val="FootnoteReference"/>
          <w:sz w:val="18"/>
        </w:rPr>
        <w:footnoteRef/>
      </w:r>
      <w:r w:rsidRPr="00631C1C">
        <w:rPr>
          <w:szCs w:val="18"/>
        </w:rPr>
        <w:t xml:space="preserve"> </w:t>
      </w:r>
      <w:r w:rsidR="005157ED" w:rsidRPr="00631C1C">
        <w:rPr>
          <w:szCs w:val="18"/>
        </w:rPr>
        <w:t xml:space="preserve">Ibid., </w:t>
      </w:r>
      <w:r w:rsidR="005157ED" w:rsidRPr="00631C1C">
        <w:rPr>
          <w:rFonts w:asciiTheme="majorBidi" w:hAnsiTheme="majorBidi" w:cstheme="majorBidi"/>
        </w:rPr>
        <w:t>annex II</w:t>
      </w:r>
      <w:r w:rsidRPr="00631C1C">
        <w:rPr>
          <w:szCs w:val="18"/>
        </w:rPr>
        <w:t>.</w:t>
      </w:r>
    </w:p>
  </w:footnote>
  <w:footnote w:id="16">
    <w:p w14:paraId="5D4D3207" w14:textId="25DFCF69" w:rsidR="00C72250" w:rsidRPr="00631C1C" w:rsidRDefault="00C72250" w:rsidP="00C72250">
      <w:pPr>
        <w:pStyle w:val="Footnote-Text"/>
        <w:rPr>
          <w:szCs w:val="18"/>
        </w:rPr>
      </w:pPr>
      <w:r w:rsidRPr="00631C1C">
        <w:rPr>
          <w:rStyle w:val="FootnoteReference"/>
          <w:sz w:val="18"/>
        </w:rPr>
        <w:footnoteRef/>
      </w:r>
      <w:r w:rsidRPr="00631C1C">
        <w:rPr>
          <w:szCs w:val="18"/>
        </w:rPr>
        <w:t xml:space="preserve"> </w:t>
      </w:r>
      <w:r w:rsidR="005157ED" w:rsidRPr="00631C1C">
        <w:rPr>
          <w:szCs w:val="18"/>
        </w:rPr>
        <w:t xml:space="preserve">Ibid., </w:t>
      </w:r>
      <w:r w:rsidR="005157ED" w:rsidRPr="00631C1C">
        <w:rPr>
          <w:rFonts w:asciiTheme="majorBidi" w:hAnsiTheme="majorBidi" w:cstheme="majorBidi"/>
        </w:rPr>
        <w:t>annex III</w:t>
      </w:r>
      <w:r w:rsidRPr="00631C1C">
        <w:rPr>
          <w:szCs w:val="18"/>
        </w:rPr>
        <w:t>.</w:t>
      </w:r>
    </w:p>
  </w:footnote>
  <w:footnote w:id="17">
    <w:p w14:paraId="091FF94B" w14:textId="4399A9A1" w:rsidR="00840F13" w:rsidRPr="00631C1C" w:rsidRDefault="00840F13" w:rsidP="00840F13">
      <w:pPr>
        <w:pStyle w:val="Footnote-Text"/>
        <w:rPr>
          <w:szCs w:val="18"/>
        </w:rPr>
      </w:pPr>
      <w:r w:rsidRPr="00631C1C">
        <w:rPr>
          <w:rStyle w:val="FootnoteReference"/>
          <w:sz w:val="18"/>
        </w:rPr>
        <w:footnoteRef/>
      </w:r>
      <w:r w:rsidRPr="00631C1C">
        <w:rPr>
          <w:szCs w:val="18"/>
        </w:rPr>
        <w:t xml:space="preserve"> </w:t>
      </w:r>
      <w:r w:rsidRPr="00631C1C">
        <w:rPr>
          <w:rFonts w:asciiTheme="majorBidi" w:hAnsiTheme="majorBidi" w:cstheme="majorBidi"/>
        </w:rPr>
        <w:t>As presented in document UNEP/MC/COP.6/7/Add.1</w:t>
      </w:r>
      <w:r w:rsidRPr="00631C1C">
        <w:rPr>
          <w:szCs w:val="18"/>
        </w:rPr>
        <w:t>.</w:t>
      </w:r>
    </w:p>
  </w:footnote>
  <w:footnote w:id="18">
    <w:p w14:paraId="1CC2E14E" w14:textId="790D4FF7" w:rsidR="00312042" w:rsidRPr="00631C1C" w:rsidRDefault="00312042" w:rsidP="002C549A">
      <w:pPr>
        <w:pStyle w:val="Footnote-Text"/>
        <w:rPr>
          <w:szCs w:val="18"/>
        </w:rPr>
      </w:pPr>
      <w:r w:rsidRPr="00631C1C">
        <w:rPr>
          <w:rStyle w:val="FootnoteReference"/>
          <w:sz w:val="18"/>
        </w:rPr>
        <w:footnoteRef/>
      </w:r>
      <w:r w:rsidRPr="00631C1C">
        <w:rPr>
          <w:szCs w:val="18"/>
        </w:rPr>
        <w:t xml:space="preserve"> UNEP/MC/COP.6/INF/11.</w:t>
      </w:r>
    </w:p>
  </w:footnote>
  <w:footnote w:id="19">
    <w:p w14:paraId="7B4A38DC" w14:textId="0EC1A5B4" w:rsidR="00312042" w:rsidRPr="00631C1C" w:rsidRDefault="00312042" w:rsidP="002C549A">
      <w:pPr>
        <w:pStyle w:val="Footnote-Text"/>
      </w:pPr>
      <w:r w:rsidRPr="00631C1C">
        <w:rPr>
          <w:rStyle w:val="FootnoteReference"/>
        </w:rPr>
        <w:footnoteRef/>
      </w:r>
      <w:r w:rsidRPr="00631C1C">
        <w:t xml:space="preserve"> UNEP/MC/COP.6/INF/39</w:t>
      </w:r>
      <w:r w:rsidRPr="00631C1C">
        <w:rPr>
          <w:rStyle w:val="CommentReference"/>
          <w:szCs w:val="18"/>
        </w:rPr>
        <w:t>.</w:t>
      </w:r>
    </w:p>
  </w:footnote>
  <w:footnote w:id="20">
    <w:p w14:paraId="697453B8" w14:textId="2DF9ED5D" w:rsidR="00312042" w:rsidRPr="00631C1C" w:rsidRDefault="00312042" w:rsidP="002C549A">
      <w:pPr>
        <w:pStyle w:val="Footnote-Text"/>
      </w:pPr>
      <w:r w:rsidRPr="00145D6C">
        <w:rPr>
          <w:rStyle w:val="FootnoteReference"/>
        </w:rPr>
        <w:footnoteRef/>
      </w:r>
      <w:r w:rsidRPr="00145D6C">
        <w:t xml:space="preserve"> </w:t>
      </w:r>
      <w:r w:rsidR="000C2FFD" w:rsidRPr="00145D6C">
        <w:rPr>
          <w:rFonts w:asciiTheme="majorBidi" w:hAnsiTheme="majorBidi" w:cstheme="majorBidi"/>
        </w:rPr>
        <w:t xml:space="preserve">Special Programme to support institutional strengthening at the national level for implementation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the Minamata Convention on Mercury, the Strategic Approach to International Chemicals Management and the Global Framework on Chemicals – for a Planet Free of Harm from Chemicals and Waste, </w:t>
      </w:r>
      <w:r w:rsidR="000C2FFD" w:rsidRPr="00145D6C">
        <w:t>a</w:t>
      </w:r>
      <w:r w:rsidRPr="00145D6C">
        <w:t>lso known as the Chemicals and Waste Management Programme.</w:t>
      </w:r>
    </w:p>
  </w:footnote>
  <w:footnote w:id="21">
    <w:p w14:paraId="2EBCA72A" w14:textId="040C5E8C" w:rsidR="00312042" w:rsidRPr="00631C1C" w:rsidRDefault="00312042" w:rsidP="00312042">
      <w:pPr>
        <w:pStyle w:val="Footnote-Text"/>
      </w:pPr>
      <w:r w:rsidRPr="00631C1C">
        <w:rPr>
          <w:rStyle w:val="FootnoteReference"/>
        </w:rPr>
        <w:footnoteRef/>
      </w:r>
      <w:r w:rsidRPr="00631C1C">
        <w:t xml:space="preserve"> </w:t>
      </w:r>
      <w:r w:rsidR="00946E35" w:rsidRPr="00631C1C">
        <w:t xml:space="preserve">See document </w:t>
      </w:r>
      <w:r w:rsidRPr="00631C1C">
        <w:t>UNEP/MC/COP.6/INF/18.</w:t>
      </w:r>
    </w:p>
  </w:footnote>
  <w:footnote w:id="22">
    <w:p w14:paraId="1665D0A0" w14:textId="6993E185" w:rsidR="00312042" w:rsidRPr="00631C1C" w:rsidRDefault="00312042" w:rsidP="005F4B2B">
      <w:pPr>
        <w:pStyle w:val="Footnote-Text"/>
      </w:pPr>
      <w:r w:rsidRPr="00631C1C">
        <w:rPr>
          <w:rStyle w:val="FootnoteReference"/>
        </w:rPr>
        <w:footnoteRef/>
      </w:r>
      <w:r w:rsidRPr="00631C1C">
        <w:t xml:space="preserve"> UNEP/MC/COP.6/14.</w:t>
      </w:r>
    </w:p>
  </w:footnote>
  <w:footnote w:id="23">
    <w:p w14:paraId="59FB4ABC" w14:textId="693FA227"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rPr>
        <w:footnoteRef/>
      </w:r>
      <w:r w:rsidRPr="00631C1C">
        <w:rPr>
          <w:szCs w:val="18"/>
        </w:rPr>
        <w:t xml:space="preserve"> UNEP/MC/COP.6/INF/21.</w:t>
      </w:r>
    </w:p>
  </w:footnote>
  <w:footnote w:id="24">
    <w:p w14:paraId="186F0583" w14:textId="30EE44C8" w:rsidR="00312042" w:rsidRPr="00631C1C" w:rsidRDefault="00312042" w:rsidP="00312042">
      <w:pPr>
        <w:pStyle w:val="Footnote-Text"/>
      </w:pPr>
      <w:r w:rsidRPr="00631C1C">
        <w:rPr>
          <w:rStyle w:val="FootnoteReference"/>
        </w:rPr>
        <w:footnoteRef/>
      </w:r>
      <w:r w:rsidRPr="00631C1C">
        <w:t xml:space="preserve"> Suggested activities are set out in document UNEP/MC/COP.6/29</w:t>
      </w:r>
      <w:r w:rsidR="0083350E" w:rsidRPr="00631C1C">
        <w:t>, para. 2</w:t>
      </w:r>
      <w:r w:rsidRPr="00631C1C">
        <w:t>.</w:t>
      </w:r>
    </w:p>
  </w:footnote>
  <w:footnote w:id="25">
    <w:p w14:paraId="763325B0" w14:textId="1A10F00C" w:rsidR="00312042" w:rsidRPr="00631C1C" w:rsidRDefault="00312042" w:rsidP="00312042">
      <w:pPr>
        <w:pStyle w:val="Footnote-Text"/>
      </w:pPr>
      <w:r w:rsidRPr="00631C1C">
        <w:rPr>
          <w:rStyle w:val="FootnoteReference"/>
        </w:rPr>
        <w:footnoteRef/>
      </w:r>
      <w:r w:rsidRPr="00631C1C">
        <w:t xml:space="preserve"> Suggested activities are set out in document UNEP/MC/COP.6/29</w:t>
      </w:r>
      <w:r w:rsidR="0083350E" w:rsidRPr="00631C1C">
        <w:t>, para. 1</w:t>
      </w:r>
      <w:r w:rsidRPr="00631C1C">
        <w:t>.</w:t>
      </w:r>
    </w:p>
  </w:footnote>
  <w:footnote w:id="26">
    <w:p w14:paraId="29046661" w14:textId="0CD609CF" w:rsidR="0036758B" w:rsidRPr="0036758B" w:rsidRDefault="0036758B" w:rsidP="0036758B">
      <w:pPr>
        <w:pStyle w:val="Footnote-Text"/>
        <w:rPr>
          <w:lang w:val="en-US"/>
        </w:rPr>
      </w:pPr>
      <w:r>
        <w:rPr>
          <w:rStyle w:val="FootnoteReference"/>
        </w:rPr>
        <w:footnoteRef/>
      </w:r>
      <w:r>
        <w:t xml:space="preserve"> </w:t>
      </w:r>
      <w:r w:rsidRPr="00631C1C">
        <w:t>UNEP/MC/COP.5/19, annex I.</w:t>
      </w:r>
    </w:p>
  </w:footnote>
  <w:footnote w:id="27">
    <w:p w14:paraId="7CD9D7D1" w14:textId="5C744986" w:rsidR="00086C02" w:rsidRPr="00631C1C" w:rsidRDefault="00086C02" w:rsidP="00086C02">
      <w:pPr>
        <w:pStyle w:val="Footnote-Text"/>
        <w:rPr>
          <w:szCs w:val="18"/>
        </w:rPr>
      </w:pPr>
      <w:r w:rsidRPr="00631C1C">
        <w:rPr>
          <w:rStyle w:val="FootnoteReference"/>
          <w:sz w:val="18"/>
        </w:rPr>
        <w:footnoteRef/>
      </w:r>
      <w:r w:rsidRPr="00631C1C">
        <w:rPr>
          <w:szCs w:val="18"/>
        </w:rPr>
        <w:t xml:space="preserve"> As </w:t>
      </w:r>
      <w:r>
        <w:t xml:space="preserve">outlined in document </w:t>
      </w:r>
      <w:r w:rsidRPr="003F5EDF">
        <w:t>UNEP/MC/COP.6/19</w:t>
      </w:r>
      <w:r w:rsidRPr="00631C1C">
        <w:rPr>
          <w:szCs w:val="18"/>
        </w:rPr>
        <w:t>.</w:t>
      </w:r>
    </w:p>
  </w:footnote>
  <w:footnote w:id="28">
    <w:p w14:paraId="1E60BCBC" w14:textId="2F2E780D" w:rsidR="00A820C4" w:rsidRPr="00631C1C" w:rsidRDefault="00A820C4" w:rsidP="00A820C4">
      <w:pPr>
        <w:pStyle w:val="Footnote-Text"/>
        <w:rPr>
          <w:szCs w:val="18"/>
        </w:rPr>
      </w:pPr>
      <w:r w:rsidRPr="00631C1C">
        <w:rPr>
          <w:rStyle w:val="FootnoteReference"/>
          <w:sz w:val="18"/>
        </w:rPr>
        <w:footnoteRef/>
      </w:r>
      <w:r w:rsidRPr="00631C1C">
        <w:rPr>
          <w:szCs w:val="18"/>
        </w:rPr>
        <w:t xml:space="preserve"> See </w:t>
      </w:r>
      <w:hyperlink r:id="rId1" w:history="1">
        <w:r w:rsidRPr="00631C1C">
          <w:rPr>
            <w:rStyle w:val="Hyperlink"/>
            <w:szCs w:val="18"/>
          </w:rPr>
          <w:t>https://www.unep.org/events/conference/bern-iii-conference-cooperation-among-biodiversity-related-conventions</w:t>
        </w:r>
      </w:hyperlink>
      <w:r w:rsidRPr="00631C1C">
        <w:rPr>
          <w:szCs w:val="18"/>
        </w:rPr>
        <w:t>.</w:t>
      </w:r>
    </w:p>
  </w:footnote>
  <w:footnote w:id="29">
    <w:p w14:paraId="7B66EBD7" w14:textId="20C753DB" w:rsidR="00312042" w:rsidRPr="00631C1C" w:rsidRDefault="00312042" w:rsidP="005F4B2B">
      <w:pPr>
        <w:pStyle w:val="Footnote-Text"/>
        <w:rPr>
          <w:szCs w:val="18"/>
        </w:rPr>
      </w:pPr>
      <w:r w:rsidRPr="00631C1C">
        <w:rPr>
          <w:rStyle w:val="FootnoteReference"/>
          <w:sz w:val="18"/>
        </w:rPr>
        <w:footnoteRef/>
      </w:r>
      <w:r w:rsidRPr="00631C1C">
        <w:rPr>
          <w:szCs w:val="18"/>
        </w:rPr>
        <w:t xml:space="preserve"> As presented in section III of document UNEP/MC/COP.6/20.</w:t>
      </w:r>
    </w:p>
  </w:footnote>
  <w:footnote w:id="30">
    <w:p w14:paraId="36979579" w14:textId="19E8B028" w:rsidR="004627CE" w:rsidRPr="00631C1C" w:rsidRDefault="004627CE" w:rsidP="004627CE">
      <w:pPr>
        <w:pStyle w:val="Footnote-Text"/>
        <w:rPr>
          <w:szCs w:val="18"/>
        </w:rPr>
      </w:pPr>
      <w:r w:rsidRPr="00631C1C">
        <w:rPr>
          <w:rStyle w:val="FootnoteReference"/>
          <w:sz w:val="18"/>
        </w:rPr>
        <w:footnoteRef/>
      </w:r>
      <w:r w:rsidRPr="00631C1C">
        <w:rPr>
          <w:szCs w:val="18"/>
        </w:rPr>
        <w:t xml:space="preserve"> UNEP/MC/COP.6/INF/27.</w:t>
      </w:r>
    </w:p>
  </w:footnote>
  <w:footnote w:id="31">
    <w:p w14:paraId="367290CA" w14:textId="0EBABFD5" w:rsidR="00312042" w:rsidRPr="00631C1C" w:rsidRDefault="00312042" w:rsidP="005F4B2B">
      <w:pPr>
        <w:pStyle w:val="Footnote-Text"/>
        <w:rPr>
          <w:szCs w:val="18"/>
        </w:rPr>
      </w:pPr>
      <w:r w:rsidRPr="00631C1C">
        <w:rPr>
          <w:rStyle w:val="FootnoteReference"/>
          <w:sz w:val="18"/>
        </w:rPr>
        <w:footnoteRef/>
      </w:r>
      <w:r w:rsidRPr="00631C1C">
        <w:rPr>
          <w:szCs w:val="18"/>
        </w:rPr>
        <w:t xml:space="preserve"> </w:t>
      </w:r>
      <w:r w:rsidR="00645393" w:rsidRPr="00631C1C">
        <w:rPr>
          <w:szCs w:val="18"/>
        </w:rPr>
        <w:t xml:space="preserve">Conference of the Parties to the </w:t>
      </w:r>
      <w:r w:rsidRPr="00631C1C">
        <w:rPr>
          <w:szCs w:val="18"/>
        </w:rPr>
        <w:t xml:space="preserve">Convention on Biological Diversity decision </w:t>
      </w:r>
      <w:r w:rsidRPr="00631C1C">
        <w:rPr>
          <w:szCs w:val="18"/>
          <w:shd w:val="clear" w:color="auto" w:fill="FFFFFF"/>
        </w:rPr>
        <w:t>16/11, para. 3.</w:t>
      </w:r>
    </w:p>
  </w:footnote>
  <w:footnote w:id="32">
    <w:p w14:paraId="64296E9F" w14:textId="3D756D9F" w:rsidR="00312042" w:rsidRPr="00631C1C" w:rsidRDefault="00312042" w:rsidP="00312042">
      <w:pPr>
        <w:pStyle w:val="Footnote-Text"/>
        <w:rPr>
          <w:szCs w:val="18"/>
        </w:rPr>
      </w:pPr>
      <w:r w:rsidRPr="00631C1C">
        <w:rPr>
          <w:rStyle w:val="FootnoteReference"/>
          <w:sz w:val="18"/>
        </w:rPr>
        <w:footnoteRef/>
      </w:r>
      <w:r w:rsidRPr="00631C1C">
        <w:rPr>
          <w:szCs w:val="18"/>
        </w:rPr>
        <w:t xml:space="preserve"> Resolution 6/3 on enhancing the role and viability of regional forums of ministers of the environment and United Nations Environment Programme regional offices in achieving multilateral cooperation in tackling environmental challenges; resolution 6/4 on promoting synergies, cooperation or collaboration for national implementation of multilateral environmental agreements and other relevant environmental instruments; resolution 6/5 on environmental aspects of minerals and metals; resolution 6/6 on fostering national action to address global environmental challenges through increased cooperation between the United Nations Environment Assembly, the United Nations Environment Programme and multilateral environmental agreements; and resolution 6/9 on sound management of chemicals and waste.</w:t>
      </w:r>
    </w:p>
  </w:footnote>
  <w:footnote w:id="33">
    <w:p w14:paraId="2485B06A" w14:textId="5CFB37EA" w:rsidR="00312042" w:rsidRPr="00631C1C" w:rsidRDefault="00312042" w:rsidP="00312042">
      <w:pPr>
        <w:pStyle w:val="Footnote-Text"/>
        <w:rPr>
          <w:szCs w:val="18"/>
        </w:rPr>
      </w:pPr>
      <w:r w:rsidRPr="00631C1C">
        <w:rPr>
          <w:rStyle w:val="FootnoteReference"/>
          <w:sz w:val="18"/>
        </w:rPr>
        <w:footnoteRef/>
      </w:r>
      <w:r w:rsidRPr="00631C1C">
        <w:rPr>
          <w:szCs w:val="18"/>
        </w:rPr>
        <w:t xml:space="preserve"> As outlined in document UNEP/MC/COP.6/INF/28.</w:t>
      </w:r>
    </w:p>
  </w:footnote>
  <w:footnote w:id="34">
    <w:p w14:paraId="37CDA681" w14:textId="2C9CECF7" w:rsidR="00312042" w:rsidRPr="00631C1C" w:rsidRDefault="00312042" w:rsidP="00312042">
      <w:pPr>
        <w:pStyle w:val="Footnote-Text"/>
        <w:tabs>
          <w:tab w:val="clear" w:pos="1247"/>
        </w:tabs>
      </w:pPr>
      <w:r w:rsidRPr="00631C1C">
        <w:rPr>
          <w:vertAlign w:val="superscript"/>
        </w:rPr>
        <w:footnoteRef/>
      </w:r>
      <w:r w:rsidRPr="00631C1C">
        <w:t xml:space="preserve"> </w:t>
      </w:r>
      <w:r w:rsidRPr="00631C1C">
        <w:rPr>
          <w:rFonts w:eastAsia="Calibri"/>
        </w:rPr>
        <w:t>UNEP/MC/COP.6/INF/29, annex I</w:t>
      </w:r>
      <w:r w:rsidRPr="00631C1C">
        <w:t>.</w:t>
      </w:r>
    </w:p>
  </w:footnote>
  <w:footnote w:id="35">
    <w:p w14:paraId="67796E17" w14:textId="1B3B9B38" w:rsidR="00312042" w:rsidRPr="00631C1C" w:rsidRDefault="00312042" w:rsidP="00312042">
      <w:pPr>
        <w:pStyle w:val="Footnote-Text"/>
        <w:tabs>
          <w:tab w:val="clear" w:pos="1247"/>
        </w:tabs>
      </w:pPr>
      <w:r w:rsidRPr="00631C1C">
        <w:rPr>
          <w:vertAlign w:val="superscript"/>
        </w:rPr>
        <w:footnoteRef/>
      </w:r>
      <w:r w:rsidRPr="00631C1C">
        <w:t xml:space="preserve"> </w:t>
      </w:r>
      <w:r w:rsidRPr="00631C1C">
        <w:rPr>
          <w:rFonts w:eastAsia="Calibri"/>
        </w:rPr>
        <w:t xml:space="preserve">Ibid., annex </w:t>
      </w:r>
      <w:r w:rsidRPr="00631C1C">
        <w:t>II.</w:t>
      </w:r>
    </w:p>
  </w:footnote>
  <w:footnote w:id="36">
    <w:p w14:paraId="38815048" w14:textId="58BE84DD"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UNEP/MC/COP.6/23.</w:t>
      </w:r>
    </w:p>
  </w:footnote>
  <w:footnote w:id="37">
    <w:p w14:paraId="53F1B186" w14:textId="1FFC041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UNEP/MC/COP.6/INF/37.</w:t>
      </w:r>
    </w:p>
  </w:footnote>
  <w:footnote w:id="38">
    <w:p w14:paraId="7A343393" w14:textId="22362FE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UNEP/MC/COP.6/INF/38.</w:t>
      </w:r>
    </w:p>
  </w:footnote>
  <w:footnote w:id="39">
    <w:p w14:paraId="3FAB7CB2" w14:textId="13D8EF04"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UNEP/MC/COP.6/INF/36.</w:t>
      </w:r>
    </w:p>
  </w:footnote>
  <w:footnote w:id="40">
    <w:p w14:paraId="30DBA0E4" w14:textId="0456191D"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UNEP/MC/COP.6/INF/37.</w:t>
      </w:r>
    </w:p>
  </w:footnote>
  <w:footnote w:id="41">
    <w:p w14:paraId="74B817B4" w14:textId="760E2AE6"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UNEP/MC/COP.6/INF/36.</w:t>
      </w:r>
    </w:p>
  </w:footnote>
  <w:footnote w:id="42">
    <w:p w14:paraId="55723C2A" w14:textId="1890B0B2"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UNEP/MC/COP.6/23.</w:t>
      </w:r>
    </w:p>
  </w:footnote>
  <w:footnote w:id="43">
    <w:p w14:paraId="1A7B0721" w14:textId="01D748F3"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UNEP/MC/COP.6/INF/37.</w:t>
      </w:r>
    </w:p>
  </w:footnote>
  <w:footnote w:id="44">
    <w:p w14:paraId="7CCD37BB" w14:textId="3B16532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UNEP/MC/COP.6/INF/38.</w:t>
      </w:r>
    </w:p>
  </w:footnote>
  <w:footnote w:id="45">
    <w:p w14:paraId="67DFEA5B" w14:textId="628157A3"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UNEP/MC/COP.6/11.</w:t>
      </w:r>
    </w:p>
  </w:footnote>
  <w:footnote w:id="46">
    <w:p w14:paraId="70C02EF0" w14:textId="308FD665" w:rsidR="00E6519C" w:rsidRPr="00E6519C" w:rsidRDefault="00E6519C" w:rsidP="00E6519C">
      <w:pPr>
        <w:pStyle w:val="Footnote-Text"/>
        <w:rPr>
          <w:lang w:val="en-US"/>
        </w:rPr>
      </w:pPr>
      <w:r>
        <w:rPr>
          <w:rStyle w:val="FootnoteReference"/>
        </w:rPr>
        <w:footnoteRef/>
      </w:r>
      <w:r>
        <w:t xml:space="preserve"> </w:t>
      </w:r>
      <w:r w:rsidRPr="00631C1C">
        <w:rPr>
          <w:lang w:eastAsia="en-GB"/>
        </w:rPr>
        <w:t xml:space="preserve">Following the sixth meeting of the Conference of the Parties, new dates became available at the </w:t>
      </w:r>
      <w:r w:rsidRPr="0752CB86">
        <w:rPr>
          <w:lang w:eastAsia="en-GB"/>
        </w:rPr>
        <w:t xml:space="preserve">venue, the </w:t>
      </w:r>
      <w:r w:rsidRPr="00631C1C">
        <w:rPr>
          <w:lang w:eastAsia="en-GB"/>
        </w:rPr>
        <w:t>Geneva International Conference Centre</w:t>
      </w:r>
      <w:r w:rsidRPr="0752CB86">
        <w:rPr>
          <w:lang w:eastAsia="en-GB"/>
        </w:rPr>
        <w:t>,</w:t>
      </w:r>
      <w:r w:rsidRPr="00631C1C">
        <w:rPr>
          <w:lang w:eastAsia="en-GB"/>
        </w:rPr>
        <w:t xml:space="preserve"> for the period 6</w:t>
      </w:r>
      <w:r>
        <w:rPr>
          <w:lang w:eastAsia="en-GB"/>
        </w:rPr>
        <w:t>–</w:t>
      </w:r>
      <w:r w:rsidRPr="00631C1C">
        <w:rPr>
          <w:lang w:eastAsia="en-GB"/>
        </w:rPr>
        <w:t>10 September 2027</w:t>
      </w:r>
      <w:r w:rsidRPr="0752CB86">
        <w:rPr>
          <w:lang w:eastAsia="en-GB"/>
        </w:rPr>
        <w:t xml:space="preserve">. In </w:t>
      </w:r>
      <w:r>
        <w:rPr>
          <w:lang w:eastAsia="en-GB"/>
        </w:rPr>
        <w:t xml:space="preserve">the </w:t>
      </w:r>
      <w:r w:rsidRPr="0752CB86">
        <w:rPr>
          <w:lang w:eastAsia="en-GB"/>
        </w:rPr>
        <w:t>light of this development</w:t>
      </w:r>
      <w:r>
        <w:rPr>
          <w:lang w:eastAsia="en-GB"/>
        </w:rPr>
        <w:t>,</w:t>
      </w:r>
      <w:r w:rsidRPr="0752CB86">
        <w:rPr>
          <w:lang w:eastAsia="en-GB"/>
        </w:rPr>
        <w:t xml:space="preserve"> and to avoid altering the usual duration of the intersessional period, the</w:t>
      </w:r>
      <w:r w:rsidRPr="00631C1C">
        <w:rPr>
          <w:lang w:eastAsia="en-GB"/>
        </w:rPr>
        <w:t xml:space="preserve"> Bureau agreed </w:t>
      </w:r>
      <w:r w:rsidRPr="0752CB86">
        <w:rPr>
          <w:lang w:eastAsia="en-GB"/>
        </w:rPr>
        <w:t xml:space="preserve">in December 2025 </w:t>
      </w:r>
      <w:r w:rsidRPr="00631C1C">
        <w:rPr>
          <w:lang w:eastAsia="en-GB"/>
        </w:rPr>
        <w:t>that the seventh meeting of the Conference of the Parties would be held at the Geneva International Conference Centre from 6 to 10 September 2027, with regional preparatory meetings taking place on 5 September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6260954F" w:rsidR="00312042" w:rsidRPr="00E84D8D" w:rsidRDefault="00E84D8D" w:rsidP="00E84D8D">
    <w:pPr>
      <w:pStyle w:val="Header-pool"/>
    </w:pPr>
    <w:r>
      <w:fldChar w:fldCharType="begin"/>
    </w:r>
    <w:r>
      <w:instrText xml:space="preserve"> StyleRef A_Symbol </w:instrText>
    </w:r>
    <w:r>
      <w:fldChar w:fldCharType="separate"/>
    </w:r>
    <w:r w:rsidR="001F4DA7">
      <w:rPr>
        <w:noProof/>
      </w:rPr>
      <w:t>UNEP/MC/COP.6/25/Add.1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58BB3701" w:rsidR="00312042" w:rsidRPr="00E84D8D" w:rsidRDefault="00E84D8D" w:rsidP="00E84D8D">
    <w:pPr>
      <w:pStyle w:val="Header-pool"/>
      <w:jc w:val="right"/>
    </w:pPr>
    <w:r>
      <w:fldChar w:fldCharType="begin"/>
    </w:r>
    <w:r>
      <w:instrText xml:space="preserve"> StyleRef A_Symbol </w:instrText>
    </w:r>
    <w:r>
      <w:fldChar w:fldCharType="separate"/>
    </w:r>
    <w:r w:rsidR="001F4DA7">
      <w:rPr>
        <w:noProof/>
      </w:rPr>
      <w:t>UNEP/MC/COP.6/25/Add.1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676E604" w:rsidR="002C072B" w:rsidRDefault="00703E96" w:rsidP="00703E96">
    <w:pPr>
      <w:pStyle w:val="Header-pool"/>
    </w:pPr>
    <w:r>
      <w:fldChar w:fldCharType="begin"/>
    </w:r>
    <w:r>
      <w:instrText xml:space="preserve"> StyleRef A_Symbol </w:instrText>
    </w:r>
    <w:r>
      <w:fldChar w:fldCharType="separate"/>
    </w:r>
    <w:r w:rsidR="001F4DA7">
      <w:rPr>
        <w:noProof/>
      </w:rPr>
      <w:t>UNEP/MC/COP.6/25/Add.1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5BD03F8" w:rsidR="002C072B" w:rsidRDefault="00703E96" w:rsidP="00703E96">
    <w:pPr>
      <w:pStyle w:val="Header-pool"/>
      <w:jc w:val="right"/>
    </w:pPr>
    <w:r>
      <w:fldChar w:fldCharType="begin"/>
    </w:r>
    <w:r>
      <w:instrText xml:space="preserve"> StyleRef A_Symbol </w:instrText>
    </w:r>
    <w:r>
      <w:fldChar w:fldCharType="separate"/>
    </w:r>
    <w:r w:rsidR="001F4DA7">
      <w:rPr>
        <w:noProof/>
      </w:rPr>
      <w:t>UNEP/MC/COP.6/25/Add.1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inamataconvention.org/en/parties/vc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12CF525E-6BD1-40BB-94C8-D9968FE41335}"/>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43</Pages>
  <Words>15313</Words>
  <Characters>87286</Characters>
  <Application>Microsoft Office Word</Application>
  <DocSecurity>0</DocSecurity>
  <PresentationFormat/>
  <Lines>727</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102395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Jane Mbau</cp:lastModifiedBy>
  <cp:revision>5</cp:revision>
  <cp:lastPrinted>2026-03-17T15:22:00Z</cp:lastPrinted>
  <dcterms:created xsi:type="dcterms:W3CDTF">2026-03-17T15:21:00Z</dcterms:created>
  <dcterms:modified xsi:type="dcterms:W3CDTF">2026-03-17T15:23:00Z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