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701"/>
        <w:gridCol w:w="6378"/>
        <w:gridCol w:w="1417"/>
      </w:tblGrid>
      <w:tr w:rsidR="0032453C" w:rsidRPr="0032453C" w14:paraId="66C25798" w14:textId="77777777" w:rsidTr="003854DA">
        <w:trPr>
          <w:trHeight w:val="850"/>
        </w:trPr>
        <w:tc>
          <w:tcPr>
            <w:tcW w:w="1701" w:type="dxa"/>
          </w:tcPr>
          <w:p w14:paraId="39F2E745" w14:textId="77777777" w:rsidR="0032453C" w:rsidRPr="0032453C" w:rsidRDefault="0032453C" w:rsidP="0032453C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left" w:pos="624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spacing w:before="20" w:after="20"/>
              <w:rPr>
                <w:rFonts w:ascii="Arial" w:hAnsi="Arial" w:cs="Times New Roman Bold"/>
                <w:b/>
                <w:caps/>
                <w:color w:val="000000"/>
                <w:sz w:val="27"/>
                <w:lang w:val="es-ES_tradnl"/>
              </w:rPr>
            </w:pPr>
            <w:r w:rsidRPr="0032453C">
              <w:rPr>
                <w:rFonts w:ascii="Arial" w:hAnsi="Arial" w:cs="Times New Roman Bold"/>
                <w:b/>
                <w:caps/>
                <w:color w:val="000000"/>
                <w:sz w:val="27"/>
                <w:lang w:val="es-ES_tradnl"/>
              </w:rPr>
              <w:t xml:space="preserve">Naciones </w:t>
            </w:r>
            <w:r w:rsidRPr="0032453C">
              <w:rPr>
                <w:rFonts w:ascii="Arial" w:hAnsi="Arial" w:cs="Times New Roman Bold"/>
                <w:b/>
                <w:caps/>
                <w:color w:val="000000"/>
                <w:sz w:val="27"/>
                <w:lang w:val="es-ES_tradnl"/>
              </w:rPr>
              <w:br/>
              <w:t>Unidas</w:t>
            </w:r>
          </w:p>
        </w:tc>
        <w:tc>
          <w:tcPr>
            <w:tcW w:w="6378" w:type="dxa"/>
          </w:tcPr>
          <w:p w14:paraId="369F25CC" w14:textId="77777777" w:rsidR="0032453C" w:rsidRPr="0032453C" w:rsidRDefault="0032453C" w:rsidP="0032453C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rPr>
                <w:lang w:val="es-ES_tradnl"/>
              </w:rPr>
            </w:pPr>
            <w:r w:rsidRPr="0032453C">
              <w:rPr>
                <w:noProof/>
                <w:lang w:val="es-ES_tradnl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4D52AA12" wp14:editId="06C29D48">
                  <wp:simplePos x="0" y="0"/>
                  <wp:positionH relativeFrom="column">
                    <wp:posOffset>-2631</wp:posOffset>
                  </wp:positionH>
                  <wp:positionV relativeFrom="paragraph">
                    <wp:posOffset>998</wp:posOffset>
                  </wp:positionV>
                  <wp:extent cx="1305763" cy="573559"/>
                  <wp:effectExtent l="0" t="0" r="8890" b="0"/>
                  <wp:wrapNone/>
                  <wp:docPr id="722694892" name="Picture 3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694892" name="Picture 3" descr="A black and white logo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76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1279D3E3" w14:textId="77777777" w:rsidR="0032453C" w:rsidRPr="0032453C" w:rsidRDefault="0032453C" w:rsidP="0032453C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rPr>
                <w:lang w:val="es-ES_tradnl"/>
              </w:rPr>
            </w:pPr>
          </w:p>
        </w:tc>
      </w:tr>
    </w:tbl>
    <w:p w14:paraId="48A761E5" w14:textId="77777777" w:rsidR="0032453C" w:rsidRPr="0032453C" w:rsidRDefault="0032453C" w:rsidP="0032453C">
      <w:pPr>
        <w:tabs>
          <w:tab w:val="clear" w:pos="1814"/>
          <w:tab w:val="clear" w:pos="2381"/>
          <w:tab w:val="clear" w:pos="2948"/>
          <w:tab w:val="clear" w:pos="3515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</w:tabs>
        <w:rPr>
          <w:sz w:val="2"/>
          <w:lang w:val="es-ES_tradnl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32453C" w:rsidRPr="0032453C" w14:paraId="1E44564B" w14:textId="77777777" w:rsidTr="003854DA">
        <w:trPr>
          <w:trHeight w:val="340"/>
        </w:trPr>
        <w:tc>
          <w:tcPr>
            <w:tcW w:w="3358" w:type="pct"/>
            <w:vAlign w:val="bottom"/>
          </w:tcPr>
          <w:p w14:paraId="58637BCF" w14:textId="77777777" w:rsidR="0032453C" w:rsidRPr="0032453C" w:rsidRDefault="0032453C" w:rsidP="0032453C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rPr>
                <w:lang w:val="es-ES_tradnl"/>
              </w:rPr>
            </w:pPr>
          </w:p>
        </w:tc>
        <w:tc>
          <w:tcPr>
            <w:tcW w:w="1642" w:type="pct"/>
            <w:noWrap/>
            <w:vAlign w:val="bottom"/>
          </w:tcPr>
          <w:p w14:paraId="7B91AA6F" w14:textId="3DBF7397" w:rsidR="0032453C" w:rsidRPr="0032453C" w:rsidRDefault="0032453C" w:rsidP="0032453C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  <w:tab w:val="left" w:pos="1871"/>
                <w:tab w:val="left" w:pos="2495"/>
                <w:tab w:val="right" w:pos="2920"/>
                <w:tab w:val="left" w:pos="3119"/>
                <w:tab w:val="left" w:pos="3742"/>
                <w:tab w:val="left" w:pos="4366"/>
              </w:tabs>
              <w:rPr>
                <w:rFonts w:eastAsia="SimSun"/>
                <w:lang w:val="es-ES_tradnl"/>
              </w:rPr>
            </w:pPr>
            <w:r w:rsidRPr="0032453C">
              <w:rPr>
                <w:rFonts w:eastAsia="SimSun"/>
                <w:b/>
                <w:sz w:val="28"/>
                <w:lang w:val="es-ES_tradnl"/>
              </w:rPr>
              <w:t>UNEP</w:t>
            </w:r>
            <w:r w:rsidRPr="0032453C">
              <w:rPr>
                <w:rFonts w:eastAsia="SimSun"/>
                <w:lang w:val="es-ES_tradnl"/>
              </w:rPr>
              <w:t>/MC/COP.6/</w:t>
            </w:r>
            <w:r w:rsidRPr="0032453C">
              <w:rPr>
                <w:rFonts w:eastAsia="SimSun"/>
                <w:lang w:val="es-ES"/>
              </w:rPr>
              <w:t>Dec.3</w:t>
            </w:r>
          </w:p>
        </w:tc>
      </w:tr>
    </w:tbl>
    <w:p w14:paraId="3EAF395D" w14:textId="77777777" w:rsidR="0032453C" w:rsidRPr="0032453C" w:rsidRDefault="0032453C" w:rsidP="0032453C">
      <w:pPr>
        <w:tabs>
          <w:tab w:val="clear" w:pos="1814"/>
          <w:tab w:val="clear" w:pos="2381"/>
          <w:tab w:val="clear" w:pos="2948"/>
          <w:tab w:val="clear" w:pos="3515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</w:tabs>
        <w:rPr>
          <w:sz w:val="2"/>
          <w:lang w:val="es-ES_tradnl"/>
        </w:rPr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32453C" w:rsidRPr="0032453C" w14:paraId="1C3285A2" w14:textId="77777777" w:rsidTr="003854DA">
        <w:trPr>
          <w:trHeight w:val="2098"/>
        </w:trPr>
        <w:tc>
          <w:tcPr>
            <w:tcW w:w="3685" w:type="dxa"/>
          </w:tcPr>
          <w:p w14:paraId="63386E83" w14:textId="77777777" w:rsidR="0032453C" w:rsidRPr="0032453C" w:rsidRDefault="0032453C" w:rsidP="0032453C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624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spacing w:before="120" w:after="240"/>
              <w:rPr>
                <w:lang w:val="es-ES_tradnl"/>
              </w:rPr>
            </w:pPr>
            <w:r w:rsidRPr="0032453C">
              <w:rPr>
                <w:noProof/>
                <w:lang w:val="es-ES_tradnl"/>
                <w14:ligatures w14:val="standardContextual"/>
              </w:rPr>
              <w:drawing>
                <wp:inline distT="0" distB="0" distL="0" distR="0" wp14:anchorId="52E1462D" wp14:editId="731884E8">
                  <wp:extent cx="2202815" cy="1028700"/>
                  <wp:effectExtent l="0" t="0" r="6985" b="0"/>
                  <wp:docPr id="47242973" name="Picture 4" descr="A logo with text on it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42973" name="Picture 4" descr="A logo with text on it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453C">
              <w:rPr>
                <w:lang w:val="es-ES_tradnl"/>
              </w:rPr>
              <w:t xml:space="preserve"> </w:t>
            </w:r>
          </w:p>
          <w:p w14:paraId="06F48D9B" w14:textId="77777777" w:rsidR="0032453C" w:rsidRPr="0032453C" w:rsidRDefault="0032453C" w:rsidP="0032453C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624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spacing w:before="120" w:after="240"/>
              <w:rPr>
                <w:lang w:val="es-ES_tradnl"/>
              </w:rPr>
            </w:pPr>
          </w:p>
        </w:tc>
        <w:tc>
          <w:tcPr>
            <w:tcW w:w="2693" w:type="dxa"/>
          </w:tcPr>
          <w:p w14:paraId="6EE92A01" w14:textId="77777777" w:rsidR="0032453C" w:rsidRPr="0032453C" w:rsidRDefault="0032453C" w:rsidP="0032453C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rPr>
                <w:lang w:val="es-ES_tradnl"/>
              </w:rPr>
            </w:pPr>
          </w:p>
        </w:tc>
        <w:tc>
          <w:tcPr>
            <w:tcW w:w="3118" w:type="dxa"/>
          </w:tcPr>
          <w:p w14:paraId="1BCAE035" w14:textId="77777777" w:rsidR="0032453C" w:rsidRPr="00C00B3C" w:rsidRDefault="0032453C" w:rsidP="0032453C">
            <w:pPr>
              <w:pStyle w:val="AText"/>
              <w:rPr>
                <w:rFonts w:eastAsiaTheme="minorEastAsia"/>
                <w:lang w:val="es-ES"/>
              </w:rPr>
            </w:pPr>
            <w:r w:rsidRPr="00C00B3C">
              <w:rPr>
                <w:color w:val="000000"/>
                <w:lang w:val="es-ES"/>
              </w:rPr>
              <w:t xml:space="preserve">Distr. general </w:t>
            </w:r>
          </w:p>
          <w:p w14:paraId="51081CDB" w14:textId="77777777" w:rsidR="0032453C" w:rsidRPr="00C00B3C" w:rsidRDefault="0032453C" w:rsidP="0032453C">
            <w:pPr>
              <w:pStyle w:val="AText0"/>
              <w:rPr>
                <w:rFonts w:eastAsiaTheme="minorEastAsia"/>
                <w:lang w:val="es-ES"/>
              </w:rPr>
            </w:pPr>
            <w:r w:rsidRPr="00C00B3C">
              <w:rPr>
                <w:color w:val="000000"/>
                <w:lang w:val="es-ES"/>
              </w:rPr>
              <w:t xml:space="preserve">24 de noviembre de 2025 </w:t>
            </w:r>
          </w:p>
          <w:p w14:paraId="18875E1F" w14:textId="77777777" w:rsidR="0032453C" w:rsidRPr="0032453C" w:rsidRDefault="0032453C" w:rsidP="0032453C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624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spacing w:before="120"/>
              <w:rPr>
                <w:lang w:val="es-ES_tradnl"/>
              </w:rPr>
            </w:pPr>
            <w:r w:rsidRPr="0032453C">
              <w:rPr>
                <w:lang w:val="es-ES_tradnl"/>
              </w:rPr>
              <w:t xml:space="preserve">Español </w:t>
            </w:r>
            <w:r w:rsidRPr="0032453C">
              <w:rPr>
                <w:lang w:val="es-ES_tradnl"/>
              </w:rPr>
              <w:br/>
              <w:t>Original: inglés</w:t>
            </w:r>
          </w:p>
        </w:tc>
      </w:tr>
    </w:tbl>
    <w:p w14:paraId="593D5E6F" w14:textId="77777777" w:rsidR="0032453C" w:rsidRPr="0032453C" w:rsidRDefault="0032453C" w:rsidP="0032453C">
      <w:pPr>
        <w:tabs>
          <w:tab w:val="clear" w:pos="1814"/>
          <w:tab w:val="clear" w:pos="2381"/>
          <w:tab w:val="clear" w:pos="2948"/>
          <w:tab w:val="clear" w:pos="3515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</w:tabs>
        <w:rPr>
          <w:sz w:val="2"/>
          <w:lang w:val="es-ES_tradnl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32453C" w:rsidRPr="008C48F3" w14:paraId="78D386AF" w14:textId="77777777" w:rsidTr="003854DA">
        <w:trPr>
          <w:trHeight w:val="57"/>
        </w:trPr>
        <w:tc>
          <w:tcPr>
            <w:tcW w:w="5301" w:type="dxa"/>
          </w:tcPr>
          <w:p w14:paraId="225CA636" w14:textId="77777777" w:rsidR="0032453C" w:rsidRPr="0032453C" w:rsidRDefault="0032453C" w:rsidP="0032453C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rPr>
                <w:b/>
                <w:lang w:val="es-ES_tradnl"/>
              </w:rPr>
            </w:pPr>
            <w:r w:rsidRPr="0032453C">
              <w:rPr>
                <w:b/>
                <w:lang w:val="es-ES_tradnl"/>
              </w:rPr>
              <w:t xml:space="preserve">Conferencia de las Partes en el Convenio </w:t>
            </w:r>
            <w:r w:rsidRPr="0032453C">
              <w:rPr>
                <w:b/>
                <w:lang w:val="es-ES_tradnl"/>
              </w:rPr>
              <w:br/>
              <w:t>de Minamata sobre el Mercurio</w:t>
            </w:r>
          </w:p>
          <w:p w14:paraId="57612FF2" w14:textId="77777777" w:rsidR="0032453C" w:rsidRPr="0032453C" w:rsidRDefault="0032453C" w:rsidP="0032453C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rPr>
                <w:b/>
                <w:lang w:val="es-ES_tradnl"/>
              </w:rPr>
            </w:pPr>
            <w:r w:rsidRPr="0032453C">
              <w:rPr>
                <w:b/>
                <w:lang w:val="es-ES_tradnl"/>
              </w:rPr>
              <w:t xml:space="preserve">Sexta reunión </w:t>
            </w:r>
          </w:p>
          <w:p w14:paraId="236106EA" w14:textId="43B4837E" w:rsidR="0032453C" w:rsidRPr="0032453C" w:rsidRDefault="0032453C" w:rsidP="0032453C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rPr>
                <w:lang w:val="es-ES_tradnl"/>
              </w:rPr>
            </w:pPr>
            <w:r w:rsidRPr="0032453C">
              <w:rPr>
                <w:lang w:val="es-ES_tradnl"/>
              </w:rPr>
              <w:t xml:space="preserve">Ginebra, 3 a 7 de noviembre de 2025 </w:t>
            </w:r>
            <w:r w:rsidRPr="0032453C">
              <w:rPr>
                <w:b/>
                <w:lang w:val="es-ES_tradnl"/>
              </w:rPr>
              <w:t xml:space="preserve"> </w:t>
            </w:r>
          </w:p>
        </w:tc>
        <w:tc>
          <w:tcPr>
            <w:tcW w:w="4195" w:type="dxa"/>
          </w:tcPr>
          <w:p w14:paraId="5C530AD5" w14:textId="77777777" w:rsidR="0032453C" w:rsidRPr="0032453C" w:rsidRDefault="0032453C" w:rsidP="0032453C">
            <w:pPr>
              <w:tabs>
                <w:tab w:val="clear" w:pos="1814"/>
                <w:tab w:val="clear" w:pos="2381"/>
                <w:tab w:val="clear" w:pos="2948"/>
                <w:tab w:val="clear" w:pos="3515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rPr>
                <w:lang w:val="es-ES_tradnl"/>
              </w:rPr>
            </w:pPr>
          </w:p>
        </w:tc>
      </w:tr>
    </w:tbl>
    <w:p w14:paraId="3B1BC5D4" w14:textId="568B6D4A" w:rsidR="007A5982" w:rsidRPr="00C00B3C" w:rsidRDefault="007A5982" w:rsidP="007A5982">
      <w:pPr>
        <w:pStyle w:val="BBTitle"/>
        <w:rPr>
          <w:lang w:val="es-ES"/>
        </w:rPr>
      </w:pPr>
      <w:r w:rsidRPr="00C00B3C">
        <w:rPr>
          <w:bCs/>
          <w:lang w:val="es-ES"/>
        </w:rPr>
        <w:t>Decisiones adoptadas por la Conferencia de las Partes en el Convenio de Minamata sobre el Mercurio en su sexta reunión</w:t>
      </w:r>
    </w:p>
    <w:p w14:paraId="3381279D" w14:textId="77777777" w:rsidR="007A5982" w:rsidRPr="00C00B3C" w:rsidRDefault="007A5982" w:rsidP="007A5982">
      <w:pPr>
        <w:pStyle w:val="CH2"/>
        <w:rPr>
          <w:rFonts w:asciiTheme="majorBidi" w:hAnsiTheme="majorBidi" w:cstheme="majorBidi"/>
          <w:lang w:val="es-ES"/>
        </w:rPr>
      </w:pPr>
      <w:r w:rsidRPr="00C00B3C">
        <w:rPr>
          <w:lang w:val="es-ES"/>
        </w:rPr>
        <w:tab/>
      </w:r>
      <w:r w:rsidRPr="00C00B3C">
        <w:rPr>
          <w:lang w:val="es-ES"/>
        </w:rPr>
        <w:tab/>
      </w:r>
      <w:r w:rsidRPr="00C00B3C">
        <w:rPr>
          <w:bCs/>
          <w:lang w:val="es-ES"/>
        </w:rPr>
        <w:t>Decisión MC-6/3: modificaciones del anexo A</w:t>
      </w:r>
      <w:r w:rsidRPr="00C00B3C">
        <w:rPr>
          <w:lang w:val="es-ES"/>
        </w:rPr>
        <w:t xml:space="preserve"> </w:t>
      </w:r>
      <w:bookmarkStart w:id="0" w:name="_Toc213853060"/>
      <w:bookmarkEnd w:id="0"/>
    </w:p>
    <w:p w14:paraId="7CD98474" w14:textId="77777777" w:rsidR="007A5982" w:rsidRPr="00C00B3C" w:rsidRDefault="007A5982" w:rsidP="00795EA9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i/>
          <w:iCs/>
          <w:lang w:val="es-ES"/>
        </w:rPr>
      </w:pPr>
      <w:r w:rsidRPr="00C00B3C">
        <w:rPr>
          <w:i/>
          <w:iCs/>
          <w:lang w:val="es-ES"/>
        </w:rPr>
        <w:t>La Conferencia de las Partes,</w:t>
      </w:r>
    </w:p>
    <w:p w14:paraId="3FBB4EDA" w14:textId="6DBE99B0" w:rsidR="007A5982" w:rsidRPr="00C00B3C" w:rsidRDefault="007A5982" w:rsidP="00795EA9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asciiTheme="majorBidi" w:hAnsiTheme="majorBidi" w:cstheme="majorBidi"/>
          <w:lang w:val="es-ES"/>
        </w:rPr>
      </w:pPr>
      <w:r w:rsidRPr="00C00B3C">
        <w:rPr>
          <w:i/>
          <w:iCs/>
          <w:lang w:val="es-ES"/>
        </w:rPr>
        <w:t>Habiendo examinado</w:t>
      </w:r>
      <w:r w:rsidRPr="00C00B3C">
        <w:rPr>
          <w:lang w:val="es-ES"/>
        </w:rPr>
        <w:t xml:space="preserve"> la propuesta de modificación del anexo del Convenio de Minamata sobre el Mercurio recogida en el documento UNEP/MC/COP.6/6.</w:t>
      </w:r>
    </w:p>
    <w:p w14:paraId="0FCCCCA7" w14:textId="77777777" w:rsidR="007A5982" w:rsidRPr="00C00B3C" w:rsidRDefault="007A5982" w:rsidP="007E31D3">
      <w:pPr>
        <w:pStyle w:val="NormalNonumber"/>
        <w:numPr>
          <w:ilvl w:val="0"/>
          <w:numId w:val="2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es-ES"/>
        </w:rPr>
      </w:pPr>
      <w:r w:rsidRPr="00C00B3C">
        <w:rPr>
          <w:i/>
          <w:iCs/>
          <w:lang w:val="es-ES"/>
        </w:rPr>
        <w:t xml:space="preserve">Decide </w:t>
      </w:r>
      <w:r w:rsidRPr="00C00B3C">
        <w:rPr>
          <w:lang w:val="es-ES"/>
        </w:rPr>
        <w:t>modificar la parte I del anexo A del Convenio tal como se indica en el cuadro siguiente</w:t>
      </w:r>
      <w:r w:rsidRPr="00C00B3C">
        <w:rPr>
          <w:vertAlign w:val="superscript"/>
          <w:lang w:val="es-ES"/>
        </w:rPr>
        <w:footnoteReference w:id="2"/>
      </w:r>
      <w:r w:rsidRPr="00C00B3C">
        <w:rPr>
          <w:lang w:val="es-ES"/>
        </w:rPr>
        <w:t>:</w:t>
      </w:r>
    </w:p>
    <w:tbl>
      <w:tblPr>
        <w:tblStyle w:val="TableGrid10"/>
        <w:tblW w:w="830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9"/>
        <w:gridCol w:w="2598"/>
      </w:tblGrid>
      <w:tr w:rsidR="00E126C8" w:rsidRPr="008C48F3" w14:paraId="14BCB6ED" w14:textId="77777777" w:rsidTr="00FD4EE0">
        <w:trPr>
          <w:trHeight w:val="57"/>
          <w:tblHeader/>
          <w:jc w:val="right"/>
        </w:trPr>
        <w:tc>
          <w:tcPr>
            <w:tcW w:w="5709" w:type="dxa"/>
            <w:vAlign w:val="bottom"/>
          </w:tcPr>
          <w:p w14:paraId="76445838" w14:textId="77777777" w:rsidR="00E126C8" w:rsidRPr="0032453C" w:rsidRDefault="00E126C8" w:rsidP="00FD4EE0">
            <w:pPr>
              <w:spacing w:before="40" w:after="40"/>
              <w:rPr>
                <w:i/>
                <w:iCs/>
                <w:sz w:val="18"/>
                <w:szCs w:val="18"/>
                <w:lang w:val="es-ES"/>
              </w:rPr>
            </w:pPr>
            <w:r w:rsidRPr="0032453C">
              <w:rPr>
                <w:i/>
                <w:iCs/>
                <w:color w:val="000000"/>
                <w:sz w:val="18"/>
                <w:szCs w:val="18"/>
                <w:lang w:val="es-ES"/>
              </w:rPr>
              <w:t>Productos con mercurio añadido</w:t>
            </w:r>
          </w:p>
        </w:tc>
        <w:tc>
          <w:tcPr>
            <w:tcW w:w="2598" w:type="dxa"/>
            <w:vAlign w:val="bottom"/>
          </w:tcPr>
          <w:p w14:paraId="36F94AF0" w14:textId="77777777" w:rsidR="00E126C8" w:rsidRPr="0032453C" w:rsidRDefault="00E126C8" w:rsidP="00FD4EE0">
            <w:pPr>
              <w:spacing w:before="40" w:after="40"/>
              <w:rPr>
                <w:i/>
                <w:iCs/>
                <w:sz w:val="18"/>
                <w:szCs w:val="18"/>
                <w:lang w:val="es-ES"/>
              </w:rPr>
            </w:pPr>
            <w:r w:rsidRPr="0032453C">
              <w:rPr>
                <w:i/>
                <w:iCs/>
                <w:color w:val="000000"/>
                <w:sz w:val="18"/>
                <w:szCs w:val="18"/>
                <w:lang w:val="es-ES"/>
              </w:rPr>
              <w:t>Fecha después de la cual no estará permitida la producción, importación ni exportación del producto (fecha de eliminación)</w:t>
            </w:r>
          </w:p>
        </w:tc>
      </w:tr>
      <w:tr w:rsidR="00E126C8" w:rsidRPr="0032453C" w14:paraId="37FF7D48" w14:textId="77777777" w:rsidTr="00FD4EE0">
        <w:trPr>
          <w:trHeight w:val="57"/>
          <w:jc w:val="right"/>
        </w:trPr>
        <w:tc>
          <w:tcPr>
            <w:tcW w:w="5709" w:type="dxa"/>
          </w:tcPr>
          <w:p w14:paraId="26C25E7E" w14:textId="77777777" w:rsidR="00E126C8" w:rsidRPr="0032453C" w:rsidRDefault="00E126C8" w:rsidP="0032453C">
            <w:pPr>
              <w:spacing w:before="40" w:after="40"/>
              <w:ind w:right="-57"/>
              <w:rPr>
                <w:spacing w:val="-2"/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Baterías, salvo pilas de botón de óxido de plata con un contenido de mercurio &lt; 2 %</w:t>
            </w:r>
            <w:r w:rsidRPr="0032453C">
              <w:rPr>
                <w:color w:val="000000"/>
                <w:spacing w:val="-2"/>
                <w:sz w:val="18"/>
                <w:szCs w:val="18"/>
                <w:lang w:val="es-ES"/>
              </w:rPr>
              <w:t xml:space="preserve"> y pilas de botón zinc-aire con un contenido de mercurio &lt; 2 %</w:t>
            </w:r>
          </w:p>
        </w:tc>
        <w:tc>
          <w:tcPr>
            <w:tcW w:w="2598" w:type="dxa"/>
          </w:tcPr>
          <w:p w14:paraId="09AFCAB0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2020</w:t>
            </w:r>
          </w:p>
        </w:tc>
      </w:tr>
      <w:tr w:rsidR="00E126C8" w:rsidRPr="0032453C" w14:paraId="1A903BF7" w14:textId="77777777" w:rsidTr="00FD4EE0">
        <w:trPr>
          <w:trHeight w:val="57"/>
          <w:jc w:val="right"/>
        </w:trPr>
        <w:tc>
          <w:tcPr>
            <w:tcW w:w="5709" w:type="dxa"/>
          </w:tcPr>
          <w:p w14:paraId="5F760799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Pilas de botón de óxido de plata con un contenido de mercurio &lt; 2 % y pilas de botón zinc-aire con un contenido de mercurio &lt; 2 %</w:t>
            </w:r>
          </w:p>
        </w:tc>
        <w:tc>
          <w:tcPr>
            <w:tcW w:w="2598" w:type="dxa"/>
          </w:tcPr>
          <w:p w14:paraId="4E0E6D9F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2025</w:t>
            </w:r>
          </w:p>
        </w:tc>
      </w:tr>
      <w:tr w:rsidR="00E126C8" w:rsidRPr="0032453C" w14:paraId="26C06FD1" w14:textId="77777777" w:rsidTr="00FD4EE0">
        <w:trPr>
          <w:trHeight w:val="57"/>
          <w:jc w:val="right"/>
        </w:trPr>
        <w:tc>
          <w:tcPr>
            <w:tcW w:w="5709" w:type="dxa"/>
          </w:tcPr>
          <w:p w14:paraId="2A5925FC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Interruptores y relés, excepto puentes medidores de capacitancia y pérdida de alta precisión e interruptores y relés de radiofrecuencia de alta frecuencia utilizados en instrumentos de monitorización y control con un contenido máximo de mercurio de 20 mg por puente, interruptor o relé</w:t>
            </w:r>
          </w:p>
        </w:tc>
        <w:tc>
          <w:tcPr>
            <w:tcW w:w="2598" w:type="dxa"/>
          </w:tcPr>
          <w:p w14:paraId="3912F151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2020</w:t>
            </w:r>
          </w:p>
        </w:tc>
      </w:tr>
      <w:tr w:rsidR="00E126C8" w:rsidRPr="0032453C" w14:paraId="1DC6775B" w14:textId="77777777" w:rsidTr="00FD4EE0">
        <w:trPr>
          <w:trHeight w:val="57"/>
          <w:jc w:val="right"/>
        </w:trPr>
        <w:tc>
          <w:tcPr>
            <w:tcW w:w="5709" w:type="dxa"/>
          </w:tcPr>
          <w:p w14:paraId="3F8E7207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Puentes medidores de capacitancia y pérdida de alta precisión e interruptores y relés de radiofrecuencia de alta frecuencia utilizados en instrumentos de monitorización y control con un contenido máximo de mercurio de 20 mg por puente, interruptor o relé, salvo aquellos utilizados con fines de investigación y desarrollo</w:t>
            </w:r>
          </w:p>
        </w:tc>
        <w:tc>
          <w:tcPr>
            <w:tcW w:w="2598" w:type="dxa"/>
          </w:tcPr>
          <w:p w14:paraId="56B94CDC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2025</w:t>
            </w:r>
          </w:p>
        </w:tc>
      </w:tr>
      <w:tr w:rsidR="00E126C8" w:rsidRPr="0032453C" w14:paraId="32AED25D" w14:textId="77777777" w:rsidTr="00FD4EE0">
        <w:trPr>
          <w:trHeight w:val="57"/>
          <w:jc w:val="right"/>
        </w:trPr>
        <w:tc>
          <w:tcPr>
            <w:tcW w:w="5709" w:type="dxa"/>
          </w:tcPr>
          <w:p w14:paraId="61DD92F5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Lámparas fluorescentes compactas (CFL) para usos generales de iluminación de ≤ 30 vatios con un contenido de mercurio superior a 5 mg por quemador de lámpara</w:t>
            </w:r>
          </w:p>
        </w:tc>
        <w:tc>
          <w:tcPr>
            <w:tcW w:w="2598" w:type="dxa"/>
          </w:tcPr>
          <w:p w14:paraId="0C5BA3FD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2020</w:t>
            </w:r>
          </w:p>
        </w:tc>
      </w:tr>
      <w:tr w:rsidR="00E126C8" w:rsidRPr="0032453C" w14:paraId="42114436" w14:textId="77777777" w:rsidTr="00FD4EE0">
        <w:trPr>
          <w:trHeight w:val="57"/>
          <w:jc w:val="right"/>
        </w:trPr>
        <w:tc>
          <w:tcPr>
            <w:tcW w:w="5709" w:type="dxa"/>
          </w:tcPr>
          <w:p w14:paraId="77C90F20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Lámparas fluorescentes compactas (CFL) para usos generales de iluminación de &gt; 30 vatios</w:t>
            </w:r>
          </w:p>
        </w:tc>
        <w:tc>
          <w:tcPr>
            <w:tcW w:w="2598" w:type="dxa"/>
          </w:tcPr>
          <w:p w14:paraId="77563A8E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2026</w:t>
            </w:r>
          </w:p>
        </w:tc>
      </w:tr>
      <w:tr w:rsidR="00E126C8" w:rsidRPr="0032453C" w14:paraId="6093FC0A" w14:textId="77777777" w:rsidTr="00FD4EE0">
        <w:trPr>
          <w:trHeight w:val="57"/>
          <w:jc w:val="right"/>
        </w:trPr>
        <w:tc>
          <w:tcPr>
            <w:tcW w:w="5709" w:type="dxa"/>
          </w:tcPr>
          <w:p w14:paraId="2B729161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Lámparas fluorescentes compactas con balasto integrado (CFL.i) para usos generales de iluminación de ≤ 30 vatios con un contenido de mercurio no superior a 5 mg por quemador de lámpara</w:t>
            </w:r>
          </w:p>
        </w:tc>
        <w:tc>
          <w:tcPr>
            <w:tcW w:w="2598" w:type="dxa"/>
          </w:tcPr>
          <w:p w14:paraId="653FEDD5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2025</w:t>
            </w:r>
          </w:p>
        </w:tc>
      </w:tr>
      <w:tr w:rsidR="00E126C8" w:rsidRPr="0032453C" w14:paraId="27790366" w14:textId="77777777" w:rsidTr="00FD4EE0">
        <w:trPr>
          <w:trHeight w:val="57"/>
          <w:jc w:val="right"/>
        </w:trPr>
        <w:tc>
          <w:tcPr>
            <w:tcW w:w="5709" w:type="dxa"/>
          </w:tcPr>
          <w:p w14:paraId="2838E88C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lastRenderedPageBreak/>
              <w:t>Lámparas fluorescentes compactas con balasto no integrado (CFL.ni) para usos generales de iluminación de ≤ 30 vatios con un contenido de mercurio no superior a 5 mg por quemador de lámpara</w:t>
            </w:r>
          </w:p>
        </w:tc>
        <w:tc>
          <w:tcPr>
            <w:tcW w:w="2598" w:type="dxa"/>
          </w:tcPr>
          <w:p w14:paraId="2A3DFF54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2026</w:t>
            </w:r>
          </w:p>
        </w:tc>
      </w:tr>
      <w:tr w:rsidR="00E126C8" w:rsidRPr="0032453C" w14:paraId="586E092D" w14:textId="77777777" w:rsidTr="00FD4EE0">
        <w:trPr>
          <w:trHeight w:val="57"/>
          <w:jc w:val="right"/>
        </w:trPr>
        <w:tc>
          <w:tcPr>
            <w:tcW w:w="5709" w:type="dxa"/>
          </w:tcPr>
          <w:p w14:paraId="68841746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Lámparas fluorescentes lineales (LFL) para usos generales de iluminación:</w:t>
            </w:r>
          </w:p>
          <w:p w14:paraId="2E7DD39D" w14:textId="77777777" w:rsidR="00E126C8" w:rsidRPr="0032453C" w:rsidRDefault="00E126C8" w:rsidP="00E126C8">
            <w:pPr>
              <w:keepNext/>
              <w:keepLines/>
              <w:numPr>
                <w:ilvl w:val="0"/>
                <w:numId w:val="17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Fósforo tribanda de &lt; 60 vatios con un contenido de mercurio superior a 5 mg por lámpara;</w:t>
            </w:r>
          </w:p>
          <w:p w14:paraId="2C2BF931" w14:textId="77777777" w:rsidR="00E126C8" w:rsidRPr="0032453C" w:rsidRDefault="00E126C8" w:rsidP="00E126C8">
            <w:pPr>
              <w:keepNext/>
              <w:keepLines/>
              <w:numPr>
                <w:ilvl w:val="0"/>
                <w:numId w:val="17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 xml:space="preserve">Fósforo en halofosfato de ≤ 40 vatios con un contenido de mercurio superior a 10 mg por lámpara </w:t>
            </w:r>
          </w:p>
        </w:tc>
        <w:tc>
          <w:tcPr>
            <w:tcW w:w="2598" w:type="dxa"/>
          </w:tcPr>
          <w:p w14:paraId="2E038765" w14:textId="77777777" w:rsidR="00E126C8" w:rsidRPr="0032453C" w:rsidRDefault="00E126C8" w:rsidP="00FD4EE0">
            <w:pPr>
              <w:keepNext/>
              <w:keepLines/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2020</w:t>
            </w:r>
          </w:p>
        </w:tc>
      </w:tr>
      <w:tr w:rsidR="00E126C8" w:rsidRPr="0032453C" w14:paraId="67FA8DDA" w14:textId="77777777" w:rsidTr="00FD4EE0">
        <w:trPr>
          <w:trHeight w:val="57"/>
          <w:jc w:val="right"/>
        </w:trPr>
        <w:tc>
          <w:tcPr>
            <w:tcW w:w="5709" w:type="dxa"/>
          </w:tcPr>
          <w:p w14:paraId="1062FB3C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Lámparas fluorescentes lineales (LFL) para usos generales de iluminación:</w:t>
            </w:r>
          </w:p>
          <w:p w14:paraId="404CF840" w14:textId="77777777" w:rsidR="00E126C8" w:rsidRPr="0032453C" w:rsidRDefault="00E126C8" w:rsidP="00E126C8">
            <w:pPr>
              <w:numPr>
                <w:ilvl w:val="0"/>
                <w:numId w:val="20"/>
              </w:numPr>
              <w:tabs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 xml:space="preserve">Fósforo en halofosfato de ≤ 40 vatios con un contenido de mercurio no superior a 10 mg por lámpara </w:t>
            </w:r>
          </w:p>
          <w:p w14:paraId="63DC85B7" w14:textId="77777777" w:rsidR="00E126C8" w:rsidRPr="0032453C" w:rsidRDefault="00E126C8" w:rsidP="00E126C8">
            <w:pPr>
              <w:numPr>
                <w:ilvl w:val="0"/>
                <w:numId w:val="20"/>
              </w:numPr>
              <w:tabs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Fósforo en halofosfato de &gt; 40 vatios</w:t>
            </w:r>
          </w:p>
        </w:tc>
        <w:tc>
          <w:tcPr>
            <w:tcW w:w="2598" w:type="dxa"/>
          </w:tcPr>
          <w:p w14:paraId="1E02AED9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2026</w:t>
            </w:r>
          </w:p>
        </w:tc>
      </w:tr>
      <w:tr w:rsidR="00E126C8" w:rsidRPr="0032453C" w14:paraId="7912FEFC" w14:textId="77777777" w:rsidTr="00FD4EE0">
        <w:trPr>
          <w:trHeight w:val="57"/>
          <w:jc w:val="right"/>
        </w:trPr>
        <w:tc>
          <w:tcPr>
            <w:tcW w:w="5709" w:type="dxa"/>
          </w:tcPr>
          <w:p w14:paraId="1220C7EE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Lámparas fluorescentes lineales (LFL) para usos generales de iluminación:</w:t>
            </w:r>
          </w:p>
          <w:p w14:paraId="0EA29FE0" w14:textId="77777777" w:rsidR="00E126C8" w:rsidRPr="0032453C" w:rsidRDefault="00E126C8" w:rsidP="00E126C8">
            <w:pPr>
              <w:numPr>
                <w:ilvl w:val="0"/>
                <w:numId w:val="19"/>
              </w:numPr>
              <w:tabs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Fósforo tribanda de &lt; 60 vatios con un contenido de mercurio no superior a 5 mg/lámpara</w:t>
            </w:r>
          </w:p>
          <w:p w14:paraId="0FDC0083" w14:textId="77777777" w:rsidR="00E126C8" w:rsidRPr="0032453C" w:rsidRDefault="00E126C8" w:rsidP="00E126C8">
            <w:pPr>
              <w:numPr>
                <w:ilvl w:val="0"/>
                <w:numId w:val="19"/>
              </w:numPr>
              <w:tabs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Fósforo tribanda de ≥ 60 vatios con un contenido de mercurio no superior a 5 mg por lámpara</w:t>
            </w:r>
          </w:p>
          <w:p w14:paraId="060C548C" w14:textId="77777777" w:rsidR="00E126C8" w:rsidRPr="0032453C" w:rsidRDefault="00E126C8" w:rsidP="00E126C8">
            <w:pPr>
              <w:numPr>
                <w:ilvl w:val="0"/>
                <w:numId w:val="19"/>
              </w:numPr>
              <w:tabs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Fósforo tribanda de ≥ 60 vatios con un contenido de mercurio superior a 5 mg por lámpara</w:t>
            </w:r>
          </w:p>
        </w:tc>
        <w:tc>
          <w:tcPr>
            <w:tcW w:w="2598" w:type="dxa"/>
          </w:tcPr>
          <w:p w14:paraId="22141FC1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2027</w:t>
            </w:r>
          </w:p>
        </w:tc>
      </w:tr>
      <w:tr w:rsidR="00E126C8" w:rsidRPr="0032453C" w14:paraId="16AF4FB8" w14:textId="77777777" w:rsidTr="00FD4EE0">
        <w:trPr>
          <w:trHeight w:val="57"/>
          <w:jc w:val="right"/>
        </w:trPr>
        <w:tc>
          <w:tcPr>
            <w:tcW w:w="5709" w:type="dxa"/>
          </w:tcPr>
          <w:p w14:paraId="68CCFB83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Lámparas fluorescentes no lineales (NFL) (p. ej., en forma de U y circulares) para usos generales de iluminación:</w:t>
            </w:r>
          </w:p>
          <w:p w14:paraId="1AD9B512" w14:textId="77777777" w:rsidR="00E126C8" w:rsidRPr="0032453C" w:rsidRDefault="00E126C8" w:rsidP="00E126C8">
            <w:pPr>
              <w:numPr>
                <w:ilvl w:val="0"/>
                <w:numId w:val="18"/>
              </w:numPr>
              <w:tabs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318" w:hanging="318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Fósforo tribanda, todas las potencias</w:t>
            </w:r>
          </w:p>
        </w:tc>
        <w:tc>
          <w:tcPr>
            <w:tcW w:w="2598" w:type="dxa"/>
          </w:tcPr>
          <w:p w14:paraId="2D043D45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2027</w:t>
            </w:r>
          </w:p>
        </w:tc>
      </w:tr>
      <w:tr w:rsidR="00E126C8" w:rsidRPr="0032453C" w14:paraId="7F84A18D" w14:textId="77777777" w:rsidTr="00FD4EE0">
        <w:trPr>
          <w:trHeight w:val="57"/>
          <w:jc w:val="right"/>
        </w:trPr>
        <w:tc>
          <w:tcPr>
            <w:tcW w:w="5709" w:type="dxa"/>
          </w:tcPr>
          <w:p w14:paraId="5E91FC8A" w14:textId="77777777" w:rsidR="00E126C8" w:rsidRPr="0032453C" w:rsidRDefault="00E126C8" w:rsidP="00E126C8">
            <w:pPr>
              <w:numPr>
                <w:ilvl w:val="0"/>
                <w:numId w:val="18"/>
              </w:numPr>
              <w:tabs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318" w:hanging="318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Fósforo en halofosfato, todas las potencias</w:t>
            </w:r>
          </w:p>
        </w:tc>
        <w:tc>
          <w:tcPr>
            <w:tcW w:w="2598" w:type="dxa"/>
          </w:tcPr>
          <w:p w14:paraId="21922AE7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2026</w:t>
            </w:r>
          </w:p>
        </w:tc>
      </w:tr>
      <w:tr w:rsidR="00E126C8" w:rsidRPr="0032453C" w14:paraId="0E841AC5" w14:textId="77777777" w:rsidTr="00FD4EE0">
        <w:trPr>
          <w:trHeight w:val="57"/>
          <w:jc w:val="right"/>
        </w:trPr>
        <w:tc>
          <w:tcPr>
            <w:tcW w:w="5709" w:type="dxa"/>
          </w:tcPr>
          <w:p w14:paraId="1E36A2EC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 xml:space="preserve">Lámparas de vapor de mercurio a alta presión (HPMV) para usos generales de iluminación </w:t>
            </w:r>
          </w:p>
        </w:tc>
        <w:tc>
          <w:tcPr>
            <w:tcW w:w="2598" w:type="dxa"/>
          </w:tcPr>
          <w:p w14:paraId="31150596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2020</w:t>
            </w:r>
          </w:p>
        </w:tc>
      </w:tr>
      <w:tr w:rsidR="00E126C8" w:rsidRPr="0032453C" w14:paraId="4BCAE7C4" w14:textId="77777777" w:rsidTr="00FD4EE0">
        <w:trPr>
          <w:trHeight w:val="57"/>
          <w:jc w:val="right"/>
        </w:trPr>
        <w:tc>
          <w:tcPr>
            <w:tcW w:w="5709" w:type="dxa"/>
          </w:tcPr>
          <w:p w14:paraId="7D03B1C8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 xml:space="preserve">Mercurio en lámparas fluorescentes de cátodo frío y lámparas fluorescentes de electrodo externo (CCFL y EEFL) para pantallas electrónicas: </w:t>
            </w:r>
          </w:p>
          <w:p w14:paraId="11C84B08" w14:textId="77777777" w:rsidR="00E126C8" w:rsidRPr="0032453C" w:rsidRDefault="00E126C8" w:rsidP="00E126C8">
            <w:pPr>
              <w:numPr>
                <w:ilvl w:val="0"/>
                <w:numId w:val="21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de longitud corta (≤ 500 mm) con un contenido de mercurio superior a 3,5 mg por lámpara</w:t>
            </w:r>
          </w:p>
          <w:p w14:paraId="4BF331AB" w14:textId="77777777" w:rsidR="00E126C8" w:rsidRPr="0032453C" w:rsidRDefault="00E126C8" w:rsidP="00E126C8">
            <w:pPr>
              <w:numPr>
                <w:ilvl w:val="0"/>
                <w:numId w:val="21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de longitud media (&gt; 500 mm y ≤ 1.500 mm) con un contenido de mercurio superior a 5 mg por lámpara</w:t>
            </w:r>
          </w:p>
          <w:p w14:paraId="4BC55D10" w14:textId="77777777" w:rsidR="00E126C8" w:rsidRPr="0032453C" w:rsidRDefault="00E126C8" w:rsidP="00E126C8">
            <w:pPr>
              <w:numPr>
                <w:ilvl w:val="0"/>
                <w:numId w:val="21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de longitud larga (&gt; 1.500 mm) con un contenido de mercurio superior a 13 mg por lámpara</w:t>
            </w:r>
          </w:p>
        </w:tc>
        <w:tc>
          <w:tcPr>
            <w:tcW w:w="2598" w:type="dxa"/>
          </w:tcPr>
          <w:p w14:paraId="6D9016E3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2020</w:t>
            </w:r>
          </w:p>
        </w:tc>
      </w:tr>
      <w:tr w:rsidR="00E126C8" w:rsidRPr="0032453C" w14:paraId="02266827" w14:textId="77777777" w:rsidTr="00FD4EE0">
        <w:trPr>
          <w:trHeight w:val="57"/>
          <w:jc w:val="right"/>
        </w:trPr>
        <w:tc>
          <w:tcPr>
            <w:tcW w:w="5709" w:type="dxa"/>
          </w:tcPr>
          <w:p w14:paraId="422A3A39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Lámparas fluorescentes de cátodo frío (CCFL) y lámparas fluorescentes de electrodo externo (EEFL) de todas las longitudes para pantallas electrónicas, no incluidas en la lista detallada más arriba</w:t>
            </w:r>
          </w:p>
        </w:tc>
        <w:tc>
          <w:tcPr>
            <w:tcW w:w="2598" w:type="dxa"/>
          </w:tcPr>
          <w:p w14:paraId="69086563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2025</w:t>
            </w:r>
          </w:p>
        </w:tc>
      </w:tr>
      <w:tr w:rsidR="00E126C8" w:rsidRPr="0032453C" w14:paraId="118EDA80" w14:textId="77777777" w:rsidTr="00FD4EE0">
        <w:trPr>
          <w:trHeight w:val="57"/>
          <w:jc w:val="right"/>
        </w:trPr>
        <w:tc>
          <w:tcPr>
            <w:tcW w:w="5709" w:type="dxa"/>
          </w:tcPr>
          <w:p w14:paraId="167643D6" w14:textId="2255D0C1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Cosméticos (con un contenido de mercurio superior a 1 ppm), incluidos los jabones y las cremas para aclarar la piel, pero sin incluir los cosméticos para la zona de alrededor de los ojos que utilicen mercurio como conservante y para los que no existan conservantes alternativos eficaces y</w:t>
            </w:r>
            <w:r w:rsidR="0032453C">
              <w:rPr>
                <w:color w:val="000000"/>
                <w:sz w:val="18"/>
                <w:szCs w:val="18"/>
                <w:lang w:val="es-ES"/>
              </w:rPr>
              <w:t> </w:t>
            </w:r>
            <w:r w:rsidRPr="0032453C">
              <w:rPr>
                <w:color w:val="000000"/>
                <w:sz w:val="18"/>
                <w:szCs w:val="18"/>
                <w:lang w:val="es-ES"/>
              </w:rPr>
              <w:t>seguros</w:t>
            </w:r>
            <w:r w:rsidRPr="0032453C">
              <w:rPr>
                <w:color w:val="000000"/>
                <w:sz w:val="18"/>
                <w:szCs w:val="18"/>
                <w:vertAlign w:val="superscript"/>
                <w:lang w:val="es-ES"/>
              </w:rPr>
              <w:t>1/</w:t>
            </w:r>
          </w:p>
        </w:tc>
        <w:tc>
          <w:tcPr>
            <w:tcW w:w="2598" w:type="dxa"/>
          </w:tcPr>
          <w:p w14:paraId="52152DE7" w14:textId="77777777" w:rsidR="00E126C8" w:rsidRPr="0032453C" w:rsidRDefault="00E126C8" w:rsidP="00FD4EE0">
            <w:pPr>
              <w:keepNext/>
              <w:keepLines/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2020</w:t>
            </w:r>
          </w:p>
        </w:tc>
      </w:tr>
      <w:tr w:rsidR="00E126C8" w:rsidRPr="0032453C" w14:paraId="15B599C0" w14:textId="77777777" w:rsidTr="00FD4EE0">
        <w:trPr>
          <w:trHeight w:val="57"/>
          <w:jc w:val="right"/>
        </w:trPr>
        <w:tc>
          <w:tcPr>
            <w:tcW w:w="5709" w:type="dxa"/>
          </w:tcPr>
          <w:p w14:paraId="30612356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Cosméticos, incluidos los jabones y las cremas para aclarar la piel, pero sin incluir los cosméticos para la zona de alrededor de los ojos que utilicen mercurio como conservante y para los que no existan conservantes alternativos eficaces y seguros</w:t>
            </w:r>
            <w:r w:rsidRPr="0032453C">
              <w:rPr>
                <w:color w:val="000000"/>
                <w:sz w:val="18"/>
                <w:szCs w:val="18"/>
                <w:vertAlign w:val="superscript"/>
                <w:lang w:val="es-ES"/>
              </w:rPr>
              <w:t>1/</w:t>
            </w:r>
          </w:p>
        </w:tc>
        <w:tc>
          <w:tcPr>
            <w:tcW w:w="2598" w:type="dxa"/>
          </w:tcPr>
          <w:p w14:paraId="199574FC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2025</w:t>
            </w:r>
          </w:p>
        </w:tc>
      </w:tr>
      <w:tr w:rsidR="00E126C8" w:rsidRPr="0032453C" w14:paraId="79B69F44" w14:textId="77777777" w:rsidTr="00FD4EE0">
        <w:trPr>
          <w:trHeight w:val="57"/>
          <w:jc w:val="right"/>
        </w:trPr>
        <w:tc>
          <w:tcPr>
            <w:tcW w:w="5709" w:type="dxa"/>
          </w:tcPr>
          <w:p w14:paraId="72D8290C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 xml:space="preserve">Plaguicidas, biocidas y antisépticos de uso tópico </w:t>
            </w:r>
          </w:p>
        </w:tc>
        <w:tc>
          <w:tcPr>
            <w:tcW w:w="2598" w:type="dxa"/>
          </w:tcPr>
          <w:p w14:paraId="69ABAA71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2020</w:t>
            </w:r>
          </w:p>
        </w:tc>
      </w:tr>
      <w:tr w:rsidR="00E126C8" w:rsidRPr="0032453C" w14:paraId="0C290A73" w14:textId="77777777" w:rsidTr="00FD4EE0">
        <w:trPr>
          <w:trHeight w:val="57"/>
          <w:jc w:val="right"/>
        </w:trPr>
        <w:tc>
          <w:tcPr>
            <w:tcW w:w="5709" w:type="dxa"/>
          </w:tcPr>
          <w:p w14:paraId="6E08FB52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Los siguientes aparatos de medición no electrónicos, a excepción de los aparatos de medición no electrónicos instalados en equipos de gran escala o los utilizados para mediciones de alta precisión, cuando no haya disponible ninguna alternativa adecuada sin mercurio:</w:t>
            </w:r>
          </w:p>
          <w:p w14:paraId="699E704C" w14:textId="77777777" w:rsidR="00E126C8" w:rsidRPr="0032453C" w:rsidRDefault="00E126C8" w:rsidP="00E126C8">
            <w:pPr>
              <w:numPr>
                <w:ilvl w:val="0"/>
                <w:numId w:val="22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Barómetros;</w:t>
            </w:r>
          </w:p>
          <w:p w14:paraId="7E470905" w14:textId="77777777" w:rsidR="00E126C8" w:rsidRPr="0032453C" w:rsidRDefault="00E126C8" w:rsidP="00E126C8">
            <w:pPr>
              <w:numPr>
                <w:ilvl w:val="0"/>
                <w:numId w:val="22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Higrómetros;</w:t>
            </w:r>
          </w:p>
          <w:p w14:paraId="0631F6DC" w14:textId="77777777" w:rsidR="00E126C8" w:rsidRPr="0032453C" w:rsidRDefault="00E126C8" w:rsidP="00E126C8">
            <w:pPr>
              <w:numPr>
                <w:ilvl w:val="0"/>
                <w:numId w:val="22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Manómetros;</w:t>
            </w:r>
          </w:p>
          <w:p w14:paraId="45D81B15" w14:textId="77777777" w:rsidR="00E126C8" w:rsidRPr="0032453C" w:rsidRDefault="00E126C8" w:rsidP="00E126C8">
            <w:pPr>
              <w:numPr>
                <w:ilvl w:val="0"/>
                <w:numId w:val="22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Termómetros;</w:t>
            </w:r>
          </w:p>
          <w:p w14:paraId="0E93C135" w14:textId="77777777" w:rsidR="00E126C8" w:rsidRPr="0032453C" w:rsidRDefault="00E126C8" w:rsidP="00E126C8">
            <w:pPr>
              <w:numPr>
                <w:ilvl w:val="0"/>
                <w:numId w:val="22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Esfigmomanómetros.</w:t>
            </w:r>
          </w:p>
        </w:tc>
        <w:tc>
          <w:tcPr>
            <w:tcW w:w="2598" w:type="dxa"/>
          </w:tcPr>
          <w:p w14:paraId="5567DA28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2020</w:t>
            </w:r>
          </w:p>
        </w:tc>
      </w:tr>
      <w:tr w:rsidR="00E126C8" w:rsidRPr="0032453C" w14:paraId="26ADF7A9" w14:textId="77777777" w:rsidTr="00FD4EE0">
        <w:trPr>
          <w:trHeight w:val="57"/>
          <w:jc w:val="right"/>
        </w:trPr>
        <w:tc>
          <w:tcPr>
            <w:tcW w:w="5709" w:type="dxa"/>
          </w:tcPr>
          <w:p w14:paraId="1D82900F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 xml:space="preserve">Galgas extensométricas para su uso en pletismógrafos; </w:t>
            </w:r>
          </w:p>
        </w:tc>
        <w:tc>
          <w:tcPr>
            <w:tcW w:w="2598" w:type="dxa"/>
          </w:tcPr>
          <w:p w14:paraId="34DD3E5B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2025</w:t>
            </w:r>
          </w:p>
        </w:tc>
      </w:tr>
      <w:tr w:rsidR="00E126C8" w:rsidRPr="0032453C" w14:paraId="3513E4FE" w14:textId="77777777" w:rsidTr="00FD4EE0">
        <w:trPr>
          <w:trHeight w:val="57"/>
          <w:jc w:val="right"/>
        </w:trPr>
        <w:tc>
          <w:tcPr>
            <w:tcW w:w="5709" w:type="dxa"/>
          </w:tcPr>
          <w:p w14:paraId="7B02D69F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lastRenderedPageBreak/>
              <w:t>Los siguientes aparatos de medición eléctricos y electrónicos, a excepción de los instalados en equipos de gran escala o los utilizados para mediciones de alta precisión, cuando no haya disponible ninguna alternativa adecuada sin mercurio:</w:t>
            </w:r>
          </w:p>
          <w:p w14:paraId="36F095DC" w14:textId="77777777" w:rsidR="00E126C8" w:rsidRPr="0032453C" w:rsidRDefault="00E126C8" w:rsidP="00E126C8">
            <w:pPr>
              <w:keepNext/>
              <w:keepLines/>
              <w:numPr>
                <w:ilvl w:val="0"/>
                <w:numId w:val="23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60" w:after="40"/>
              <w:ind w:left="357" w:hanging="357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Transductores, transmisores y sensores de presión de fusión</w:t>
            </w:r>
          </w:p>
        </w:tc>
        <w:tc>
          <w:tcPr>
            <w:tcW w:w="2598" w:type="dxa"/>
          </w:tcPr>
          <w:p w14:paraId="46B1FBC1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2025</w:t>
            </w:r>
          </w:p>
        </w:tc>
      </w:tr>
      <w:tr w:rsidR="00E126C8" w:rsidRPr="0032453C" w14:paraId="0D8CE92E" w14:textId="77777777" w:rsidTr="00FD4EE0">
        <w:trPr>
          <w:trHeight w:val="57"/>
          <w:jc w:val="right"/>
        </w:trPr>
        <w:tc>
          <w:tcPr>
            <w:tcW w:w="5709" w:type="dxa"/>
          </w:tcPr>
          <w:p w14:paraId="5744C1DC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Bombas de vacío de mercurio</w:t>
            </w:r>
          </w:p>
        </w:tc>
        <w:tc>
          <w:tcPr>
            <w:tcW w:w="2598" w:type="dxa"/>
          </w:tcPr>
          <w:p w14:paraId="03CDE9BF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2025</w:t>
            </w:r>
          </w:p>
        </w:tc>
      </w:tr>
      <w:tr w:rsidR="00E126C8" w:rsidRPr="0032453C" w14:paraId="5C4C533F" w14:textId="77777777" w:rsidTr="00FD4EE0">
        <w:trPr>
          <w:trHeight w:val="57"/>
          <w:jc w:val="right"/>
        </w:trPr>
        <w:tc>
          <w:tcPr>
            <w:tcW w:w="5709" w:type="dxa"/>
          </w:tcPr>
          <w:p w14:paraId="71DA444D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Equilibradoras de neumáticos y contrapesas de ruedas</w:t>
            </w:r>
          </w:p>
        </w:tc>
        <w:tc>
          <w:tcPr>
            <w:tcW w:w="2598" w:type="dxa"/>
          </w:tcPr>
          <w:p w14:paraId="5D7B3FD2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2025</w:t>
            </w:r>
          </w:p>
        </w:tc>
      </w:tr>
      <w:tr w:rsidR="00E126C8" w:rsidRPr="0032453C" w14:paraId="3134FED5" w14:textId="77777777" w:rsidTr="00FD4EE0">
        <w:trPr>
          <w:trHeight w:val="57"/>
          <w:jc w:val="right"/>
        </w:trPr>
        <w:tc>
          <w:tcPr>
            <w:tcW w:w="5709" w:type="dxa"/>
          </w:tcPr>
          <w:p w14:paraId="772290AB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Película y papel fotográficos</w:t>
            </w:r>
          </w:p>
        </w:tc>
        <w:tc>
          <w:tcPr>
            <w:tcW w:w="2598" w:type="dxa"/>
          </w:tcPr>
          <w:p w14:paraId="0414E8D6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2025</w:t>
            </w:r>
          </w:p>
        </w:tc>
      </w:tr>
      <w:tr w:rsidR="00E126C8" w:rsidRPr="0032453C" w14:paraId="4A7616C3" w14:textId="77777777" w:rsidTr="00FD4EE0">
        <w:trPr>
          <w:trHeight w:val="336"/>
          <w:jc w:val="right"/>
        </w:trPr>
        <w:tc>
          <w:tcPr>
            <w:tcW w:w="5709" w:type="dxa"/>
          </w:tcPr>
          <w:p w14:paraId="592107D8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Propergol para satélites y naves espaciales</w:t>
            </w:r>
          </w:p>
        </w:tc>
        <w:tc>
          <w:tcPr>
            <w:tcW w:w="2598" w:type="dxa"/>
          </w:tcPr>
          <w:p w14:paraId="6336DAD5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2025</w:t>
            </w:r>
          </w:p>
        </w:tc>
      </w:tr>
      <w:tr w:rsidR="00E126C8" w:rsidRPr="0032453C" w14:paraId="4346B50F" w14:textId="77777777" w:rsidTr="00FD4EE0">
        <w:trPr>
          <w:trHeight w:val="604"/>
          <w:jc w:val="right"/>
        </w:trPr>
        <w:tc>
          <w:tcPr>
            <w:tcW w:w="5709" w:type="dxa"/>
            <w:shd w:val="clear" w:color="auto" w:fill="D9D9D9"/>
          </w:tcPr>
          <w:p w14:paraId="2F541A92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Amalgama dental, salvo cuando el odontólogo considere necesario ese uso en función de las necesidades del paciente</w:t>
            </w:r>
          </w:p>
        </w:tc>
        <w:tc>
          <w:tcPr>
            <w:tcW w:w="2598" w:type="dxa"/>
            <w:shd w:val="clear" w:color="auto" w:fill="D9D9D9"/>
          </w:tcPr>
          <w:p w14:paraId="488C23D0" w14:textId="77777777" w:rsidR="00E126C8" w:rsidRPr="0032453C" w:rsidRDefault="00E126C8" w:rsidP="00FD4EE0">
            <w:pPr>
              <w:spacing w:before="40" w:after="40"/>
              <w:rPr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2034</w:t>
            </w:r>
          </w:p>
        </w:tc>
      </w:tr>
    </w:tbl>
    <w:p w14:paraId="70396EF6" w14:textId="45933E12" w:rsidR="007A5982" w:rsidRPr="0032453C" w:rsidRDefault="00F715A5" w:rsidP="00D62786">
      <w:pPr>
        <w:pStyle w:val="Normal-pool"/>
        <w:tabs>
          <w:tab w:val="clear" w:pos="624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  <w:tab w:val="left" w:pos="1814"/>
          <w:tab w:val="left" w:pos="2381"/>
          <w:tab w:val="left" w:pos="2948"/>
          <w:tab w:val="left" w:pos="3515"/>
          <w:tab w:val="left" w:pos="4082"/>
        </w:tabs>
        <w:spacing w:before="60" w:after="120"/>
        <w:ind w:left="1247"/>
        <w:rPr>
          <w:sz w:val="18"/>
          <w:szCs w:val="18"/>
          <w:lang w:val="es-ES"/>
        </w:rPr>
      </w:pPr>
      <w:r w:rsidRPr="00C00B3C">
        <w:rPr>
          <w:lang w:val="es-ES"/>
        </w:rPr>
        <w:tab/>
      </w:r>
      <w:r w:rsidRPr="0032453C">
        <w:rPr>
          <w:sz w:val="18"/>
          <w:szCs w:val="18"/>
          <w:vertAlign w:val="superscript"/>
          <w:lang w:val="es-ES"/>
        </w:rPr>
        <w:t>1/</w:t>
      </w:r>
      <w:r w:rsidRPr="0032453C">
        <w:rPr>
          <w:sz w:val="18"/>
          <w:szCs w:val="18"/>
          <w:lang w:val="es-ES"/>
        </w:rPr>
        <w:t xml:space="preserve"> La intención es no abarcar los cosméticos, los jabones o las cremas que contienen trazas contaminantes de mercurio.</w:t>
      </w:r>
    </w:p>
    <w:p w14:paraId="6662CCAD" w14:textId="48A74618" w:rsidR="007A5982" w:rsidRPr="00C00B3C" w:rsidRDefault="00102962" w:rsidP="009F5A4A">
      <w:pPr>
        <w:pStyle w:val="NormalNonumber"/>
        <w:numPr>
          <w:ilvl w:val="0"/>
          <w:numId w:val="2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240"/>
        <w:ind w:left="1247" w:firstLine="624"/>
        <w:rPr>
          <w:rFonts w:asciiTheme="majorBidi" w:hAnsiTheme="majorBidi" w:cstheme="majorBidi"/>
          <w:iCs/>
          <w:lang w:val="es-ES"/>
        </w:rPr>
      </w:pPr>
      <w:r w:rsidRPr="00C00B3C">
        <w:rPr>
          <w:lang w:val="es-ES"/>
        </w:rPr>
        <w:t>Decide también emprender, en su 12ª reunión, un examen de la necesidad de la excepción al uso de la amalgama dental contemplada en la parte I del anexo A del Convenio;</w:t>
      </w:r>
    </w:p>
    <w:p w14:paraId="7752E5AE" w14:textId="2784032C" w:rsidR="007A5982" w:rsidRPr="00C00B3C" w:rsidRDefault="00D715DD" w:rsidP="007E31D3">
      <w:pPr>
        <w:pStyle w:val="NormalNonumber"/>
        <w:numPr>
          <w:ilvl w:val="0"/>
          <w:numId w:val="2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asciiTheme="majorBidi" w:hAnsiTheme="majorBidi" w:cstheme="majorBidi"/>
          <w:iCs/>
          <w:lang w:val="es-ES"/>
        </w:rPr>
      </w:pPr>
      <w:r w:rsidRPr="00C00B3C">
        <w:rPr>
          <w:i/>
          <w:iCs/>
          <w:lang w:val="es-ES"/>
        </w:rPr>
        <w:t>Decide además</w:t>
      </w:r>
      <w:r w:rsidRPr="00C00B3C">
        <w:rPr>
          <w:lang w:val="es-ES"/>
        </w:rPr>
        <w:t xml:space="preserve"> modificar la parte II del anexo A del Convenio tal como se indica en el cuadro siguiente</w:t>
      </w:r>
      <w:r w:rsidR="007A5982" w:rsidRPr="00C00B3C">
        <w:rPr>
          <w:rFonts w:asciiTheme="majorBidi" w:hAnsiTheme="majorBidi" w:cstheme="majorBidi"/>
          <w:vertAlign w:val="superscript"/>
          <w:lang w:val="es-ES"/>
        </w:rPr>
        <w:footnoteReference w:id="3"/>
      </w:r>
      <w:r w:rsidRPr="00C00B3C">
        <w:rPr>
          <w:lang w:val="es-ES"/>
        </w:rPr>
        <w:t>:</w:t>
      </w:r>
    </w:p>
    <w:tbl>
      <w:tblPr>
        <w:tblW w:w="830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09"/>
        <w:gridCol w:w="5798"/>
      </w:tblGrid>
      <w:tr w:rsidR="0016431F" w:rsidRPr="0032453C" w14:paraId="1262E0CB" w14:textId="77777777" w:rsidTr="00FD4EE0">
        <w:trPr>
          <w:trHeight w:val="57"/>
          <w:tblHeader/>
          <w:jc w:val="right"/>
        </w:trPr>
        <w:tc>
          <w:tcPr>
            <w:tcW w:w="2509" w:type="dxa"/>
            <w:tcBorders>
              <w:bottom w:val="single" w:sz="4" w:space="0" w:color="auto"/>
            </w:tcBorders>
            <w:vAlign w:val="bottom"/>
          </w:tcPr>
          <w:p w14:paraId="1C5CED18" w14:textId="77777777" w:rsidR="0016431F" w:rsidRPr="0032453C" w:rsidRDefault="0016431F" w:rsidP="0032453C">
            <w:pPr>
              <w:tabs>
                <w:tab w:val="left" w:pos="624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spacing w:before="40" w:after="40"/>
              <w:ind w:right="-57"/>
              <w:rPr>
                <w:rFonts w:asciiTheme="majorBidi" w:hAnsiTheme="majorBidi" w:cstheme="majorBidi"/>
                <w:i/>
                <w:iCs/>
                <w:spacing w:val="-2"/>
                <w:sz w:val="18"/>
                <w:szCs w:val="18"/>
                <w:lang w:val="es-ES"/>
              </w:rPr>
            </w:pPr>
            <w:r w:rsidRPr="0032453C">
              <w:rPr>
                <w:i/>
                <w:iCs/>
                <w:color w:val="000000"/>
                <w:spacing w:val="-2"/>
                <w:sz w:val="18"/>
                <w:szCs w:val="18"/>
                <w:lang w:val="es-ES"/>
              </w:rPr>
              <w:t>Productos con mercurio añadido</w:t>
            </w:r>
          </w:p>
        </w:tc>
        <w:tc>
          <w:tcPr>
            <w:tcW w:w="5798" w:type="dxa"/>
            <w:vAlign w:val="bottom"/>
          </w:tcPr>
          <w:p w14:paraId="34008108" w14:textId="77777777" w:rsidR="0016431F" w:rsidRPr="0032453C" w:rsidRDefault="0016431F" w:rsidP="00FD4EE0">
            <w:pPr>
              <w:tabs>
                <w:tab w:val="left" w:pos="624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spacing w:before="40" w:after="40"/>
              <w:rPr>
                <w:rFonts w:asciiTheme="majorBidi" w:hAnsiTheme="majorBidi" w:cstheme="majorBidi"/>
                <w:i/>
                <w:iCs/>
                <w:sz w:val="18"/>
                <w:szCs w:val="18"/>
                <w:lang w:val="es-ES"/>
              </w:rPr>
            </w:pPr>
            <w:r w:rsidRPr="0032453C">
              <w:rPr>
                <w:i/>
                <w:iCs/>
                <w:color w:val="000000"/>
                <w:sz w:val="18"/>
                <w:szCs w:val="18"/>
                <w:lang w:val="es-ES"/>
              </w:rPr>
              <w:t>Disposiciones</w:t>
            </w:r>
            <w:r w:rsidRPr="0032453C">
              <w:rPr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</w:tr>
      <w:tr w:rsidR="0016431F" w:rsidRPr="008C48F3" w14:paraId="5EE20D83" w14:textId="77777777" w:rsidTr="00FD4EE0">
        <w:trPr>
          <w:trHeight w:val="57"/>
          <w:jc w:val="right"/>
        </w:trPr>
        <w:tc>
          <w:tcPr>
            <w:tcW w:w="2509" w:type="dxa"/>
            <w:vMerge w:val="restart"/>
            <w:tcBorders>
              <w:top w:val="single" w:sz="4" w:space="0" w:color="auto"/>
              <w:bottom w:val="nil"/>
            </w:tcBorders>
          </w:tcPr>
          <w:p w14:paraId="76569583" w14:textId="77777777" w:rsidR="0016431F" w:rsidRPr="0032453C" w:rsidRDefault="0016431F" w:rsidP="00FD4EE0">
            <w:pPr>
              <w:tabs>
                <w:tab w:val="left" w:pos="624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spacing w:before="40" w:after="40"/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Amalgama dental</w:t>
            </w:r>
          </w:p>
        </w:tc>
        <w:tc>
          <w:tcPr>
            <w:tcW w:w="5798" w:type="dxa"/>
            <w:tcBorders>
              <w:bottom w:val="nil"/>
            </w:tcBorders>
          </w:tcPr>
          <w:p w14:paraId="72B2A8E7" w14:textId="77777777" w:rsidR="0016431F" w:rsidRPr="0032453C" w:rsidRDefault="0016431F" w:rsidP="00FD4EE0">
            <w:pPr>
              <w:tabs>
                <w:tab w:val="left" w:pos="624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Las medidas que ha de adoptar la Parte para reducir el uso de la amalgama dental tendrán en cuenta las circunstancias nacionales de la Parte y las orientaciones internacionales pertinentes e incluirán dos o más de las medidas que figuran en la lista siguiente:</w:t>
            </w:r>
          </w:p>
          <w:p w14:paraId="4B069423" w14:textId="77777777" w:rsidR="0016431F" w:rsidRPr="0032453C" w:rsidRDefault="0016431F" w:rsidP="0016431F">
            <w:pPr>
              <w:numPr>
                <w:ilvl w:val="0"/>
                <w:numId w:val="24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 xml:space="preserve">Establecer objetivos nacionales destinados a la prevención de la caries dental y a la promoción de la salud, a fin de reducir al mínimo la necesidad de restauración dental; </w:t>
            </w:r>
          </w:p>
          <w:p w14:paraId="566DE40C" w14:textId="77777777" w:rsidR="0016431F" w:rsidRPr="0032453C" w:rsidRDefault="0016431F" w:rsidP="0016431F">
            <w:pPr>
              <w:numPr>
                <w:ilvl w:val="0"/>
                <w:numId w:val="24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spacing w:val="-2"/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pacing w:val="-2"/>
                <w:sz w:val="18"/>
                <w:szCs w:val="18"/>
                <w:lang w:val="es-ES"/>
              </w:rPr>
              <w:t>Establecer objetivos nacionales encaminados a reducir al mínimo su uso;</w:t>
            </w:r>
          </w:p>
          <w:p w14:paraId="50D27853" w14:textId="77777777" w:rsidR="0016431F" w:rsidRPr="0032453C" w:rsidRDefault="0016431F" w:rsidP="0016431F">
            <w:pPr>
              <w:numPr>
                <w:ilvl w:val="0"/>
                <w:numId w:val="24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 xml:space="preserve">Promover el uso de alternativas sin mercurio eficaces en función de los costos y clínicamente efectivas para la restauración dental; </w:t>
            </w:r>
          </w:p>
          <w:p w14:paraId="355EEB6F" w14:textId="77777777" w:rsidR="0016431F" w:rsidRPr="0032453C" w:rsidRDefault="0016431F" w:rsidP="0016431F">
            <w:pPr>
              <w:numPr>
                <w:ilvl w:val="0"/>
                <w:numId w:val="24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sz w:val="18"/>
                <w:szCs w:val="18"/>
                <w:u w:val="single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Promover la investigación y el desarrollo de materiales de calidad sin mercurio para la restauración dental;</w:t>
            </w:r>
          </w:p>
          <w:p w14:paraId="157ACEA7" w14:textId="77777777" w:rsidR="0016431F" w:rsidRPr="0032453C" w:rsidRDefault="0016431F" w:rsidP="0016431F">
            <w:pPr>
              <w:numPr>
                <w:ilvl w:val="0"/>
                <w:numId w:val="24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Alentar a las organizaciones profesionales representativas y a las escuelas odontológicas para que eduquen e impartan capacitación a dentistas profesionales y estudiantes sobre el uso de alternativas sin mercurio en la restauración dental y la promoción de las mejores prácticas de gestión;</w:t>
            </w:r>
          </w:p>
          <w:p w14:paraId="2356A187" w14:textId="77777777" w:rsidR="0016431F" w:rsidRPr="0032453C" w:rsidRDefault="0016431F" w:rsidP="0016431F">
            <w:pPr>
              <w:numPr>
                <w:ilvl w:val="0"/>
                <w:numId w:val="24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 xml:space="preserve">Desincentivar los programas y las pólizas de seguros que favorezcan el uso de </w:t>
            </w:r>
            <w:r w:rsidRPr="0032453C">
              <w:rPr>
                <w:color w:val="000000"/>
                <w:spacing w:val="-2"/>
                <w:sz w:val="18"/>
                <w:szCs w:val="18"/>
                <w:lang w:val="es-ES"/>
              </w:rPr>
              <w:t>amalgama dental en lugar de la restauración dental sin mercurio;</w:t>
            </w:r>
            <w:r w:rsidRPr="0032453C">
              <w:rPr>
                <w:color w:val="000000"/>
                <w:sz w:val="18"/>
                <w:szCs w:val="18"/>
                <w:lang w:val="es-ES"/>
              </w:rPr>
              <w:t xml:space="preserve"> </w:t>
            </w:r>
          </w:p>
          <w:p w14:paraId="4D7F8F1C" w14:textId="77777777" w:rsidR="0016431F" w:rsidRPr="0032453C" w:rsidRDefault="0016431F" w:rsidP="0016431F">
            <w:pPr>
              <w:numPr>
                <w:ilvl w:val="0"/>
                <w:numId w:val="24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Alentar los programas y las pólizas de seguros que favorezcan el uso de alternativas de calidad a la amalgama dental para la restauración dental;</w:t>
            </w:r>
          </w:p>
          <w:p w14:paraId="31A2018F" w14:textId="77777777" w:rsidR="0016431F" w:rsidRPr="0032453C" w:rsidRDefault="0016431F" w:rsidP="0016431F">
            <w:pPr>
              <w:numPr>
                <w:ilvl w:val="0"/>
                <w:numId w:val="24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Limitar el uso de amalgama dental a su forma encapsulada;</w:t>
            </w:r>
          </w:p>
          <w:p w14:paraId="2F22A35E" w14:textId="77777777" w:rsidR="0016431F" w:rsidRPr="0032453C" w:rsidRDefault="0016431F" w:rsidP="0016431F">
            <w:pPr>
              <w:numPr>
                <w:ilvl w:val="0"/>
                <w:numId w:val="24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Promover el uso de las mejores prácticas ambientales en los gabinetes dentales para reducir las liberaciones de mercurio y compuestos de mercurio al agua y al suelo.</w:t>
            </w:r>
          </w:p>
        </w:tc>
      </w:tr>
      <w:tr w:rsidR="0016431F" w:rsidRPr="008C48F3" w14:paraId="5E80FD1C" w14:textId="77777777" w:rsidTr="00FD4EE0">
        <w:trPr>
          <w:trHeight w:val="57"/>
          <w:jc w:val="right"/>
        </w:trPr>
        <w:tc>
          <w:tcPr>
            <w:tcW w:w="2509" w:type="dxa"/>
            <w:vMerge/>
            <w:tcBorders>
              <w:bottom w:val="nil"/>
            </w:tcBorders>
          </w:tcPr>
          <w:p w14:paraId="212D358E" w14:textId="77777777" w:rsidR="0016431F" w:rsidRPr="0032453C" w:rsidRDefault="0016431F" w:rsidP="00FD4EE0">
            <w:pPr>
              <w:snapToGrid w:val="0"/>
              <w:spacing w:before="40" w:after="40"/>
              <w:ind w:right="4060"/>
              <w:rPr>
                <w:rFonts w:asciiTheme="majorBidi" w:hAnsiTheme="majorBidi" w:cstheme="majorBidi"/>
                <w:sz w:val="18"/>
                <w:szCs w:val="18"/>
                <w:lang w:val="es-ES"/>
              </w:rPr>
            </w:pPr>
          </w:p>
        </w:tc>
        <w:tc>
          <w:tcPr>
            <w:tcW w:w="5798" w:type="dxa"/>
            <w:tcBorders>
              <w:top w:val="nil"/>
              <w:bottom w:val="nil"/>
            </w:tcBorders>
          </w:tcPr>
          <w:p w14:paraId="5E6C4FB1" w14:textId="77777777" w:rsidR="0016431F" w:rsidRPr="0032453C" w:rsidRDefault="0016431F" w:rsidP="00FD4EE0">
            <w:pPr>
              <w:tabs>
                <w:tab w:val="left" w:pos="624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Además, las Partes:</w:t>
            </w:r>
          </w:p>
          <w:p w14:paraId="7C3A2199" w14:textId="77777777" w:rsidR="0016431F" w:rsidRPr="0032453C" w:rsidRDefault="0016431F" w:rsidP="0016431F">
            <w:pPr>
              <w:numPr>
                <w:ilvl w:val="0"/>
                <w:numId w:val="25"/>
              </w:numPr>
              <w:tabs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 xml:space="preserve">Excluirán o no permitirán, mediante la adopción de las medidas oportunas, el uso de mercurio a granel por los odontólogos; </w:t>
            </w:r>
          </w:p>
          <w:p w14:paraId="5D27E4CA" w14:textId="77777777" w:rsidR="0016431F" w:rsidRPr="0032453C" w:rsidRDefault="0016431F" w:rsidP="0016431F">
            <w:pPr>
              <w:numPr>
                <w:ilvl w:val="0"/>
                <w:numId w:val="25"/>
              </w:numPr>
              <w:tabs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454" w:hanging="454"/>
              <w:rPr>
                <w:rFonts w:asciiTheme="majorBidi" w:hAnsiTheme="majorBidi" w:cstheme="majorBidi"/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 xml:space="preserve">Excluirán o no permitirán, mediante la adopción de las medidas oportunas, o recomendarán no usar amalgamas dentales en el cuidado de la dentición primaria, los dientes de los niños menores de 15 años y </w:t>
            </w:r>
            <w:r w:rsidRPr="0032453C">
              <w:rPr>
                <w:color w:val="000000"/>
                <w:sz w:val="18"/>
                <w:szCs w:val="18"/>
                <w:lang w:val="es-ES"/>
              </w:rPr>
              <w:lastRenderedPageBreak/>
              <w:t>las mujeres embarazadas o lactantes, salvo cuando el odontólogo lo considere necesario en función de las necesidades del paciente.</w:t>
            </w:r>
          </w:p>
        </w:tc>
      </w:tr>
      <w:tr w:rsidR="0016431F" w:rsidRPr="008C48F3" w14:paraId="7005DBF0" w14:textId="77777777" w:rsidTr="0016431F">
        <w:trPr>
          <w:trHeight w:val="1086"/>
          <w:jc w:val="right"/>
        </w:trPr>
        <w:tc>
          <w:tcPr>
            <w:tcW w:w="2509" w:type="dxa"/>
            <w:vMerge w:val="restart"/>
            <w:tcBorders>
              <w:top w:val="nil"/>
            </w:tcBorders>
          </w:tcPr>
          <w:p w14:paraId="157B1250" w14:textId="77777777" w:rsidR="0016431F" w:rsidRPr="0032453C" w:rsidRDefault="0016431F" w:rsidP="00FD4EE0">
            <w:pPr>
              <w:snapToGrid w:val="0"/>
              <w:spacing w:before="40" w:after="40"/>
              <w:ind w:right="4060"/>
              <w:rPr>
                <w:rFonts w:asciiTheme="majorBidi" w:hAnsiTheme="majorBidi" w:cstheme="majorBidi"/>
                <w:sz w:val="18"/>
                <w:szCs w:val="18"/>
                <w:lang w:val="es-ES"/>
              </w:rPr>
            </w:pPr>
          </w:p>
        </w:tc>
        <w:tc>
          <w:tcPr>
            <w:tcW w:w="5798" w:type="dxa"/>
            <w:tcBorders>
              <w:top w:val="nil"/>
              <w:bottom w:val="single" w:sz="4" w:space="0" w:color="auto"/>
            </w:tcBorders>
          </w:tcPr>
          <w:p w14:paraId="2D7A3332" w14:textId="77777777" w:rsidR="0016431F" w:rsidRPr="0032453C" w:rsidRDefault="0016431F" w:rsidP="00FD4EE0">
            <w:pPr>
              <w:tabs>
                <w:tab w:val="left" w:pos="624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Además, las Partes que aún no hayan eliminado la amalgama dental deberán:</w:t>
            </w:r>
          </w:p>
          <w:p w14:paraId="440ADE7B" w14:textId="2DE12D89" w:rsidR="0016431F" w:rsidRPr="008E3FC2" w:rsidRDefault="0016431F" w:rsidP="008E3FC2">
            <w:pPr>
              <w:numPr>
                <w:ilvl w:val="0"/>
                <w:numId w:val="42"/>
              </w:numPr>
              <w:tabs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  <w:lang w:val="es-ES"/>
              </w:rPr>
            </w:pPr>
            <w:r w:rsidRPr="008E3FC2">
              <w:rPr>
                <w:color w:val="000000"/>
                <w:sz w:val="18"/>
                <w:szCs w:val="18"/>
                <w:lang w:val="es-ES"/>
              </w:rPr>
              <w:t>Presentar a la Secretaría, a intervalos de cuatro años y como parte de la presentación de informes nacionales, un plan de acción nacional o un informe basado en la información disponible sobre los progresos que se hayan obtenido o se est</w:t>
            </w:r>
            <w:r w:rsidR="00AC2B0D" w:rsidRPr="008E3FC2">
              <w:rPr>
                <w:color w:val="000000"/>
                <w:sz w:val="18"/>
                <w:szCs w:val="18"/>
                <w:lang w:val="es-ES"/>
              </w:rPr>
              <w:t>é</w:t>
            </w:r>
            <w:r w:rsidRPr="008E3FC2">
              <w:rPr>
                <w:color w:val="000000"/>
                <w:sz w:val="18"/>
                <w:szCs w:val="18"/>
                <w:lang w:val="es-ES"/>
              </w:rPr>
              <w:t>n obteniendo en la reducción o la eliminación de las amalgamas dentales.</w:t>
            </w:r>
          </w:p>
        </w:tc>
      </w:tr>
      <w:tr w:rsidR="0016431F" w:rsidRPr="008C48F3" w14:paraId="0CA02485" w14:textId="77777777" w:rsidTr="00FD4EE0">
        <w:trPr>
          <w:trHeight w:val="778"/>
          <w:jc w:val="right"/>
        </w:trPr>
        <w:tc>
          <w:tcPr>
            <w:tcW w:w="2509" w:type="dxa"/>
            <w:vMerge/>
          </w:tcPr>
          <w:p w14:paraId="2BD37C6D" w14:textId="77777777" w:rsidR="0016431F" w:rsidRPr="0032453C" w:rsidRDefault="0016431F" w:rsidP="00FD4EE0">
            <w:pPr>
              <w:snapToGrid w:val="0"/>
              <w:spacing w:before="40" w:after="40"/>
              <w:ind w:right="4060"/>
              <w:rPr>
                <w:rFonts w:asciiTheme="majorBidi" w:hAnsiTheme="majorBidi" w:cstheme="majorBidi"/>
                <w:sz w:val="18"/>
                <w:szCs w:val="18"/>
                <w:lang w:val="es-ES"/>
              </w:rPr>
            </w:pPr>
          </w:p>
        </w:tc>
        <w:tc>
          <w:tcPr>
            <w:tcW w:w="5798" w:type="dxa"/>
            <w:tcBorders>
              <w:top w:val="single" w:sz="4" w:space="0" w:color="auto"/>
            </w:tcBorders>
            <w:shd w:val="clear" w:color="auto" w:fill="D9D9D9"/>
          </w:tcPr>
          <w:p w14:paraId="6B592D59" w14:textId="77777777" w:rsidR="0016431F" w:rsidRPr="0032453C" w:rsidRDefault="0016431F" w:rsidP="00FD4EE0">
            <w:pPr>
              <w:spacing w:before="40" w:after="40"/>
              <w:rPr>
                <w:rFonts w:asciiTheme="majorBidi" w:hAnsiTheme="majorBidi" w:cstheme="majorBidi"/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Además, las Partes que aún no hayan eliminado la amalgama dental deberán:</w:t>
            </w:r>
          </w:p>
          <w:p w14:paraId="572DA1AC" w14:textId="77777777" w:rsidR="0016431F" w:rsidRPr="0032453C" w:rsidRDefault="0016431F" w:rsidP="00FD4EE0">
            <w:pPr>
              <w:tabs>
                <w:tab w:val="left" w:pos="624"/>
                <w:tab w:val="left" w:pos="1871"/>
                <w:tab w:val="left" w:pos="2495"/>
                <w:tab w:val="left" w:pos="3119"/>
                <w:tab w:val="left" w:pos="3742"/>
                <w:tab w:val="left" w:pos="4366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  <w:lang w:val="es-ES"/>
              </w:rPr>
            </w:pPr>
            <w:r w:rsidRPr="0032453C">
              <w:rPr>
                <w:color w:val="000000"/>
                <w:sz w:val="18"/>
                <w:szCs w:val="18"/>
                <w:lang w:val="es-ES"/>
              </w:rPr>
              <w:t>i)</w:t>
            </w:r>
            <w:r w:rsidRPr="0032453C">
              <w:rPr>
                <w:color w:val="000000"/>
                <w:sz w:val="18"/>
                <w:szCs w:val="18"/>
                <w:lang w:val="es-ES"/>
              </w:rPr>
              <w:tab/>
              <w:t>Adoptar medidas, según proceda, para no permitir, o reducir considerablemente, la amalgama dental, salvo que el odontólogo considere necesario su uso en función de las necesidades del paciente.</w:t>
            </w:r>
          </w:p>
        </w:tc>
      </w:tr>
    </w:tbl>
    <w:p w14:paraId="13603D75" w14:textId="7FF54830" w:rsidR="007A5982" w:rsidRPr="00C00B3C" w:rsidRDefault="007A5982" w:rsidP="009F5A4A">
      <w:pPr>
        <w:pStyle w:val="NormalNonumber"/>
        <w:numPr>
          <w:ilvl w:val="0"/>
          <w:numId w:val="2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240"/>
        <w:ind w:left="1247" w:firstLine="624"/>
        <w:rPr>
          <w:rFonts w:asciiTheme="majorBidi" w:hAnsiTheme="majorBidi" w:cstheme="majorBidi"/>
          <w:lang w:val="es-ES"/>
        </w:rPr>
      </w:pPr>
      <w:r w:rsidRPr="00C00B3C">
        <w:rPr>
          <w:i/>
          <w:iCs/>
          <w:lang w:val="es-ES"/>
        </w:rPr>
        <w:t xml:space="preserve">Reconoce </w:t>
      </w:r>
      <w:r w:rsidRPr="00C00B3C">
        <w:rPr>
          <w:lang w:val="es-ES"/>
        </w:rPr>
        <w:t>que, a efectos de presentación de informes, para aquellas Partes para las que haya entrado en vigor la modificación de la parte I del anexo A y que no se hayan acogido a ninguna de las exenciones disponibles en virtud del artículo 6, no sería aplicable la presentación de informes de la parte II;</w:t>
      </w:r>
    </w:p>
    <w:p w14:paraId="6E227C48" w14:textId="7FDF5537" w:rsidR="007A5982" w:rsidRPr="00C00B3C" w:rsidRDefault="007A5982" w:rsidP="007E31D3">
      <w:pPr>
        <w:pStyle w:val="NormalNonumber"/>
        <w:numPr>
          <w:ilvl w:val="0"/>
          <w:numId w:val="2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rFonts w:asciiTheme="majorBidi" w:hAnsiTheme="majorBidi" w:cstheme="majorBidi"/>
          <w:lang w:val="es-ES"/>
        </w:rPr>
      </w:pPr>
      <w:r w:rsidRPr="00C00B3C">
        <w:rPr>
          <w:i/>
          <w:iCs/>
          <w:lang w:val="es-ES"/>
        </w:rPr>
        <w:t xml:space="preserve">Solicita </w:t>
      </w:r>
      <w:r w:rsidRPr="00C00B3C">
        <w:rPr>
          <w:lang w:val="es-ES"/>
        </w:rPr>
        <w:t>a la Secretaría que redacte un formato revisado para la presentación de informes con arreglo al artículo 21 que refleje las modificaciones del anexo A y que revise la orientación para la presentación de informes y la herramienta electrónica en línea al respecto.</w:t>
      </w:r>
    </w:p>
    <w:p w14:paraId="6932C904" w14:textId="77777777" w:rsidR="007A5982" w:rsidRPr="00C00B3C" w:rsidRDefault="007A5982" w:rsidP="00C03C89">
      <w:pPr>
        <w:pStyle w:val="Normal-pool"/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875B26" w:rsidRPr="008C48F3" w14:paraId="6F0BCDD6" w14:textId="77777777" w:rsidTr="00875B26">
        <w:tc>
          <w:tcPr>
            <w:tcW w:w="1897" w:type="dxa"/>
          </w:tcPr>
          <w:p w14:paraId="75BF03D8" w14:textId="77777777" w:rsidR="00875B26" w:rsidRPr="00C00B3C" w:rsidRDefault="00875B26" w:rsidP="00B019F8">
            <w:pPr>
              <w:pStyle w:val="Normal-pool"/>
              <w:spacing w:before="520"/>
              <w:rPr>
                <w:lang w:val="es-ES"/>
              </w:rPr>
            </w:pPr>
          </w:p>
        </w:tc>
        <w:tc>
          <w:tcPr>
            <w:tcW w:w="1897" w:type="dxa"/>
          </w:tcPr>
          <w:p w14:paraId="3C03609E" w14:textId="77777777" w:rsidR="00875B26" w:rsidRPr="00C00B3C" w:rsidRDefault="00875B26" w:rsidP="00B019F8">
            <w:pPr>
              <w:pStyle w:val="Normal-pool"/>
              <w:spacing w:before="520"/>
              <w:rPr>
                <w:lang w:val="es-ES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689E5DA5" w14:textId="77777777" w:rsidR="00875B26" w:rsidRPr="00C00B3C" w:rsidRDefault="00875B26" w:rsidP="00B019F8">
            <w:pPr>
              <w:pStyle w:val="Normal-pool"/>
              <w:spacing w:before="520"/>
              <w:rPr>
                <w:lang w:val="es-ES"/>
              </w:rPr>
            </w:pPr>
          </w:p>
        </w:tc>
        <w:tc>
          <w:tcPr>
            <w:tcW w:w="1898" w:type="dxa"/>
          </w:tcPr>
          <w:p w14:paraId="1E7B7163" w14:textId="77777777" w:rsidR="00875B26" w:rsidRPr="00C00B3C" w:rsidRDefault="00875B26" w:rsidP="00B019F8">
            <w:pPr>
              <w:pStyle w:val="Normal-pool"/>
              <w:spacing w:before="520"/>
              <w:rPr>
                <w:lang w:val="es-ES"/>
              </w:rPr>
            </w:pPr>
          </w:p>
        </w:tc>
        <w:tc>
          <w:tcPr>
            <w:tcW w:w="1898" w:type="dxa"/>
          </w:tcPr>
          <w:p w14:paraId="00B9B2C5" w14:textId="77777777" w:rsidR="00875B26" w:rsidRPr="00C00B3C" w:rsidRDefault="00875B26" w:rsidP="00B019F8">
            <w:pPr>
              <w:pStyle w:val="Normal-pool"/>
              <w:spacing w:before="520"/>
              <w:rPr>
                <w:lang w:val="es-ES"/>
              </w:rPr>
            </w:pPr>
          </w:p>
        </w:tc>
      </w:tr>
    </w:tbl>
    <w:p w14:paraId="44A6333D" w14:textId="77777777" w:rsidR="00875B26" w:rsidRPr="00C00B3C" w:rsidRDefault="00875B26" w:rsidP="00C03C89">
      <w:pPr>
        <w:pStyle w:val="Normal-pool"/>
        <w:rPr>
          <w:lang w:val="es-ES"/>
        </w:rPr>
      </w:pPr>
    </w:p>
    <w:sectPr w:rsidR="00875B26" w:rsidRPr="00C00B3C" w:rsidSect="00F046E6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3B7A" w14:textId="77777777" w:rsidR="001A666B" w:rsidRPr="00F046E6" w:rsidRDefault="001A666B">
      <w:r w:rsidRPr="00F046E6">
        <w:separator/>
      </w:r>
    </w:p>
  </w:endnote>
  <w:endnote w:type="continuationSeparator" w:id="0">
    <w:p w14:paraId="20830A6D" w14:textId="77777777" w:rsidR="001A666B" w:rsidRPr="00F046E6" w:rsidRDefault="001A666B">
      <w:r w:rsidRPr="00F046E6">
        <w:continuationSeparator/>
      </w:r>
    </w:p>
  </w:endnote>
  <w:endnote w:type="continuationNotice" w:id="1">
    <w:p w14:paraId="039D96E2" w14:textId="77777777" w:rsidR="001A666B" w:rsidRDefault="001A66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6784" w14:textId="0BC68ACA" w:rsidR="007A36F8" w:rsidRPr="005534E3" w:rsidRDefault="00F046E6" w:rsidP="005534E3">
    <w:pPr>
      <w:pStyle w:val="Footer-pool"/>
    </w:pPr>
    <w:r w:rsidRPr="005534E3">
      <w:rPr>
        <w:rStyle w:val="PageNumber"/>
        <w:b/>
      </w:rPr>
      <w:fldChar w:fldCharType="begin"/>
    </w:r>
    <w:r w:rsidRPr="005534E3">
      <w:rPr>
        <w:rStyle w:val="PageNumber"/>
        <w:b/>
      </w:rPr>
      <w:instrText xml:space="preserve"> PAGE </w:instrText>
    </w:r>
    <w:r w:rsidRPr="005534E3">
      <w:rPr>
        <w:rStyle w:val="PageNumber"/>
        <w:b/>
      </w:rPr>
      <w:fldChar w:fldCharType="separate"/>
    </w:r>
    <w:r w:rsidRPr="005534E3">
      <w:rPr>
        <w:rStyle w:val="PageNumber"/>
        <w:b/>
      </w:rPr>
      <w:t>1</w:t>
    </w:r>
    <w:r w:rsidRPr="005534E3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D683" w14:textId="545CD0CE" w:rsidR="007A36F8" w:rsidRPr="005534E3" w:rsidRDefault="00F046E6" w:rsidP="005534E3">
    <w:pPr>
      <w:pStyle w:val="Footer-pool"/>
      <w:jc w:val="right"/>
    </w:pPr>
    <w:r w:rsidRPr="005534E3">
      <w:rPr>
        <w:rStyle w:val="PageNumber"/>
        <w:b/>
      </w:rPr>
      <w:fldChar w:fldCharType="begin"/>
    </w:r>
    <w:r w:rsidRPr="005534E3">
      <w:rPr>
        <w:rStyle w:val="PageNumber"/>
        <w:b/>
      </w:rPr>
      <w:instrText xml:space="preserve"> PAGE \* MERGEFORMAT </w:instrText>
    </w:r>
    <w:r w:rsidRPr="005534E3">
      <w:rPr>
        <w:rStyle w:val="PageNumber"/>
        <w:b/>
      </w:rPr>
      <w:fldChar w:fldCharType="separate"/>
    </w:r>
    <w:r w:rsidRPr="005534E3">
      <w:rPr>
        <w:rStyle w:val="PageNumber"/>
        <w:b/>
      </w:rPr>
      <w:t>1</w:t>
    </w:r>
    <w:r w:rsidRPr="005534E3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7AC4" w14:textId="13E2683A" w:rsidR="00F046E6" w:rsidRPr="00F046E6" w:rsidRDefault="0066792B" w:rsidP="00F046E6">
    <w:pPr>
      <w:pStyle w:val="Footer-jobnumber"/>
    </w:pPr>
    <w:bookmarkStart w:id="1" w:name="FooterJobDate"/>
    <w:r>
      <w:rPr>
        <w:lang w:val="es-ES"/>
      </w:rPr>
      <w:t>K2519183[S]</w:t>
    </w:r>
    <w:r>
      <w:rPr>
        <w:lang w:val="es-ES"/>
      </w:rPr>
      <w:tab/>
      <w:t>1</w:t>
    </w:r>
    <w:r w:rsidR="008C48F3">
      <w:rPr>
        <w:lang w:val="es-ES"/>
      </w:rPr>
      <w:t>9</w:t>
    </w:r>
    <w:r>
      <w:rPr>
        <w:lang w:val="es-ES"/>
      </w:rPr>
      <w:t>1225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6927" w14:textId="77777777" w:rsidR="001A666B" w:rsidRPr="00F046E6" w:rsidRDefault="001A666B" w:rsidP="0032453C">
      <w:pPr>
        <w:pStyle w:val="Footnote-Separator"/>
        <w:spacing w:before="20" w:after="40"/>
        <w:rPr>
          <w:szCs w:val="18"/>
        </w:rPr>
      </w:pPr>
      <w:r w:rsidRPr="00F046E6">
        <w:separator/>
      </w:r>
    </w:p>
  </w:footnote>
  <w:footnote w:type="continuationSeparator" w:id="0">
    <w:p w14:paraId="2B745AAD" w14:textId="77777777" w:rsidR="001A666B" w:rsidRPr="00F046E6" w:rsidRDefault="001A666B" w:rsidP="00C70B49">
      <w:pPr>
        <w:pStyle w:val="Footnote-Separator"/>
      </w:pPr>
      <w:r w:rsidRPr="00F046E6">
        <w:continuationSeparator/>
      </w:r>
    </w:p>
  </w:footnote>
  <w:footnote w:type="continuationNotice" w:id="1">
    <w:p w14:paraId="63C9F0FB" w14:textId="77777777" w:rsidR="001A666B" w:rsidRPr="00F046E6" w:rsidRDefault="001A666B" w:rsidP="00C70B49">
      <w:pPr>
        <w:pStyle w:val="ASpacer"/>
      </w:pPr>
    </w:p>
  </w:footnote>
  <w:footnote w:id="2">
    <w:p w14:paraId="3A4ABA1C" w14:textId="1B214006" w:rsidR="007A5982" w:rsidRPr="008C48F3" w:rsidRDefault="007A5982" w:rsidP="007A5982">
      <w:pPr>
        <w:pStyle w:val="Footnote-Text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szCs w:val="18"/>
          <w:lang w:val="fr-FR"/>
        </w:rPr>
      </w:pPr>
      <w:r w:rsidRPr="0032453C">
        <w:rPr>
          <w:rStyle w:val="FootnoteReference"/>
          <w:rFonts w:eastAsia="DengXian Light"/>
          <w:sz w:val="18"/>
          <w:lang w:val="es-ES"/>
        </w:rPr>
        <w:footnoteRef/>
      </w:r>
      <w:r w:rsidRPr="0032453C">
        <w:rPr>
          <w:szCs w:val="18"/>
          <w:lang w:val="es-ES"/>
        </w:rPr>
        <w:t xml:space="preserve"> Las entradas añadidas se muestran en gris.</w:t>
      </w:r>
    </w:p>
  </w:footnote>
  <w:footnote w:id="3">
    <w:p w14:paraId="5FD2AA39" w14:textId="77777777" w:rsidR="007A5982" w:rsidRPr="008C48F3" w:rsidRDefault="007A5982" w:rsidP="007A5982">
      <w:pPr>
        <w:pStyle w:val="Footnote-Text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szCs w:val="18"/>
          <w:lang w:val="fr-FR"/>
        </w:rPr>
      </w:pPr>
      <w:r w:rsidRPr="0032453C">
        <w:rPr>
          <w:rStyle w:val="FootnoteReference"/>
          <w:sz w:val="18"/>
          <w:lang w:val="es-ES"/>
        </w:rPr>
        <w:footnoteRef/>
      </w:r>
      <w:r w:rsidRPr="0032453C">
        <w:rPr>
          <w:szCs w:val="18"/>
          <w:lang w:val="es-ES"/>
        </w:rPr>
        <w:t xml:space="preserve"> La disposición añadida se muestra en gris.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9EA8" w14:textId="7FBCAB76" w:rsidR="007A36F8" w:rsidRPr="00F046E6" w:rsidRDefault="00BA4E95" w:rsidP="00F046E6">
    <w:pPr>
      <w:pStyle w:val="Header-pool"/>
    </w:pPr>
    <w:r>
      <w:rPr>
        <w:noProof/>
      </w:rPr>
      <w:t>UNEP/MC/COP.6/Dec.3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D92F" w14:textId="59DAEFD1" w:rsidR="007A36F8" w:rsidRPr="00F046E6" w:rsidRDefault="00BA4E95" w:rsidP="00F046E6">
    <w:pPr>
      <w:pStyle w:val="Header-pool"/>
      <w:jc w:val="right"/>
    </w:pPr>
    <w:r>
      <w:rPr>
        <w:noProof/>
      </w:rPr>
      <w:t>UNEP/MC/COP.6/Dec.3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D6C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82A2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003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42003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08B3F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0A6D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D8276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220C3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CCA0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C8B3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A054C"/>
    <w:multiLevelType w:val="hybridMultilevel"/>
    <w:tmpl w:val="AF782DB2"/>
    <w:lvl w:ilvl="0" w:tplc="06A07E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BAB5CFF"/>
    <w:multiLevelType w:val="hybridMultilevel"/>
    <w:tmpl w:val="245AFD90"/>
    <w:lvl w:ilvl="0" w:tplc="06A07E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376261"/>
    <w:multiLevelType w:val="hybridMultilevel"/>
    <w:tmpl w:val="83A82E20"/>
    <w:lvl w:ilvl="0" w:tplc="FFFFFFFF">
      <w:start w:val="1"/>
      <w:numFmt w:val="lowerRoman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306DFC"/>
    <w:multiLevelType w:val="hybridMultilevel"/>
    <w:tmpl w:val="4EE4F800"/>
    <w:lvl w:ilvl="0" w:tplc="06A07E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1D306669"/>
    <w:multiLevelType w:val="hybridMultilevel"/>
    <w:tmpl w:val="20AA8284"/>
    <w:lvl w:ilvl="0" w:tplc="06A07E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4D3975"/>
    <w:multiLevelType w:val="hybridMultilevel"/>
    <w:tmpl w:val="59301678"/>
    <w:lvl w:ilvl="0" w:tplc="E3D2A092">
      <w:start w:val="1"/>
      <w:numFmt w:val="lowerRoman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26CFB"/>
    <w:multiLevelType w:val="hybridMultilevel"/>
    <w:tmpl w:val="5B68F652"/>
    <w:lvl w:ilvl="0" w:tplc="06A07E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A41B6D"/>
    <w:multiLevelType w:val="hybridMultilevel"/>
    <w:tmpl w:val="A7E6D1A8"/>
    <w:lvl w:ilvl="0" w:tplc="06A07E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122713"/>
    <w:multiLevelType w:val="hybridMultilevel"/>
    <w:tmpl w:val="7A4C177A"/>
    <w:lvl w:ilvl="0" w:tplc="5E5ED10E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B20480"/>
    <w:multiLevelType w:val="hybridMultilevel"/>
    <w:tmpl w:val="AE964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E4F2B"/>
    <w:multiLevelType w:val="hybridMultilevel"/>
    <w:tmpl w:val="BD26D208"/>
    <w:lvl w:ilvl="0" w:tplc="06A07E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1627D2"/>
    <w:multiLevelType w:val="hybridMultilevel"/>
    <w:tmpl w:val="83A82E20"/>
    <w:lvl w:ilvl="0" w:tplc="E3D2A092">
      <w:start w:val="1"/>
      <w:numFmt w:val="lowerRoman"/>
      <w:lvlText w:val="%1)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32760D"/>
    <w:multiLevelType w:val="hybridMultilevel"/>
    <w:tmpl w:val="C3A2C422"/>
    <w:lvl w:ilvl="0" w:tplc="E3D2A092">
      <w:start w:val="1"/>
      <w:numFmt w:val="lowerRoman"/>
      <w:lvlText w:val="%1)"/>
      <w:lvlJc w:val="left"/>
      <w:pPr>
        <w:ind w:left="36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8B1673"/>
    <w:multiLevelType w:val="hybridMultilevel"/>
    <w:tmpl w:val="CEF0429C"/>
    <w:lvl w:ilvl="0" w:tplc="06A07E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F75B0"/>
    <w:multiLevelType w:val="hybridMultilevel"/>
    <w:tmpl w:val="4E8A6C58"/>
    <w:lvl w:ilvl="0" w:tplc="EAE4C026">
      <w:start w:val="1"/>
      <w:numFmt w:val="lowerRoman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320418"/>
    <w:multiLevelType w:val="hybridMultilevel"/>
    <w:tmpl w:val="803E3366"/>
    <w:lvl w:ilvl="0" w:tplc="5E5ED10E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397E9F"/>
    <w:multiLevelType w:val="hybridMultilevel"/>
    <w:tmpl w:val="C5E8FC4C"/>
    <w:lvl w:ilvl="0" w:tplc="5E5ED10E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E26925"/>
    <w:multiLevelType w:val="hybridMultilevel"/>
    <w:tmpl w:val="B3065F32"/>
    <w:lvl w:ilvl="0" w:tplc="96D616CA">
      <w:start w:val="1"/>
      <w:numFmt w:val="lowerRoman"/>
      <w:lvlText w:val="%1)"/>
      <w:lvlJc w:val="left"/>
      <w:pPr>
        <w:ind w:left="1174" w:hanging="720"/>
      </w:pPr>
      <w:rPr>
        <w:rFonts w:ascii="Times New Roman" w:hAnsi="Times New Roman"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1" w15:restartNumberingAfterBreak="0">
    <w:nsid w:val="4F715A08"/>
    <w:multiLevelType w:val="hybridMultilevel"/>
    <w:tmpl w:val="62B42CC6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32" w15:restartNumberingAfterBreak="0">
    <w:nsid w:val="4FC152C7"/>
    <w:multiLevelType w:val="hybridMultilevel"/>
    <w:tmpl w:val="C39CB71C"/>
    <w:lvl w:ilvl="0" w:tplc="5E5ED10E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34" w15:restartNumberingAfterBreak="0">
    <w:nsid w:val="5B580570"/>
    <w:multiLevelType w:val="hybridMultilevel"/>
    <w:tmpl w:val="6F42BD3A"/>
    <w:lvl w:ilvl="0" w:tplc="E3D2A092">
      <w:start w:val="1"/>
      <w:numFmt w:val="lowerRoman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13AEF"/>
    <w:multiLevelType w:val="hybridMultilevel"/>
    <w:tmpl w:val="4E8A6C58"/>
    <w:lvl w:ilvl="0" w:tplc="FFFFFFFF">
      <w:start w:val="1"/>
      <w:numFmt w:val="lowerRoman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715284"/>
    <w:multiLevelType w:val="hybridMultilevel"/>
    <w:tmpl w:val="8072F778"/>
    <w:lvl w:ilvl="0" w:tplc="4FA4B2CA">
      <w:start w:val="1"/>
      <w:numFmt w:val="lowerLetter"/>
      <w:lvlText w:val="%1)"/>
      <w:lvlJc w:val="left"/>
      <w:pPr>
        <w:ind w:left="630" w:hanging="63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9B6670"/>
    <w:multiLevelType w:val="hybridMultilevel"/>
    <w:tmpl w:val="6C0EED70"/>
    <w:lvl w:ilvl="0" w:tplc="E3D2A092">
      <w:start w:val="1"/>
      <w:numFmt w:val="lowerRoman"/>
      <w:lvlText w:val="%1)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5B3470"/>
    <w:multiLevelType w:val="hybridMultilevel"/>
    <w:tmpl w:val="1958BB8E"/>
    <w:lvl w:ilvl="0" w:tplc="FFFFFFFF">
      <w:start w:val="1"/>
      <w:numFmt w:val="lowerRoman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40" w15:restartNumberingAfterBreak="0">
    <w:nsid w:val="7BB80F28"/>
    <w:multiLevelType w:val="hybridMultilevel"/>
    <w:tmpl w:val="29424B62"/>
    <w:lvl w:ilvl="0" w:tplc="5E5ED10E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DA3600"/>
    <w:multiLevelType w:val="hybridMultilevel"/>
    <w:tmpl w:val="CFA43D80"/>
    <w:lvl w:ilvl="0" w:tplc="5E5ED10E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60672902">
    <w:abstractNumId w:val="33"/>
  </w:num>
  <w:num w:numId="2" w16cid:durableId="1242644713">
    <w:abstractNumId w:val="39"/>
  </w:num>
  <w:num w:numId="3" w16cid:durableId="1933662228">
    <w:abstractNumId w:val="22"/>
  </w:num>
  <w:num w:numId="4" w16cid:durableId="1991909117">
    <w:abstractNumId w:val="10"/>
  </w:num>
  <w:num w:numId="5" w16cid:durableId="1138956019">
    <w:abstractNumId w:val="15"/>
  </w:num>
  <w:num w:numId="6" w16cid:durableId="1849588938">
    <w:abstractNumId w:val="9"/>
  </w:num>
  <w:num w:numId="7" w16cid:durableId="1994487280">
    <w:abstractNumId w:val="7"/>
  </w:num>
  <w:num w:numId="8" w16cid:durableId="1723287586">
    <w:abstractNumId w:val="6"/>
  </w:num>
  <w:num w:numId="9" w16cid:durableId="15690898">
    <w:abstractNumId w:val="5"/>
  </w:num>
  <w:num w:numId="10" w16cid:durableId="288517638">
    <w:abstractNumId w:val="4"/>
  </w:num>
  <w:num w:numId="11" w16cid:durableId="397173292">
    <w:abstractNumId w:val="8"/>
  </w:num>
  <w:num w:numId="12" w16cid:durableId="1991907330">
    <w:abstractNumId w:val="3"/>
  </w:num>
  <w:num w:numId="13" w16cid:durableId="423117170">
    <w:abstractNumId w:val="2"/>
  </w:num>
  <w:num w:numId="14" w16cid:durableId="866412897">
    <w:abstractNumId w:val="1"/>
  </w:num>
  <w:num w:numId="15" w16cid:durableId="1193568530">
    <w:abstractNumId w:val="0"/>
  </w:num>
  <w:num w:numId="16" w16cid:durableId="434910754">
    <w:abstractNumId w:val="21"/>
  </w:num>
  <w:num w:numId="17" w16cid:durableId="2075614715">
    <w:abstractNumId w:val="41"/>
  </w:num>
  <w:num w:numId="18" w16cid:durableId="732893297">
    <w:abstractNumId w:val="36"/>
  </w:num>
  <w:num w:numId="19" w16cid:durableId="2107001409">
    <w:abstractNumId w:val="28"/>
  </w:num>
  <w:num w:numId="20" w16cid:durableId="1637444555">
    <w:abstractNumId w:val="40"/>
  </w:num>
  <w:num w:numId="21" w16cid:durableId="461701506">
    <w:abstractNumId w:val="20"/>
  </w:num>
  <w:num w:numId="22" w16cid:durableId="43066012">
    <w:abstractNumId w:val="32"/>
  </w:num>
  <w:num w:numId="23" w16cid:durableId="1819497224">
    <w:abstractNumId w:val="29"/>
  </w:num>
  <w:num w:numId="24" w16cid:durableId="2005429837">
    <w:abstractNumId w:val="25"/>
  </w:num>
  <w:num w:numId="25" w16cid:durableId="942080234">
    <w:abstractNumId w:val="27"/>
  </w:num>
  <w:num w:numId="26" w16cid:durableId="513107029">
    <w:abstractNumId w:val="31"/>
  </w:num>
  <w:num w:numId="27" w16cid:durableId="524707970">
    <w:abstractNumId w:val="18"/>
  </w:num>
  <w:num w:numId="28" w16cid:durableId="1231232395">
    <w:abstractNumId w:val="14"/>
  </w:num>
  <w:num w:numId="29" w16cid:durableId="1191139751">
    <w:abstractNumId w:val="16"/>
  </w:num>
  <w:num w:numId="30" w16cid:durableId="1241135881">
    <w:abstractNumId w:val="12"/>
  </w:num>
  <w:num w:numId="31" w16cid:durableId="1130321667">
    <w:abstractNumId w:val="26"/>
  </w:num>
  <w:num w:numId="32" w16cid:durableId="993415017">
    <w:abstractNumId w:val="19"/>
  </w:num>
  <w:num w:numId="33" w16cid:durableId="1386642047">
    <w:abstractNumId w:val="23"/>
  </w:num>
  <w:num w:numId="34" w16cid:durableId="1234512584">
    <w:abstractNumId w:val="11"/>
  </w:num>
  <w:num w:numId="35" w16cid:durableId="1281959573">
    <w:abstractNumId w:val="37"/>
  </w:num>
  <w:num w:numId="36" w16cid:durableId="718868852">
    <w:abstractNumId w:val="24"/>
  </w:num>
  <w:num w:numId="37" w16cid:durableId="632104258">
    <w:abstractNumId w:val="17"/>
  </w:num>
  <w:num w:numId="38" w16cid:durableId="1333950100">
    <w:abstractNumId w:val="34"/>
  </w:num>
  <w:num w:numId="39" w16cid:durableId="1768113139">
    <w:abstractNumId w:val="38"/>
  </w:num>
  <w:num w:numId="40" w16cid:durableId="2041927409">
    <w:abstractNumId w:val="13"/>
  </w:num>
  <w:num w:numId="41" w16cid:durableId="320042567">
    <w:abstractNumId w:val="30"/>
  </w:num>
  <w:num w:numId="42" w16cid:durableId="859777981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A"/>
    <w:rsid w:val="000149E6"/>
    <w:rsid w:val="00015474"/>
    <w:rsid w:val="00016AF3"/>
    <w:rsid w:val="000208C8"/>
    <w:rsid w:val="000247B0"/>
    <w:rsid w:val="00026997"/>
    <w:rsid w:val="00033E0B"/>
    <w:rsid w:val="00035EDE"/>
    <w:rsid w:val="0004028A"/>
    <w:rsid w:val="0004033C"/>
    <w:rsid w:val="000509B4"/>
    <w:rsid w:val="000555B3"/>
    <w:rsid w:val="00056B2C"/>
    <w:rsid w:val="0006035B"/>
    <w:rsid w:val="000628E8"/>
    <w:rsid w:val="00063AE4"/>
    <w:rsid w:val="00070C86"/>
    <w:rsid w:val="0007166E"/>
    <w:rsid w:val="00071886"/>
    <w:rsid w:val="000726EE"/>
    <w:rsid w:val="000742BC"/>
    <w:rsid w:val="0007739A"/>
    <w:rsid w:val="0008041D"/>
    <w:rsid w:val="00082A0C"/>
    <w:rsid w:val="00082DCD"/>
    <w:rsid w:val="00083504"/>
    <w:rsid w:val="00086528"/>
    <w:rsid w:val="0008710B"/>
    <w:rsid w:val="0009640C"/>
    <w:rsid w:val="000A16EC"/>
    <w:rsid w:val="000B076B"/>
    <w:rsid w:val="000B172B"/>
    <w:rsid w:val="000B21D5"/>
    <w:rsid w:val="000B22A2"/>
    <w:rsid w:val="000B4700"/>
    <w:rsid w:val="000C26F4"/>
    <w:rsid w:val="000C2A52"/>
    <w:rsid w:val="000C46A9"/>
    <w:rsid w:val="000D0931"/>
    <w:rsid w:val="000D33C0"/>
    <w:rsid w:val="000D5884"/>
    <w:rsid w:val="000D6941"/>
    <w:rsid w:val="000D71B6"/>
    <w:rsid w:val="000D7D2C"/>
    <w:rsid w:val="000E0405"/>
    <w:rsid w:val="000F0889"/>
    <w:rsid w:val="000F16ED"/>
    <w:rsid w:val="000F6CFF"/>
    <w:rsid w:val="00102962"/>
    <w:rsid w:val="00115EA2"/>
    <w:rsid w:val="00115F73"/>
    <w:rsid w:val="001202E3"/>
    <w:rsid w:val="00121BBA"/>
    <w:rsid w:val="00123699"/>
    <w:rsid w:val="0013059D"/>
    <w:rsid w:val="0014083A"/>
    <w:rsid w:val="00141A55"/>
    <w:rsid w:val="00141F2F"/>
    <w:rsid w:val="001446A3"/>
    <w:rsid w:val="00144868"/>
    <w:rsid w:val="0015070E"/>
    <w:rsid w:val="00155395"/>
    <w:rsid w:val="0016431F"/>
    <w:rsid w:val="001675FE"/>
    <w:rsid w:val="00172E6C"/>
    <w:rsid w:val="00173D27"/>
    <w:rsid w:val="00174739"/>
    <w:rsid w:val="00180BF1"/>
    <w:rsid w:val="0018127C"/>
    <w:rsid w:val="00181EC8"/>
    <w:rsid w:val="00181FC0"/>
    <w:rsid w:val="00184349"/>
    <w:rsid w:val="0019161E"/>
    <w:rsid w:val="00195F33"/>
    <w:rsid w:val="00197C63"/>
    <w:rsid w:val="001A5EE1"/>
    <w:rsid w:val="001A666B"/>
    <w:rsid w:val="001A7FF9"/>
    <w:rsid w:val="001B1617"/>
    <w:rsid w:val="001B504B"/>
    <w:rsid w:val="001C29FC"/>
    <w:rsid w:val="001D3874"/>
    <w:rsid w:val="001D5344"/>
    <w:rsid w:val="001D6A0C"/>
    <w:rsid w:val="001D7E75"/>
    <w:rsid w:val="001E0DD7"/>
    <w:rsid w:val="001E22D1"/>
    <w:rsid w:val="001E56D2"/>
    <w:rsid w:val="001E7D56"/>
    <w:rsid w:val="001F75DE"/>
    <w:rsid w:val="00200D58"/>
    <w:rsid w:val="002013BE"/>
    <w:rsid w:val="002063A4"/>
    <w:rsid w:val="00206F97"/>
    <w:rsid w:val="00207987"/>
    <w:rsid w:val="0021018D"/>
    <w:rsid w:val="0021145B"/>
    <w:rsid w:val="00214277"/>
    <w:rsid w:val="00221FD9"/>
    <w:rsid w:val="0022762D"/>
    <w:rsid w:val="00232303"/>
    <w:rsid w:val="00234806"/>
    <w:rsid w:val="002378D6"/>
    <w:rsid w:val="00240BCE"/>
    <w:rsid w:val="00243D36"/>
    <w:rsid w:val="00247707"/>
    <w:rsid w:val="002609AB"/>
    <w:rsid w:val="00263171"/>
    <w:rsid w:val="00263FB1"/>
    <w:rsid w:val="00277919"/>
    <w:rsid w:val="00286740"/>
    <w:rsid w:val="00287B42"/>
    <w:rsid w:val="002929D8"/>
    <w:rsid w:val="002935C2"/>
    <w:rsid w:val="00296719"/>
    <w:rsid w:val="002A237D"/>
    <w:rsid w:val="002A4A81"/>
    <w:rsid w:val="002A4C53"/>
    <w:rsid w:val="002A73D4"/>
    <w:rsid w:val="002B0672"/>
    <w:rsid w:val="002B1B4C"/>
    <w:rsid w:val="002B247F"/>
    <w:rsid w:val="002C145D"/>
    <w:rsid w:val="002C2C3E"/>
    <w:rsid w:val="002C533E"/>
    <w:rsid w:val="002C5525"/>
    <w:rsid w:val="002D027F"/>
    <w:rsid w:val="002D1E53"/>
    <w:rsid w:val="002D6167"/>
    <w:rsid w:val="002D7A85"/>
    <w:rsid w:val="002D7B60"/>
    <w:rsid w:val="002E19D4"/>
    <w:rsid w:val="002F0362"/>
    <w:rsid w:val="002F084C"/>
    <w:rsid w:val="002F4761"/>
    <w:rsid w:val="002F5294"/>
    <w:rsid w:val="002F5C79"/>
    <w:rsid w:val="003019E2"/>
    <w:rsid w:val="0031350B"/>
    <w:rsid w:val="0031413F"/>
    <w:rsid w:val="003148BB"/>
    <w:rsid w:val="003154BB"/>
    <w:rsid w:val="00317976"/>
    <w:rsid w:val="00323885"/>
    <w:rsid w:val="0032453C"/>
    <w:rsid w:val="00331475"/>
    <w:rsid w:val="00337EEA"/>
    <w:rsid w:val="00351A93"/>
    <w:rsid w:val="003524CA"/>
    <w:rsid w:val="003559F8"/>
    <w:rsid w:val="00355EA9"/>
    <w:rsid w:val="003578DE"/>
    <w:rsid w:val="00365F6B"/>
    <w:rsid w:val="00370BF9"/>
    <w:rsid w:val="00371340"/>
    <w:rsid w:val="003759E2"/>
    <w:rsid w:val="00376867"/>
    <w:rsid w:val="0038083F"/>
    <w:rsid w:val="00386999"/>
    <w:rsid w:val="00390145"/>
    <w:rsid w:val="003905C5"/>
    <w:rsid w:val="00394379"/>
    <w:rsid w:val="00396257"/>
    <w:rsid w:val="00397EB8"/>
    <w:rsid w:val="003A07AB"/>
    <w:rsid w:val="003A086E"/>
    <w:rsid w:val="003A37B8"/>
    <w:rsid w:val="003A4FD0"/>
    <w:rsid w:val="003A69D1"/>
    <w:rsid w:val="003A7231"/>
    <w:rsid w:val="003A7705"/>
    <w:rsid w:val="003B1545"/>
    <w:rsid w:val="003C035E"/>
    <w:rsid w:val="003C3267"/>
    <w:rsid w:val="003C409D"/>
    <w:rsid w:val="003C5BA6"/>
    <w:rsid w:val="003E088E"/>
    <w:rsid w:val="003F0E85"/>
    <w:rsid w:val="00404580"/>
    <w:rsid w:val="00404CB5"/>
    <w:rsid w:val="00405251"/>
    <w:rsid w:val="00410C55"/>
    <w:rsid w:val="004121DB"/>
    <w:rsid w:val="0041604D"/>
    <w:rsid w:val="00416854"/>
    <w:rsid w:val="00417725"/>
    <w:rsid w:val="0041779A"/>
    <w:rsid w:val="00417B99"/>
    <w:rsid w:val="00422123"/>
    <w:rsid w:val="004243EA"/>
    <w:rsid w:val="0042589E"/>
    <w:rsid w:val="00434607"/>
    <w:rsid w:val="00437F26"/>
    <w:rsid w:val="00444097"/>
    <w:rsid w:val="00445487"/>
    <w:rsid w:val="004525B5"/>
    <w:rsid w:val="004546B8"/>
    <w:rsid w:val="00454769"/>
    <w:rsid w:val="00456D58"/>
    <w:rsid w:val="00466991"/>
    <w:rsid w:val="0047064C"/>
    <w:rsid w:val="00474D90"/>
    <w:rsid w:val="00477AFF"/>
    <w:rsid w:val="00481F0B"/>
    <w:rsid w:val="00491768"/>
    <w:rsid w:val="00495BFE"/>
    <w:rsid w:val="004A2065"/>
    <w:rsid w:val="004A42E1"/>
    <w:rsid w:val="004B162C"/>
    <w:rsid w:val="004B7245"/>
    <w:rsid w:val="004C3DBE"/>
    <w:rsid w:val="004C5C96"/>
    <w:rsid w:val="004D06A4"/>
    <w:rsid w:val="004D48A9"/>
    <w:rsid w:val="004D60EA"/>
    <w:rsid w:val="004E59D4"/>
    <w:rsid w:val="004E5E57"/>
    <w:rsid w:val="004E79AC"/>
    <w:rsid w:val="004F1A81"/>
    <w:rsid w:val="0050040D"/>
    <w:rsid w:val="00507639"/>
    <w:rsid w:val="005210EE"/>
    <w:rsid w:val="005218D9"/>
    <w:rsid w:val="00532E47"/>
    <w:rsid w:val="005335CB"/>
    <w:rsid w:val="00536186"/>
    <w:rsid w:val="00536826"/>
    <w:rsid w:val="0053693A"/>
    <w:rsid w:val="00544CBB"/>
    <w:rsid w:val="00550518"/>
    <w:rsid w:val="00552CD6"/>
    <w:rsid w:val="005534E3"/>
    <w:rsid w:val="00560BDC"/>
    <w:rsid w:val="00565B34"/>
    <w:rsid w:val="0057315F"/>
    <w:rsid w:val="00575DF1"/>
    <w:rsid w:val="00576104"/>
    <w:rsid w:val="00576EBA"/>
    <w:rsid w:val="0058201D"/>
    <w:rsid w:val="005940BC"/>
    <w:rsid w:val="00594BA0"/>
    <w:rsid w:val="005B17E7"/>
    <w:rsid w:val="005B1D7A"/>
    <w:rsid w:val="005B5E04"/>
    <w:rsid w:val="005B71EF"/>
    <w:rsid w:val="005C3DC3"/>
    <w:rsid w:val="005C67C8"/>
    <w:rsid w:val="005D0249"/>
    <w:rsid w:val="005D6E8C"/>
    <w:rsid w:val="005E19E1"/>
    <w:rsid w:val="005F100C"/>
    <w:rsid w:val="005F6517"/>
    <w:rsid w:val="005F68DA"/>
    <w:rsid w:val="005F75E6"/>
    <w:rsid w:val="006014DD"/>
    <w:rsid w:val="0060773B"/>
    <w:rsid w:val="00607D94"/>
    <w:rsid w:val="006157B5"/>
    <w:rsid w:val="00626FC6"/>
    <w:rsid w:val="006303B4"/>
    <w:rsid w:val="00633CEB"/>
    <w:rsid w:val="00633D3D"/>
    <w:rsid w:val="00633F3A"/>
    <w:rsid w:val="00641703"/>
    <w:rsid w:val="006431A6"/>
    <w:rsid w:val="006433D9"/>
    <w:rsid w:val="006459F6"/>
    <w:rsid w:val="006501AD"/>
    <w:rsid w:val="00651BFA"/>
    <w:rsid w:val="006533B3"/>
    <w:rsid w:val="00654105"/>
    <w:rsid w:val="00663A80"/>
    <w:rsid w:val="00665A4B"/>
    <w:rsid w:val="0066792B"/>
    <w:rsid w:val="006731FE"/>
    <w:rsid w:val="00676B20"/>
    <w:rsid w:val="00692E2A"/>
    <w:rsid w:val="00693C71"/>
    <w:rsid w:val="00695B51"/>
    <w:rsid w:val="006A5C25"/>
    <w:rsid w:val="006A76F2"/>
    <w:rsid w:val="006B4F20"/>
    <w:rsid w:val="006C18B0"/>
    <w:rsid w:val="006C2406"/>
    <w:rsid w:val="006C3DDA"/>
    <w:rsid w:val="006C7F5A"/>
    <w:rsid w:val="006D3277"/>
    <w:rsid w:val="006D7EFB"/>
    <w:rsid w:val="006E6672"/>
    <w:rsid w:val="006E6722"/>
    <w:rsid w:val="006E7830"/>
    <w:rsid w:val="006F10F1"/>
    <w:rsid w:val="007027B9"/>
    <w:rsid w:val="00713D8F"/>
    <w:rsid w:val="00715E88"/>
    <w:rsid w:val="0072508B"/>
    <w:rsid w:val="00732257"/>
    <w:rsid w:val="00732539"/>
    <w:rsid w:val="00734CAA"/>
    <w:rsid w:val="00736583"/>
    <w:rsid w:val="00737AF2"/>
    <w:rsid w:val="00745545"/>
    <w:rsid w:val="00745C5A"/>
    <w:rsid w:val="00750399"/>
    <w:rsid w:val="00750B23"/>
    <w:rsid w:val="0075473A"/>
    <w:rsid w:val="00755106"/>
    <w:rsid w:val="0075533C"/>
    <w:rsid w:val="00757581"/>
    <w:rsid w:val="007611A0"/>
    <w:rsid w:val="007658A0"/>
    <w:rsid w:val="007707AD"/>
    <w:rsid w:val="00771992"/>
    <w:rsid w:val="007748D0"/>
    <w:rsid w:val="00783907"/>
    <w:rsid w:val="007926A9"/>
    <w:rsid w:val="00795EA9"/>
    <w:rsid w:val="00796D3F"/>
    <w:rsid w:val="007A0CD6"/>
    <w:rsid w:val="007A1683"/>
    <w:rsid w:val="007A36F8"/>
    <w:rsid w:val="007A5982"/>
    <w:rsid w:val="007A5C12"/>
    <w:rsid w:val="007A7CB0"/>
    <w:rsid w:val="007B68A3"/>
    <w:rsid w:val="007C2541"/>
    <w:rsid w:val="007D66A8"/>
    <w:rsid w:val="007D773D"/>
    <w:rsid w:val="007E003F"/>
    <w:rsid w:val="007E31D3"/>
    <w:rsid w:val="007E50F2"/>
    <w:rsid w:val="007F7758"/>
    <w:rsid w:val="00802E72"/>
    <w:rsid w:val="00805F1D"/>
    <w:rsid w:val="008107C6"/>
    <w:rsid w:val="008164F2"/>
    <w:rsid w:val="00821395"/>
    <w:rsid w:val="00822DC9"/>
    <w:rsid w:val="008245FF"/>
    <w:rsid w:val="00830E26"/>
    <w:rsid w:val="00843576"/>
    <w:rsid w:val="00843B64"/>
    <w:rsid w:val="008448C0"/>
    <w:rsid w:val="00845025"/>
    <w:rsid w:val="008470BD"/>
    <w:rsid w:val="008478FC"/>
    <w:rsid w:val="008572BD"/>
    <w:rsid w:val="00867BFF"/>
    <w:rsid w:val="00874B8E"/>
    <w:rsid w:val="00875B26"/>
    <w:rsid w:val="0088480A"/>
    <w:rsid w:val="0088757A"/>
    <w:rsid w:val="00894CCE"/>
    <w:rsid w:val="008957DD"/>
    <w:rsid w:val="00897D98"/>
    <w:rsid w:val="008A26B4"/>
    <w:rsid w:val="008A6DF2"/>
    <w:rsid w:val="008A7807"/>
    <w:rsid w:val="008B0D6B"/>
    <w:rsid w:val="008B3832"/>
    <w:rsid w:val="008B4CC9"/>
    <w:rsid w:val="008C13F0"/>
    <w:rsid w:val="008C1B8B"/>
    <w:rsid w:val="008C45D2"/>
    <w:rsid w:val="008C48F3"/>
    <w:rsid w:val="008C5629"/>
    <w:rsid w:val="008D3AE0"/>
    <w:rsid w:val="008D6939"/>
    <w:rsid w:val="008D7C99"/>
    <w:rsid w:val="008E0FCB"/>
    <w:rsid w:val="008E3FC2"/>
    <w:rsid w:val="008F067C"/>
    <w:rsid w:val="008F6152"/>
    <w:rsid w:val="00907D78"/>
    <w:rsid w:val="00912DDA"/>
    <w:rsid w:val="00916B39"/>
    <w:rsid w:val="0092178C"/>
    <w:rsid w:val="0092493F"/>
    <w:rsid w:val="00930B88"/>
    <w:rsid w:val="00933F6D"/>
    <w:rsid w:val="009378DC"/>
    <w:rsid w:val="0094056F"/>
    <w:rsid w:val="00940DCC"/>
    <w:rsid w:val="0094179A"/>
    <w:rsid w:val="0094459E"/>
    <w:rsid w:val="00944DBC"/>
    <w:rsid w:val="00950977"/>
    <w:rsid w:val="00951A7B"/>
    <w:rsid w:val="009540CB"/>
    <w:rsid w:val="009564A6"/>
    <w:rsid w:val="00957DC3"/>
    <w:rsid w:val="00961A33"/>
    <w:rsid w:val="009628B9"/>
    <w:rsid w:val="00965D3A"/>
    <w:rsid w:val="00967621"/>
    <w:rsid w:val="00967E6A"/>
    <w:rsid w:val="00973C57"/>
    <w:rsid w:val="0098031B"/>
    <w:rsid w:val="00980797"/>
    <w:rsid w:val="009935AC"/>
    <w:rsid w:val="009A6054"/>
    <w:rsid w:val="009B4A0F"/>
    <w:rsid w:val="009C0FEC"/>
    <w:rsid w:val="009C11D2"/>
    <w:rsid w:val="009C1E35"/>
    <w:rsid w:val="009C6C70"/>
    <w:rsid w:val="009D0922"/>
    <w:rsid w:val="009D0B63"/>
    <w:rsid w:val="009D0D50"/>
    <w:rsid w:val="009D3910"/>
    <w:rsid w:val="009E1A50"/>
    <w:rsid w:val="009E307E"/>
    <w:rsid w:val="009E3635"/>
    <w:rsid w:val="009E47E3"/>
    <w:rsid w:val="009F5A4A"/>
    <w:rsid w:val="00A03A4A"/>
    <w:rsid w:val="00A07870"/>
    <w:rsid w:val="00A07F19"/>
    <w:rsid w:val="00A1348D"/>
    <w:rsid w:val="00A142D1"/>
    <w:rsid w:val="00A1489E"/>
    <w:rsid w:val="00A232EE"/>
    <w:rsid w:val="00A3320C"/>
    <w:rsid w:val="00A3349F"/>
    <w:rsid w:val="00A4175F"/>
    <w:rsid w:val="00A44411"/>
    <w:rsid w:val="00A469FA"/>
    <w:rsid w:val="00A50E94"/>
    <w:rsid w:val="00A54334"/>
    <w:rsid w:val="00A55B01"/>
    <w:rsid w:val="00A55CCF"/>
    <w:rsid w:val="00A56B5B"/>
    <w:rsid w:val="00A57D46"/>
    <w:rsid w:val="00A603FF"/>
    <w:rsid w:val="00A657DD"/>
    <w:rsid w:val="00A666A6"/>
    <w:rsid w:val="00A675FD"/>
    <w:rsid w:val="00A714C6"/>
    <w:rsid w:val="00A72437"/>
    <w:rsid w:val="00A80611"/>
    <w:rsid w:val="00A84B15"/>
    <w:rsid w:val="00A87016"/>
    <w:rsid w:val="00A90C61"/>
    <w:rsid w:val="00AB1F69"/>
    <w:rsid w:val="00AB5340"/>
    <w:rsid w:val="00AC010E"/>
    <w:rsid w:val="00AC01CC"/>
    <w:rsid w:val="00AC16B8"/>
    <w:rsid w:val="00AC2446"/>
    <w:rsid w:val="00AC2B0D"/>
    <w:rsid w:val="00AC7C96"/>
    <w:rsid w:val="00AD2D15"/>
    <w:rsid w:val="00AE237D"/>
    <w:rsid w:val="00AE2A3D"/>
    <w:rsid w:val="00AE502A"/>
    <w:rsid w:val="00AF0DF7"/>
    <w:rsid w:val="00AF495A"/>
    <w:rsid w:val="00AF7C07"/>
    <w:rsid w:val="00B00865"/>
    <w:rsid w:val="00B019F8"/>
    <w:rsid w:val="00B22C93"/>
    <w:rsid w:val="00B27589"/>
    <w:rsid w:val="00B37EF9"/>
    <w:rsid w:val="00B405B7"/>
    <w:rsid w:val="00B42980"/>
    <w:rsid w:val="00B45E6D"/>
    <w:rsid w:val="00B52222"/>
    <w:rsid w:val="00B523A2"/>
    <w:rsid w:val="00B54FE7"/>
    <w:rsid w:val="00B57C47"/>
    <w:rsid w:val="00B66901"/>
    <w:rsid w:val="00B71E6D"/>
    <w:rsid w:val="00B72070"/>
    <w:rsid w:val="00B779E1"/>
    <w:rsid w:val="00B859A3"/>
    <w:rsid w:val="00B91EE1"/>
    <w:rsid w:val="00BA0090"/>
    <w:rsid w:val="00BA1A67"/>
    <w:rsid w:val="00BA4E95"/>
    <w:rsid w:val="00BB49DE"/>
    <w:rsid w:val="00BC07FE"/>
    <w:rsid w:val="00BD0163"/>
    <w:rsid w:val="00BD159E"/>
    <w:rsid w:val="00BE5B5F"/>
    <w:rsid w:val="00BF1824"/>
    <w:rsid w:val="00C00B3C"/>
    <w:rsid w:val="00C03C89"/>
    <w:rsid w:val="00C22A02"/>
    <w:rsid w:val="00C26F55"/>
    <w:rsid w:val="00C30C63"/>
    <w:rsid w:val="00C32870"/>
    <w:rsid w:val="00C32B37"/>
    <w:rsid w:val="00C36B8B"/>
    <w:rsid w:val="00C43DC4"/>
    <w:rsid w:val="00C45AC0"/>
    <w:rsid w:val="00C47DBF"/>
    <w:rsid w:val="00C5135B"/>
    <w:rsid w:val="00C53666"/>
    <w:rsid w:val="00C543FD"/>
    <w:rsid w:val="00C552FF"/>
    <w:rsid w:val="00C558DA"/>
    <w:rsid w:val="00C55AF3"/>
    <w:rsid w:val="00C60713"/>
    <w:rsid w:val="00C70B49"/>
    <w:rsid w:val="00C734E3"/>
    <w:rsid w:val="00C75C7C"/>
    <w:rsid w:val="00C77773"/>
    <w:rsid w:val="00C81951"/>
    <w:rsid w:val="00C835ED"/>
    <w:rsid w:val="00C83A8F"/>
    <w:rsid w:val="00C84759"/>
    <w:rsid w:val="00C905BB"/>
    <w:rsid w:val="00C96D94"/>
    <w:rsid w:val="00C97578"/>
    <w:rsid w:val="00CA0946"/>
    <w:rsid w:val="00CA1CFE"/>
    <w:rsid w:val="00CA45D9"/>
    <w:rsid w:val="00CA6C7F"/>
    <w:rsid w:val="00CA78AF"/>
    <w:rsid w:val="00CB20C7"/>
    <w:rsid w:val="00CB6F8C"/>
    <w:rsid w:val="00CC0260"/>
    <w:rsid w:val="00CC10A6"/>
    <w:rsid w:val="00CC5FC7"/>
    <w:rsid w:val="00CD5EB8"/>
    <w:rsid w:val="00CD6AC7"/>
    <w:rsid w:val="00CD7044"/>
    <w:rsid w:val="00CE08B9"/>
    <w:rsid w:val="00CE40C4"/>
    <w:rsid w:val="00CE524C"/>
    <w:rsid w:val="00CF141F"/>
    <w:rsid w:val="00CF4777"/>
    <w:rsid w:val="00CF5AF8"/>
    <w:rsid w:val="00D067BB"/>
    <w:rsid w:val="00D070CC"/>
    <w:rsid w:val="00D1352A"/>
    <w:rsid w:val="00D13EDE"/>
    <w:rsid w:val="00D169AF"/>
    <w:rsid w:val="00D25249"/>
    <w:rsid w:val="00D255A7"/>
    <w:rsid w:val="00D27894"/>
    <w:rsid w:val="00D44172"/>
    <w:rsid w:val="00D50229"/>
    <w:rsid w:val="00D52302"/>
    <w:rsid w:val="00D526D8"/>
    <w:rsid w:val="00D55A40"/>
    <w:rsid w:val="00D62786"/>
    <w:rsid w:val="00D63B8C"/>
    <w:rsid w:val="00D7062A"/>
    <w:rsid w:val="00D712FD"/>
    <w:rsid w:val="00D715DD"/>
    <w:rsid w:val="00D72CB6"/>
    <w:rsid w:val="00D739CC"/>
    <w:rsid w:val="00D757C8"/>
    <w:rsid w:val="00D760FD"/>
    <w:rsid w:val="00D8093D"/>
    <w:rsid w:val="00D8108C"/>
    <w:rsid w:val="00D812C1"/>
    <w:rsid w:val="00D842AE"/>
    <w:rsid w:val="00D85F9E"/>
    <w:rsid w:val="00D86CAD"/>
    <w:rsid w:val="00D9211C"/>
    <w:rsid w:val="00D92DE0"/>
    <w:rsid w:val="00D92FEF"/>
    <w:rsid w:val="00D93A0F"/>
    <w:rsid w:val="00D93D54"/>
    <w:rsid w:val="00DA1BCA"/>
    <w:rsid w:val="00DA3FFA"/>
    <w:rsid w:val="00DA7299"/>
    <w:rsid w:val="00DB36B7"/>
    <w:rsid w:val="00DB3E23"/>
    <w:rsid w:val="00DB7E13"/>
    <w:rsid w:val="00DC46FF"/>
    <w:rsid w:val="00DC5254"/>
    <w:rsid w:val="00DD1A4F"/>
    <w:rsid w:val="00DD3107"/>
    <w:rsid w:val="00DD5EFF"/>
    <w:rsid w:val="00DD7C2C"/>
    <w:rsid w:val="00DE6E55"/>
    <w:rsid w:val="00DF5660"/>
    <w:rsid w:val="00DF5C15"/>
    <w:rsid w:val="00E0574F"/>
    <w:rsid w:val="00E06797"/>
    <w:rsid w:val="00E06F26"/>
    <w:rsid w:val="00E122BC"/>
    <w:rsid w:val="00E1265B"/>
    <w:rsid w:val="00E126C8"/>
    <w:rsid w:val="00E13B48"/>
    <w:rsid w:val="00E1404F"/>
    <w:rsid w:val="00E212EF"/>
    <w:rsid w:val="00E21C83"/>
    <w:rsid w:val="00E24ADA"/>
    <w:rsid w:val="00E256F6"/>
    <w:rsid w:val="00E32F59"/>
    <w:rsid w:val="00E37F15"/>
    <w:rsid w:val="00E440CD"/>
    <w:rsid w:val="00E46D9A"/>
    <w:rsid w:val="00E509D1"/>
    <w:rsid w:val="00E50C12"/>
    <w:rsid w:val="00E554B1"/>
    <w:rsid w:val="00E565FF"/>
    <w:rsid w:val="00E600D6"/>
    <w:rsid w:val="00E63C75"/>
    <w:rsid w:val="00E64488"/>
    <w:rsid w:val="00E65388"/>
    <w:rsid w:val="00E67833"/>
    <w:rsid w:val="00E72DBD"/>
    <w:rsid w:val="00E74ACB"/>
    <w:rsid w:val="00E85B7D"/>
    <w:rsid w:val="00E9121B"/>
    <w:rsid w:val="00E94B48"/>
    <w:rsid w:val="00E95FA7"/>
    <w:rsid w:val="00E96614"/>
    <w:rsid w:val="00EA0AE2"/>
    <w:rsid w:val="00EA292F"/>
    <w:rsid w:val="00EA39E5"/>
    <w:rsid w:val="00EB183A"/>
    <w:rsid w:val="00EB3106"/>
    <w:rsid w:val="00EC5A46"/>
    <w:rsid w:val="00EC63E2"/>
    <w:rsid w:val="00ED0087"/>
    <w:rsid w:val="00ED1F3E"/>
    <w:rsid w:val="00ED790F"/>
    <w:rsid w:val="00EE12FF"/>
    <w:rsid w:val="00EE1BA8"/>
    <w:rsid w:val="00EE1E98"/>
    <w:rsid w:val="00EE397B"/>
    <w:rsid w:val="00EE4483"/>
    <w:rsid w:val="00EE5261"/>
    <w:rsid w:val="00EE74BB"/>
    <w:rsid w:val="00EF22B3"/>
    <w:rsid w:val="00EF469A"/>
    <w:rsid w:val="00F03B69"/>
    <w:rsid w:val="00F046E6"/>
    <w:rsid w:val="00F04DCB"/>
    <w:rsid w:val="00F061B7"/>
    <w:rsid w:val="00F07A50"/>
    <w:rsid w:val="00F113DA"/>
    <w:rsid w:val="00F23184"/>
    <w:rsid w:val="00F25F15"/>
    <w:rsid w:val="00F319FC"/>
    <w:rsid w:val="00F32457"/>
    <w:rsid w:val="00F37DC8"/>
    <w:rsid w:val="00F439B3"/>
    <w:rsid w:val="00F45AA8"/>
    <w:rsid w:val="00F50249"/>
    <w:rsid w:val="00F502DD"/>
    <w:rsid w:val="00F511D5"/>
    <w:rsid w:val="00F52A1B"/>
    <w:rsid w:val="00F638FC"/>
    <w:rsid w:val="00F650C3"/>
    <w:rsid w:val="00F65D85"/>
    <w:rsid w:val="00F66BC5"/>
    <w:rsid w:val="00F71141"/>
    <w:rsid w:val="00F715A5"/>
    <w:rsid w:val="00F7203C"/>
    <w:rsid w:val="00F74B7A"/>
    <w:rsid w:val="00F75453"/>
    <w:rsid w:val="00F8091E"/>
    <w:rsid w:val="00F832E2"/>
    <w:rsid w:val="00F8615C"/>
    <w:rsid w:val="00F86776"/>
    <w:rsid w:val="00F92DF0"/>
    <w:rsid w:val="00F957B8"/>
    <w:rsid w:val="00F969E5"/>
    <w:rsid w:val="00F97AEE"/>
    <w:rsid w:val="00F97E54"/>
    <w:rsid w:val="00FA0D15"/>
    <w:rsid w:val="00FA1C95"/>
    <w:rsid w:val="00FA6BB0"/>
    <w:rsid w:val="00FA7C87"/>
    <w:rsid w:val="00FB1DFB"/>
    <w:rsid w:val="00FD2D77"/>
    <w:rsid w:val="00FD5860"/>
    <w:rsid w:val="00FE3317"/>
    <w:rsid w:val="00FE352D"/>
    <w:rsid w:val="00FE40EB"/>
    <w:rsid w:val="00FE4D02"/>
    <w:rsid w:val="00FE51C9"/>
    <w:rsid w:val="00FE7B2F"/>
    <w:rsid w:val="00FE7D62"/>
    <w:rsid w:val="00FF3819"/>
    <w:rsid w:val="1733B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012FE"/>
  <w15:chartTrackingRefBased/>
  <w15:docId w15:val="{9C45C306-2910-4B9D-917B-8FF7AC4F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F046E6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745545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745545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745545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745545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745545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745545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745545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745545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745545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745545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745545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745545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45545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45545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45545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745545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745545"/>
    <w:pPr>
      <w:ind w:left="1814" w:hanging="567"/>
    </w:pPr>
  </w:style>
  <w:style w:type="paragraph" w:customStyle="1" w:styleId="CH1">
    <w:name w:val="CH1"/>
    <w:basedOn w:val="Normal-pool"/>
    <w:next w:val="CH2"/>
    <w:qFormat/>
    <w:rsid w:val="0074554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74554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74554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745545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745545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745545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745545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745545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aliases w:val="16 Point,Superscript 6 Point,ftref,(Ref. de nota al pie),number,SUPERS,Footnote Reference Superscript,Footnote Reference1,Ref,de nota al pie,註腳內容,de nota al pie + (Asian) MS Mincho,11 pt,Ref. de nota de rodapé1,stylish,Footnote symbol"/>
    <w:link w:val="CharCharCharCharCarChar"/>
    <w:unhideWhenUsed/>
    <w:qFormat/>
    <w:rsid w:val="00745545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745545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745545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745545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745545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745545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F046E6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rsid w:val="00745545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745545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745545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745545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745545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745545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745545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745545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745545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745545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745545"/>
    <w:rPr>
      <w:b/>
      <w:bCs/>
      <w:sz w:val="28"/>
      <w:szCs w:val="22"/>
    </w:rPr>
  </w:style>
  <w:style w:type="paragraph" w:customStyle="1" w:styleId="ZZAnxtitle">
    <w:name w:val="ZZ_Anx_title"/>
    <w:basedOn w:val="Normal-pool"/>
    <w:link w:val="ZZAnxtitleChar"/>
    <w:qFormat/>
    <w:rsid w:val="00745545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74554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745545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745545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745545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745545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745545"/>
    <w:pPr>
      <w:spacing w:before="120"/>
    </w:pPr>
  </w:style>
  <w:style w:type="paragraph" w:customStyle="1" w:styleId="ATwoLetters">
    <w:name w:val="A_TwoLetters"/>
    <w:basedOn w:val="Normal-pool"/>
    <w:next w:val="Normal-pool"/>
    <w:rsid w:val="00745545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745545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745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5545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nhideWhenUsed/>
    <w:rsid w:val="0074554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745545"/>
  </w:style>
  <w:style w:type="character" w:customStyle="1" w:styleId="CommentTextChar">
    <w:name w:val="Comment Text Char"/>
    <w:basedOn w:val="DefaultParagraphFont"/>
    <w:link w:val="CommentText"/>
    <w:rsid w:val="00745545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5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5545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745545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046E6"/>
    <w:rPr>
      <w:rFonts w:eastAsia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046E6"/>
    <w:rPr>
      <w:rFonts w:eastAsia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745545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45545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45545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45545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45545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745545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745545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745545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745545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745545"/>
    <w:pPr>
      <w:ind w:left="720"/>
      <w:contextualSpacing/>
    </w:pPr>
  </w:style>
  <w:style w:type="paragraph" w:styleId="NoSpacing">
    <w:name w:val="No Spacing"/>
    <w:uiPriority w:val="1"/>
    <w:semiHidden/>
    <w:qFormat/>
    <w:rsid w:val="0074554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745545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745545"/>
    <w:rPr>
      <w:color w:val="808080"/>
      <w:lang w:val="en-GB"/>
    </w:rPr>
  </w:style>
  <w:style w:type="table" w:styleId="TableGrid">
    <w:name w:val="Table Grid"/>
    <w:basedOn w:val="TableNormal"/>
    <w:rsid w:val="00745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745545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745545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rsid w:val="00745545"/>
    <w:rPr>
      <w:sz w:val="2"/>
    </w:rPr>
  </w:style>
  <w:style w:type="character" w:customStyle="1" w:styleId="ASpacerChar">
    <w:name w:val="A_Spacer Char"/>
    <w:basedOn w:val="DefaultParagraphFont"/>
    <w:link w:val="ASpacer"/>
    <w:rsid w:val="00745545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745545"/>
  </w:style>
  <w:style w:type="character" w:styleId="UnresolvedMention">
    <w:name w:val="Unresolved Mention"/>
    <w:basedOn w:val="DefaultParagraphFont"/>
    <w:uiPriority w:val="99"/>
    <w:semiHidden/>
    <w:rsid w:val="00745545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745545"/>
  </w:style>
  <w:style w:type="paragraph" w:customStyle="1" w:styleId="AText0">
    <w:name w:val="A_Text0"/>
    <w:basedOn w:val="AText"/>
    <w:next w:val="AText"/>
    <w:rsid w:val="00745545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"/>
    <w:uiPriority w:val="99"/>
    <w:rsid w:val="00F046E6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rsid w:val="00745545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link w:val="Normal-poolChar"/>
    <w:qFormat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745545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745545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745545"/>
  </w:style>
  <w:style w:type="paragraph" w:styleId="BlockText">
    <w:name w:val="Block Text"/>
    <w:basedOn w:val="Normal"/>
    <w:semiHidden/>
    <w:unhideWhenUsed/>
    <w:rsid w:val="0074554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74554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45545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7455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45545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7455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45545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74554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45545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7455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45545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74554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45545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7455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45545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7455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45545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745545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745545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745545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745545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4554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4554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4554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4554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4554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4554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4554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4554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4554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4554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4554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4554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4554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4554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745545"/>
  </w:style>
  <w:style w:type="character" w:customStyle="1" w:styleId="DateChar">
    <w:name w:val="Date Char"/>
    <w:basedOn w:val="DefaultParagraphFont"/>
    <w:link w:val="Date"/>
    <w:semiHidden/>
    <w:rsid w:val="00745545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74554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45545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745545"/>
  </w:style>
  <w:style w:type="character" w:customStyle="1" w:styleId="E-mailSignatureChar">
    <w:name w:val="E-mail Signature Char"/>
    <w:basedOn w:val="DefaultParagraphFont"/>
    <w:link w:val="E-mailSignature"/>
    <w:semiHidden/>
    <w:rsid w:val="00745545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745545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74554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745545"/>
  </w:style>
  <w:style w:type="character" w:customStyle="1" w:styleId="EndnoteTextChar">
    <w:name w:val="Endnote Text Char"/>
    <w:basedOn w:val="DefaultParagraphFont"/>
    <w:link w:val="EndnoteText"/>
    <w:semiHidden/>
    <w:rsid w:val="00745545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74554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45545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745545"/>
  </w:style>
  <w:style w:type="character" w:customStyle="1" w:styleId="FootnoteTextChar">
    <w:name w:val="Footnote Text Char"/>
    <w:basedOn w:val="DefaultParagraphFont"/>
    <w:link w:val="FootnoteText"/>
    <w:semiHidden/>
    <w:rsid w:val="00745545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74554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455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4554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4554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4554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4554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4554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4554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4554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4554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4554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4554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4554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4554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4554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4554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4554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4554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4554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4554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4554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4554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4554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4554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4554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4554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4554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4554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455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455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455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455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455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455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455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4554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4554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4554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4554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4554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4554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4554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4554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4554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4554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4554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4554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4554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4554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745545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745545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74554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45545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745545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745545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745545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745545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745545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45545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745545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745545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745545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745545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745545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745545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745545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745545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745545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745545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745545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745545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74554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45545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4554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45545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745545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74554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4554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4554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4554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4554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4554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4554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4554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4554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4554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4554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4554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4554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4554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4554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4554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4554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4554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4554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4554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4554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745545"/>
    <w:rPr>
      <w:lang w:val="en-GB"/>
    </w:rPr>
  </w:style>
  <w:style w:type="paragraph" w:styleId="List">
    <w:name w:val="List"/>
    <w:basedOn w:val="Normal"/>
    <w:semiHidden/>
    <w:unhideWhenUsed/>
    <w:rsid w:val="00745545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745545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745545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745545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745545"/>
    <w:pPr>
      <w:ind w:left="1415" w:hanging="283"/>
      <w:contextualSpacing/>
    </w:pPr>
  </w:style>
  <w:style w:type="paragraph" w:styleId="ListBullet">
    <w:name w:val="List Bullet"/>
    <w:basedOn w:val="Normal"/>
    <w:semiHidden/>
    <w:rsid w:val="00745545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745545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745545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745545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745545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745545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745545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745545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745545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745545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745545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745545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745545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745545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745545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7455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455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455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455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455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455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455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4554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4554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4554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4554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4554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4554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4554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4554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4554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4554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4554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4554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4554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4554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4554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4554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4554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4554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4554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4554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4554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4554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4554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4554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4554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4554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4554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4554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4554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4554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4554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4554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4554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4554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4554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4554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4554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4554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4554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4554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4554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4554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7455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45545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74554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4554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4554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4554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455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4554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4554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4554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4554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4554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4554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4554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4554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4554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455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455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455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455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455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455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455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4554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4554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4554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4554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4554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4554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4554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4554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4554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4554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4554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4554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455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4554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4554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455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455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455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455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455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455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455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745545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7455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45545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74554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45545"/>
  </w:style>
  <w:style w:type="character" w:customStyle="1" w:styleId="NoteHeadingChar">
    <w:name w:val="Note Heading Char"/>
    <w:basedOn w:val="DefaultParagraphFont"/>
    <w:link w:val="NoteHeading"/>
    <w:semiHidden/>
    <w:rsid w:val="00745545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74554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4554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455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4554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455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74554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45545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74554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45545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45545"/>
  </w:style>
  <w:style w:type="character" w:customStyle="1" w:styleId="SalutationChar">
    <w:name w:val="Salutation Char"/>
    <w:basedOn w:val="DefaultParagraphFont"/>
    <w:link w:val="Salutation"/>
    <w:semiHidden/>
    <w:rsid w:val="00745545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745545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745545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745545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745545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74554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74554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74554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745545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745545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4554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745545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74554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7455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74554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7455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5545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ZZAnxtitleChar">
    <w:name w:val="ZZ_Anx_title Char"/>
    <w:link w:val="ZZAnxtitle"/>
    <w:rsid w:val="007A5982"/>
    <w:rPr>
      <w:rFonts w:eastAsia="Times New Roman"/>
      <w:b/>
      <w:bCs/>
      <w:sz w:val="28"/>
      <w:szCs w:val="26"/>
      <w:lang w:val="en-GB" w:eastAsia="en-US"/>
    </w:rPr>
  </w:style>
  <w:style w:type="character" w:customStyle="1" w:styleId="Normal-poolChar">
    <w:name w:val="Normal-pool Char"/>
    <w:link w:val="Normal-pool"/>
    <w:locked/>
    <w:rsid w:val="007A5982"/>
    <w:rPr>
      <w:rFonts w:eastAsia="Times New Roman"/>
      <w:lang w:val="en-GB" w:eastAsia="en-US"/>
    </w:rPr>
  </w:style>
  <w:style w:type="character" w:customStyle="1" w:styleId="CH2Char">
    <w:name w:val="CH2 Char"/>
    <w:link w:val="CH2"/>
    <w:rsid w:val="007A5982"/>
    <w:rPr>
      <w:rFonts w:eastAsia="Times New Roman"/>
      <w:b/>
      <w:sz w:val="24"/>
      <w:szCs w:val="24"/>
      <w:lang w:val="en-GB" w:eastAsia="en-US"/>
    </w:rPr>
  </w:style>
  <w:style w:type="table" w:customStyle="1" w:styleId="TableGrid10">
    <w:name w:val="Table Grid1"/>
    <w:basedOn w:val="TableNormal"/>
    <w:next w:val="TableGrid"/>
    <w:rsid w:val="007A5982"/>
    <w:tblPr/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semiHidden/>
    <w:rsid w:val="007A5982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40" w:lineRule="exact"/>
      <w:jc w:val="both"/>
    </w:pPr>
    <w:rPr>
      <w:rFonts w:eastAsia="SimSun"/>
      <w:szCs w:val="18"/>
      <w:vertAlign w:val="superscript"/>
      <w:lang w:eastAsia="zh-CN"/>
    </w:rPr>
  </w:style>
  <w:style w:type="paragraph" w:customStyle="1" w:styleId="paragraph">
    <w:name w:val="paragraph"/>
    <w:basedOn w:val="Normal"/>
    <w:semiHidden/>
    <w:rsid w:val="007A5982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BBTitleChar">
    <w:name w:val="BB_Title Char"/>
    <w:link w:val="BBTitle"/>
    <w:rsid w:val="007A5982"/>
    <w:rPr>
      <w:rFonts w:eastAsia="Times New Roman"/>
      <w:b/>
      <w:sz w:val="28"/>
      <w:szCs w:val="28"/>
      <w:lang w:val="en-GB" w:eastAsia="en-US"/>
    </w:rPr>
  </w:style>
  <w:style w:type="paragraph" w:styleId="Revision">
    <w:name w:val="Revision"/>
    <w:hidden/>
    <w:uiPriority w:val="99"/>
    <w:semiHidden/>
    <w:rsid w:val="004A2065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1" ma:contentTypeDescription="Create a new document." ma:contentTypeScope="" ma:versionID="30169c1f801c4376e941f65ba647f75a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41bd88571a7962be4b8dfd37318cd7be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3161B-E858-49AA-8C25-FB9F8FD622AD}"/>
</file>

<file path=customXml/itemProps2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4b29a07-ae0c-4297-aad9-2f7ae2e24b8e"/>
    <ds:schemaRef ds:uri="822da31b-d518-49e2-88cd-1351ccd720a8"/>
  </ds:schemaRefs>
</ds:datastoreItem>
</file>

<file path=customXml/itemProps3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1</TotalTime>
  <Pages>4</Pages>
  <Words>1420</Words>
  <Characters>8097</Characters>
  <Application>Microsoft Office Word</Application>
  <DocSecurity>0</DocSecurity>
  <PresentationFormat/>
  <Lines>67</Lines>
  <Paragraphs>18</Paragraphs>
  <ScaleCrop>false</ScaleCrop>
  <Manager/>
  <Company/>
  <LinksUpToDate>false</LinksUpToDate>
  <CharactersWithSpaces>9499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Anderson</dc:creator>
  <cp:keywords/>
  <dc:description/>
  <cp:lastModifiedBy>My Linh Doan</cp:lastModifiedBy>
  <cp:revision>3</cp:revision>
  <cp:lastPrinted>2025-12-02T11:17:00Z</cp:lastPrinted>
  <dcterms:created xsi:type="dcterms:W3CDTF">2025-12-19T05:03:00Z</dcterms:created>
  <dcterms:modified xsi:type="dcterms:W3CDTF">2026-03-17T08:42:00Z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Order">
    <vt:r8>22800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0x010100D4A186B34AAF4047A570F9DFA6808567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TranslatedWith">
    <vt:lpwstr>Mercury</vt:lpwstr>
  </property>
  <property fmtid="{D5CDD505-2E9C-101B-9397-08002B2CF9AE}" pid="20" name="GeneratedBy">
    <vt:lpwstr>aida.cunillclotet@un.org</vt:lpwstr>
  </property>
  <property fmtid="{D5CDD505-2E9C-101B-9397-08002B2CF9AE}" pid="21" name="GeneratedDate">
    <vt:lpwstr>12/16/2025 11:16:47</vt:lpwstr>
  </property>
  <property fmtid="{D5CDD505-2E9C-101B-9397-08002B2CF9AE}" pid="22" name="OriginalDocID">
    <vt:lpwstr>11a97bf9-c985-47e8-85e7-3fd399b0897e</vt:lpwstr>
  </property>
</Properties>
</file>