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7C5C0A" w:rsidRPr="007C5C0A" w14:paraId="61AF1308" w14:textId="77777777" w:rsidTr="007C5C0A">
        <w:trPr>
          <w:trHeight w:val="850"/>
        </w:trPr>
        <w:tc>
          <w:tcPr>
            <w:tcW w:w="1559" w:type="dxa"/>
          </w:tcPr>
          <w:p w14:paraId="4F2E3AD5" w14:textId="70DBA972" w:rsidR="007C5C0A" w:rsidRPr="007C5C0A" w:rsidRDefault="007C5C0A" w:rsidP="007C5C0A">
            <w:pPr>
              <w:pStyle w:val="AUnitedNations"/>
            </w:pPr>
            <w:r w:rsidRPr="007C5C0A">
              <w:t xml:space="preserve">NATIONS </w:t>
            </w:r>
            <w:r w:rsidRPr="007C5C0A">
              <w:br/>
              <w:t>UNIES</w:t>
            </w:r>
          </w:p>
        </w:tc>
        <w:tc>
          <w:tcPr>
            <w:tcW w:w="6520" w:type="dxa"/>
          </w:tcPr>
          <w:p w14:paraId="3B93DA84" w14:textId="144FBEE9" w:rsidR="007C5C0A" w:rsidRPr="007C5C0A" w:rsidRDefault="007C5C0A" w:rsidP="007C5C0A">
            <w:pPr>
              <w:pStyle w:val="Normal-pool"/>
            </w:pPr>
            <w:r w:rsidRPr="007C5C0A">
              <w:rPr>
                <w:noProof/>
              </w:rPr>
              <w:drawing>
                <wp:anchor distT="0" distB="0" distL="114300" distR="114300" simplePos="0" relativeHeight="251658240" behindDoc="0" locked="0" layoutInCell="1" allowOverlap="1" wp14:anchorId="525BA804" wp14:editId="292B3FE8">
                  <wp:simplePos x="0" y="0"/>
                  <wp:positionH relativeFrom="column">
                    <wp:posOffset>3175</wp:posOffset>
                  </wp:positionH>
                  <wp:positionV relativeFrom="paragraph">
                    <wp:posOffset>-4445</wp:posOffset>
                  </wp:positionV>
                  <wp:extent cx="1269153" cy="573559"/>
                  <wp:effectExtent l="0" t="0" r="7620" b="0"/>
                  <wp:wrapNone/>
                  <wp:docPr id="126548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617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232CB54" w14:textId="77777777" w:rsidR="007C5C0A" w:rsidRPr="007C5C0A" w:rsidRDefault="007C5C0A" w:rsidP="007C5C0A">
            <w:pPr>
              <w:pStyle w:val="Normal-pool"/>
            </w:pPr>
          </w:p>
        </w:tc>
      </w:tr>
    </w:tbl>
    <w:p w14:paraId="1548BEB3" w14:textId="77777777" w:rsidR="007C5C0A" w:rsidRPr="007C5C0A" w:rsidRDefault="007C5C0A" w:rsidP="007C5C0A">
      <w:pPr>
        <w:pStyle w:val="ASpacer"/>
      </w:pPr>
    </w:p>
    <w:tbl>
      <w:tblPr>
        <w:tblW w:w="9496" w:type="dxa"/>
        <w:tblLook w:val="0000" w:firstRow="0" w:lastRow="0" w:firstColumn="0" w:lastColumn="0" w:noHBand="0" w:noVBand="0"/>
      </w:tblPr>
      <w:tblGrid>
        <w:gridCol w:w="6378"/>
        <w:gridCol w:w="3118"/>
      </w:tblGrid>
      <w:tr w:rsidR="007C5C0A" w:rsidRPr="007C5C0A" w14:paraId="5846CFF0" w14:textId="77777777" w:rsidTr="007C5C0A">
        <w:trPr>
          <w:trHeight w:val="340"/>
        </w:trPr>
        <w:tc>
          <w:tcPr>
            <w:tcW w:w="3358" w:type="pct"/>
            <w:vAlign w:val="bottom"/>
          </w:tcPr>
          <w:p w14:paraId="572CD59D" w14:textId="77777777" w:rsidR="007C5C0A" w:rsidRPr="007C5C0A" w:rsidRDefault="007C5C0A" w:rsidP="007C5C0A">
            <w:pPr>
              <w:pStyle w:val="Normal-pool"/>
            </w:pPr>
          </w:p>
        </w:tc>
        <w:tc>
          <w:tcPr>
            <w:tcW w:w="1642" w:type="pct"/>
            <w:noWrap/>
            <w:vAlign w:val="bottom"/>
          </w:tcPr>
          <w:p w14:paraId="6E0BDDBF" w14:textId="59C696FE" w:rsidR="007C5C0A" w:rsidRPr="007C5C0A" w:rsidRDefault="007C5C0A" w:rsidP="007C5C0A">
            <w:pPr>
              <w:pStyle w:val="ASymbol"/>
            </w:pPr>
            <w:r w:rsidRPr="007C5C0A">
              <w:rPr>
                <w:b/>
                <w:sz w:val="28"/>
              </w:rPr>
              <w:t>UNEP</w:t>
            </w:r>
            <w:r w:rsidRPr="007C5C0A">
              <w:t>/MC/COP.</w:t>
            </w:r>
            <w:bookmarkStart w:id="0" w:name="Symbol1A"/>
            <w:r w:rsidRPr="007C5C0A">
              <w:t>6</w:t>
            </w:r>
            <w:bookmarkStart w:id="1" w:name="Symbol1B"/>
            <w:bookmarkEnd w:id="0"/>
            <w:r>
              <w:t xml:space="preserve">/Dec.3 </w:t>
            </w:r>
            <w:bookmarkEnd w:id="1"/>
          </w:p>
        </w:tc>
      </w:tr>
    </w:tbl>
    <w:p w14:paraId="60C6F052" w14:textId="77777777" w:rsidR="007C5C0A" w:rsidRPr="007C5C0A" w:rsidRDefault="007C5C0A" w:rsidP="007C5C0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C5C0A" w:rsidRPr="007C5C0A" w14:paraId="0CD7718A" w14:textId="77777777" w:rsidTr="007C5C0A">
        <w:trPr>
          <w:trHeight w:val="2098"/>
        </w:trPr>
        <w:tc>
          <w:tcPr>
            <w:tcW w:w="3685" w:type="dxa"/>
          </w:tcPr>
          <w:p w14:paraId="24100A5F" w14:textId="168B4DBE" w:rsidR="007C5C0A" w:rsidRPr="007C5C0A" w:rsidRDefault="007C5C0A" w:rsidP="007C5C0A">
            <w:pPr>
              <w:pStyle w:val="ALogo"/>
            </w:pPr>
            <w:r w:rsidRPr="007C5C0A">
              <w:rPr>
                <w:noProof/>
              </w:rPr>
              <w:drawing>
                <wp:inline distT="0" distB="0" distL="0" distR="0" wp14:anchorId="793229C4" wp14:editId="0228D1A9">
                  <wp:extent cx="2202815" cy="1028700"/>
                  <wp:effectExtent l="0" t="0" r="6985" b="0"/>
                  <wp:docPr id="1438599085" name="Picture 2"/>
                  <wp:cNvGraphicFramePr/>
                  <a:graphic xmlns:a="http://schemas.openxmlformats.org/drawingml/2006/main">
                    <a:graphicData uri="http://schemas.openxmlformats.org/drawingml/2006/picture">
                      <pic:pic xmlns:pic="http://schemas.openxmlformats.org/drawingml/2006/picture">
                        <pic:nvPicPr>
                          <pic:cNvPr id="143859908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C5C0A">
              <w:t xml:space="preserve"> </w:t>
            </w:r>
          </w:p>
          <w:p w14:paraId="754F01FC" w14:textId="44FFCAB3" w:rsidR="007C5C0A" w:rsidRPr="007C5C0A" w:rsidRDefault="007C5C0A" w:rsidP="007C5C0A">
            <w:pPr>
              <w:pStyle w:val="ALogo"/>
            </w:pPr>
          </w:p>
        </w:tc>
        <w:tc>
          <w:tcPr>
            <w:tcW w:w="2693" w:type="dxa"/>
          </w:tcPr>
          <w:p w14:paraId="730C1F66" w14:textId="77777777" w:rsidR="007C5C0A" w:rsidRPr="007C5C0A" w:rsidRDefault="007C5C0A" w:rsidP="007C5C0A">
            <w:pPr>
              <w:pStyle w:val="Normal-pool"/>
            </w:pPr>
          </w:p>
        </w:tc>
        <w:tc>
          <w:tcPr>
            <w:tcW w:w="3118" w:type="dxa"/>
          </w:tcPr>
          <w:p w14:paraId="0D8FA0C5" w14:textId="2D8CDF12" w:rsidR="007C5C0A" w:rsidRPr="007C5C0A" w:rsidRDefault="007C5C0A" w:rsidP="007C5C0A">
            <w:pPr>
              <w:pStyle w:val="AText"/>
            </w:pPr>
            <w:proofErr w:type="spellStart"/>
            <w:r w:rsidRPr="007C5C0A">
              <w:t>Distr</w:t>
            </w:r>
            <w:proofErr w:type="spellEnd"/>
            <w:r w:rsidRPr="007C5C0A">
              <w:t xml:space="preserve">. </w:t>
            </w:r>
            <w:bookmarkStart w:id="2" w:name="Distribution"/>
            <w:proofErr w:type="gramStart"/>
            <w:r>
              <w:t>générale</w:t>
            </w:r>
            <w:bookmarkEnd w:id="2"/>
            <w:proofErr w:type="gramEnd"/>
            <w:r w:rsidRPr="007C5C0A">
              <w:t xml:space="preserve"> </w:t>
            </w:r>
          </w:p>
          <w:p w14:paraId="516A2F14" w14:textId="5680D8DE" w:rsidR="007C5C0A" w:rsidRPr="007C5C0A" w:rsidRDefault="007C5C0A" w:rsidP="007C5C0A">
            <w:pPr>
              <w:pStyle w:val="AText0"/>
            </w:pPr>
            <w:bookmarkStart w:id="3" w:name="DistributionDate"/>
            <w:r>
              <w:t>24</w:t>
            </w:r>
            <w:r w:rsidR="00EF26B3">
              <w:t> </w:t>
            </w:r>
            <w:r>
              <w:t xml:space="preserve">novembre 2025 </w:t>
            </w:r>
            <w:bookmarkEnd w:id="3"/>
            <w:r w:rsidRPr="007C5C0A">
              <w:t xml:space="preserve"> </w:t>
            </w:r>
          </w:p>
          <w:p w14:paraId="331D79D3" w14:textId="493595DD" w:rsidR="007C5C0A" w:rsidRPr="007C5C0A" w:rsidRDefault="007C5C0A" w:rsidP="007C5C0A">
            <w:pPr>
              <w:pStyle w:val="AText"/>
            </w:pPr>
            <w:bookmarkStart w:id="4" w:name="DistributionLang"/>
            <w:r w:rsidRPr="007C5C0A">
              <w:t xml:space="preserve">Français </w:t>
            </w:r>
            <w:r w:rsidRPr="007C5C0A">
              <w:br/>
              <w:t>Original</w:t>
            </w:r>
            <w:r w:rsidR="001E0E56">
              <w:t> </w:t>
            </w:r>
            <w:r w:rsidRPr="007C5C0A">
              <w:t>: anglais</w:t>
            </w:r>
            <w:bookmarkEnd w:id="4"/>
          </w:p>
        </w:tc>
      </w:tr>
    </w:tbl>
    <w:p w14:paraId="53C31C94" w14:textId="77777777" w:rsidR="007C5C0A" w:rsidRPr="007C5C0A" w:rsidRDefault="007C5C0A" w:rsidP="007C5C0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C5C0A" w:rsidRPr="007C5C0A" w14:paraId="24B48497" w14:textId="77777777" w:rsidTr="007C5C0A">
        <w:trPr>
          <w:trHeight w:val="57"/>
        </w:trPr>
        <w:tc>
          <w:tcPr>
            <w:tcW w:w="5301" w:type="dxa"/>
          </w:tcPr>
          <w:p w14:paraId="3EA68BF2" w14:textId="77777777" w:rsidR="007C5C0A" w:rsidRPr="007C5C0A" w:rsidRDefault="007C5C0A" w:rsidP="007C5C0A">
            <w:pPr>
              <w:pStyle w:val="AATitle"/>
            </w:pPr>
            <w:bookmarkStart w:id="5" w:name="CorNot1Text"/>
            <w:r w:rsidRPr="007C5C0A">
              <w:t xml:space="preserve">Conférence des Parties à la Convention de </w:t>
            </w:r>
            <w:r w:rsidRPr="007C5C0A">
              <w:br/>
              <w:t xml:space="preserve">Minamata sur le mercure </w:t>
            </w:r>
          </w:p>
          <w:p w14:paraId="0374756F" w14:textId="158E07FB" w:rsidR="007C5C0A" w:rsidRPr="007C5C0A" w:rsidRDefault="007C5C0A" w:rsidP="007C5C0A">
            <w:pPr>
              <w:pStyle w:val="AATitle"/>
            </w:pPr>
            <w:r w:rsidRPr="007C5C0A">
              <w:t>Sixième réunion</w:t>
            </w:r>
            <w:bookmarkEnd w:id="5"/>
            <w:r w:rsidRPr="007C5C0A">
              <w:t xml:space="preserve"> </w:t>
            </w:r>
          </w:p>
          <w:p w14:paraId="246AF79A" w14:textId="37ADDB5B" w:rsidR="007C5C0A" w:rsidRPr="007C5C0A" w:rsidRDefault="007C5C0A" w:rsidP="007C5C0A">
            <w:pPr>
              <w:pStyle w:val="AATitle1"/>
            </w:pPr>
            <w:bookmarkStart w:id="6" w:name="CorNot1VenueDate"/>
            <w:r w:rsidRPr="007C5C0A">
              <w:t>Genève, 3-7 novembre 2025</w:t>
            </w:r>
            <w:bookmarkEnd w:id="6"/>
            <w:r w:rsidRPr="007C5C0A">
              <w:t xml:space="preserve">  </w:t>
            </w:r>
          </w:p>
        </w:tc>
        <w:tc>
          <w:tcPr>
            <w:tcW w:w="4195" w:type="dxa"/>
          </w:tcPr>
          <w:p w14:paraId="36A9A1E4" w14:textId="77777777" w:rsidR="007C5C0A" w:rsidRPr="007C5C0A" w:rsidRDefault="007C5C0A" w:rsidP="007C5C0A">
            <w:pPr>
              <w:pStyle w:val="Normal-pool"/>
            </w:pPr>
          </w:p>
        </w:tc>
      </w:tr>
    </w:tbl>
    <w:p w14:paraId="3B1BC5D4" w14:textId="080B659F" w:rsidR="007A5982" w:rsidRPr="007C5C0A" w:rsidRDefault="007A5982" w:rsidP="007C5C0A">
      <w:pPr>
        <w:pStyle w:val="BBTitle"/>
        <w:tabs>
          <w:tab w:val="left" w:pos="4990"/>
        </w:tabs>
      </w:pPr>
      <w:r w:rsidRPr="007C5C0A">
        <w:rPr>
          <w:bCs/>
        </w:rPr>
        <w:t xml:space="preserve">Décisions adoptées par la </w:t>
      </w:r>
      <w:r w:rsidRPr="005C5ACC">
        <w:rPr>
          <w:rFonts w:eastAsia="Times New Roman"/>
          <w:lang w:eastAsia="en-US"/>
        </w:rPr>
        <w:t>Conférence</w:t>
      </w:r>
      <w:r w:rsidRPr="007C5C0A">
        <w:rPr>
          <w:bCs/>
        </w:rPr>
        <w:t xml:space="preserve"> des Parties à</w:t>
      </w:r>
      <w:r w:rsidR="00EE34FC" w:rsidRPr="007C5C0A">
        <w:rPr>
          <w:bCs/>
        </w:rPr>
        <w:t> </w:t>
      </w:r>
      <w:r w:rsidRPr="007C5C0A">
        <w:rPr>
          <w:bCs/>
        </w:rPr>
        <w:t>la</w:t>
      </w:r>
      <w:r w:rsidR="00EE34FC" w:rsidRPr="007C5C0A">
        <w:rPr>
          <w:bCs/>
        </w:rPr>
        <w:t> </w:t>
      </w:r>
      <w:r w:rsidRPr="007C5C0A">
        <w:rPr>
          <w:bCs/>
        </w:rPr>
        <w:t>Convention de Minamata sur le mercure à</w:t>
      </w:r>
      <w:r w:rsidR="00EE34FC" w:rsidRPr="007C5C0A">
        <w:rPr>
          <w:bCs/>
        </w:rPr>
        <w:t> </w:t>
      </w:r>
      <w:r w:rsidRPr="007C5C0A">
        <w:rPr>
          <w:bCs/>
        </w:rPr>
        <w:t>sa</w:t>
      </w:r>
      <w:r w:rsidR="00EE34FC" w:rsidRPr="007C5C0A">
        <w:rPr>
          <w:bCs/>
        </w:rPr>
        <w:t> </w:t>
      </w:r>
      <w:r w:rsidRPr="007C5C0A">
        <w:rPr>
          <w:bCs/>
        </w:rPr>
        <w:t>sixième</w:t>
      </w:r>
      <w:r w:rsidR="00EE34FC" w:rsidRPr="007C5C0A">
        <w:rPr>
          <w:bCs/>
        </w:rPr>
        <w:t> </w:t>
      </w:r>
      <w:r w:rsidRPr="007C5C0A">
        <w:rPr>
          <w:bCs/>
        </w:rPr>
        <w:t>réunion</w:t>
      </w:r>
    </w:p>
    <w:p w14:paraId="3381279D" w14:textId="05662CE6" w:rsidR="007A5982" w:rsidRPr="007C5C0A" w:rsidRDefault="007A5982" w:rsidP="007A5982">
      <w:pPr>
        <w:pStyle w:val="CH2"/>
        <w:rPr>
          <w:rFonts w:asciiTheme="majorBidi" w:hAnsiTheme="majorBidi" w:cstheme="majorBidi"/>
        </w:rPr>
      </w:pPr>
      <w:r w:rsidRPr="007C5C0A">
        <w:tab/>
      </w:r>
      <w:r w:rsidRPr="007C5C0A">
        <w:tab/>
      </w:r>
      <w:r w:rsidRPr="007C5C0A">
        <w:rPr>
          <w:bCs/>
        </w:rPr>
        <w:t>Décision MC-6/3</w:t>
      </w:r>
      <w:r w:rsidR="00EE34FC" w:rsidRPr="007C5C0A">
        <w:rPr>
          <w:bCs/>
        </w:rPr>
        <w:t> </w:t>
      </w:r>
      <w:r w:rsidRPr="007C5C0A">
        <w:rPr>
          <w:bCs/>
        </w:rPr>
        <w:t>: Amendements à l</w:t>
      </w:r>
      <w:r w:rsidR="00012A36">
        <w:rPr>
          <w:bCs/>
        </w:rPr>
        <w:t>’</w:t>
      </w:r>
      <w:r w:rsidRPr="007C5C0A">
        <w:rPr>
          <w:bCs/>
        </w:rPr>
        <w:t>Annexe A</w:t>
      </w:r>
      <w:r w:rsidRPr="007C5C0A">
        <w:t xml:space="preserve"> </w:t>
      </w:r>
      <w:bookmarkStart w:id="7" w:name="_Toc213853060"/>
      <w:bookmarkEnd w:id="7"/>
    </w:p>
    <w:p w14:paraId="7CD98474" w14:textId="77777777" w:rsidR="007A5982" w:rsidRPr="007C5C0A" w:rsidRDefault="007A5982" w:rsidP="00795EA9">
      <w:pPr>
        <w:pStyle w:val="NormalNonumber"/>
        <w:tabs>
          <w:tab w:val="clear" w:pos="1247"/>
          <w:tab w:val="clear" w:pos="1871"/>
          <w:tab w:val="clear" w:pos="2495"/>
          <w:tab w:val="clear" w:pos="3119"/>
          <w:tab w:val="clear" w:pos="3742"/>
          <w:tab w:val="clear" w:pos="4366"/>
        </w:tabs>
        <w:ind w:firstLine="624"/>
        <w:rPr>
          <w:i/>
          <w:iCs/>
        </w:rPr>
      </w:pPr>
      <w:r w:rsidRPr="007C5C0A">
        <w:rPr>
          <w:i/>
          <w:iCs/>
        </w:rPr>
        <w:t>La Conférence des Parties</w:t>
      </w:r>
      <w:r w:rsidRPr="007C5C0A">
        <w:t>,</w:t>
      </w:r>
    </w:p>
    <w:p w14:paraId="3FBB4EDA" w14:textId="7DD69217" w:rsidR="007A5982" w:rsidRPr="007C5C0A" w:rsidRDefault="007A5982" w:rsidP="00795EA9">
      <w:pPr>
        <w:pStyle w:val="NormalNonumber"/>
        <w:tabs>
          <w:tab w:val="clear" w:pos="1247"/>
          <w:tab w:val="clear" w:pos="1871"/>
          <w:tab w:val="clear" w:pos="2495"/>
          <w:tab w:val="clear" w:pos="3119"/>
          <w:tab w:val="clear" w:pos="3742"/>
          <w:tab w:val="clear" w:pos="4366"/>
        </w:tabs>
        <w:ind w:firstLine="624"/>
        <w:rPr>
          <w:rFonts w:asciiTheme="majorBidi" w:hAnsiTheme="majorBidi" w:cstheme="majorBidi"/>
        </w:rPr>
      </w:pPr>
      <w:r w:rsidRPr="007C5C0A">
        <w:rPr>
          <w:i/>
          <w:iCs/>
        </w:rPr>
        <w:t>Ayant examiné</w:t>
      </w:r>
      <w:r w:rsidRPr="007C5C0A">
        <w:t xml:space="preserve"> la proposition d</w:t>
      </w:r>
      <w:r w:rsidR="00012A36">
        <w:t>’</w:t>
      </w:r>
      <w:r w:rsidRPr="007C5C0A">
        <w:t>amendement de l</w:t>
      </w:r>
      <w:r w:rsidR="00012A36">
        <w:t>’</w:t>
      </w:r>
      <w:r w:rsidRPr="007C5C0A">
        <w:t>Annexe A de la Convention de Minamata sur le mercure, qui figure dans le document UNEP/MC/COP.6/6,</w:t>
      </w:r>
    </w:p>
    <w:p w14:paraId="0FCCCCA7" w14:textId="7183F21F" w:rsidR="007A5982" w:rsidRPr="007C5C0A" w:rsidRDefault="007A5982" w:rsidP="007C5C0A">
      <w:pPr>
        <w:pStyle w:val="NormalNonumber"/>
        <w:numPr>
          <w:ilvl w:val="0"/>
          <w:numId w:val="24"/>
        </w:numPr>
        <w:tabs>
          <w:tab w:val="clear" w:pos="1247"/>
          <w:tab w:val="clear" w:pos="1871"/>
          <w:tab w:val="clear" w:pos="2495"/>
          <w:tab w:val="clear" w:pos="3119"/>
          <w:tab w:val="clear" w:pos="3742"/>
          <w:tab w:val="clear" w:pos="4366"/>
        </w:tabs>
        <w:ind w:left="1247" w:firstLine="624"/>
      </w:pPr>
      <w:r w:rsidRPr="007C5C0A">
        <w:rPr>
          <w:i/>
          <w:iCs/>
        </w:rPr>
        <w:t xml:space="preserve">Décide </w:t>
      </w:r>
      <w:r w:rsidRPr="007C5C0A">
        <w:t>d</w:t>
      </w:r>
      <w:r w:rsidR="00012A36">
        <w:t>’</w:t>
      </w:r>
      <w:r w:rsidRPr="007C5C0A">
        <w:t>amender la première partie de l</w:t>
      </w:r>
      <w:r w:rsidR="00012A36">
        <w:t>’</w:t>
      </w:r>
      <w:r w:rsidRPr="007C5C0A">
        <w:t>Annexe A de la Convention comme indiqué dans le tableau suivant</w:t>
      </w:r>
      <w:r w:rsidRPr="007C5C0A">
        <w:rPr>
          <w:vertAlign w:val="superscript"/>
        </w:rPr>
        <w:footnoteReference w:id="2"/>
      </w:r>
      <w:r w:rsidRPr="007C5C0A">
        <w:t> :</w:t>
      </w:r>
    </w:p>
    <w:tbl>
      <w:tblPr>
        <w:tblStyle w:val="TableGrid10"/>
        <w:tblW w:w="93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4"/>
        <w:gridCol w:w="2598"/>
      </w:tblGrid>
      <w:tr w:rsidR="00E126C8" w:rsidRPr="007C5C0A" w14:paraId="14BCB6ED" w14:textId="77777777" w:rsidTr="00012A36">
        <w:trPr>
          <w:trHeight w:val="57"/>
          <w:tblHeader/>
          <w:jc w:val="right"/>
        </w:trPr>
        <w:tc>
          <w:tcPr>
            <w:tcW w:w="6704" w:type="dxa"/>
            <w:vAlign w:val="bottom"/>
          </w:tcPr>
          <w:p w14:paraId="76445838" w14:textId="77777777" w:rsidR="00E126C8" w:rsidRPr="00541185" w:rsidRDefault="00E126C8" w:rsidP="00FD4EE0">
            <w:pPr>
              <w:spacing w:before="40" w:after="40"/>
              <w:rPr>
                <w:i/>
                <w:iCs/>
                <w:sz w:val="18"/>
                <w:szCs w:val="18"/>
              </w:rPr>
            </w:pPr>
            <w:r w:rsidRPr="00541185">
              <w:rPr>
                <w:i/>
                <w:iCs/>
                <w:color w:val="000000"/>
                <w:sz w:val="18"/>
                <w:szCs w:val="18"/>
              </w:rPr>
              <w:t>Produits contenant du mercure ajouté</w:t>
            </w:r>
          </w:p>
        </w:tc>
        <w:tc>
          <w:tcPr>
            <w:tcW w:w="2598" w:type="dxa"/>
            <w:vAlign w:val="bottom"/>
          </w:tcPr>
          <w:p w14:paraId="36F94AF0" w14:textId="5FF18A89" w:rsidR="00E126C8" w:rsidRPr="00541185" w:rsidRDefault="00E126C8" w:rsidP="00FD4EE0">
            <w:pPr>
              <w:spacing w:before="40" w:after="40"/>
              <w:rPr>
                <w:i/>
                <w:iCs/>
                <w:sz w:val="18"/>
                <w:szCs w:val="18"/>
              </w:rPr>
            </w:pPr>
            <w:r w:rsidRPr="00541185">
              <w:rPr>
                <w:i/>
                <w:iCs/>
                <w:color w:val="000000"/>
                <w:sz w:val="18"/>
                <w:szCs w:val="18"/>
              </w:rPr>
              <w:t>Date à compter de laquelle la production, l</w:t>
            </w:r>
            <w:r w:rsidR="00012A36" w:rsidRPr="00541185">
              <w:rPr>
                <w:i/>
                <w:iCs/>
                <w:color w:val="000000"/>
                <w:sz w:val="18"/>
                <w:szCs w:val="18"/>
              </w:rPr>
              <w:t>’</w:t>
            </w:r>
            <w:r w:rsidRPr="00541185">
              <w:rPr>
                <w:i/>
                <w:iCs/>
                <w:color w:val="000000"/>
                <w:sz w:val="18"/>
                <w:szCs w:val="18"/>
              </w:rPr>
              <w:t>importation ou l</w:t>
            </w:r>
            <w:r w:rsidR="00012A36" w:rsidRPr="00541185">
              <w:rPr>
                <w:i/>
                <w:iCs/>
                <w:color w:val="000000"/>
                <w:sz w:val="18"/>
                <w:szCs w:val="18"/>
              </w:rPr>
              <w:t>’</w:t>
            </w:r>
            <w:r w:rsidRPr="00541185">
              <w:rPr>
                <w:i/>
                <w:iCs/>
                <w:color w:val="000000"/>
                <w:sz w:val="18"/>
                <w:szCs w:val="18"/>
              </w:rPr>
              <w:t>exportation du produit n</w:t>
            </w:r>
            <w:r w:rsidR="00012A36" w:rsidRPr="00541185">
              <w:rPr>
                <w:i/>
                <w:iCs/>
                <w:color w:val="000000"/>
                <w:sz w:val="18"/>
                <w:szCs w:val="18"/>
              </w:rPr>
              <w:t>’</w:t>
            </w:r>
            <w:r w:rsidRPr="00541185">
              <w:rPr>
                <w:i/>
                <w:iCs/>
                <w:color w:val="000000"/>
                <w:sz w:val="18"/>
                <w:szCs w:val="18"/>
              </w:rPr>
              <w:t>est plus autorisée (date d</w:t>
            </w:r>
            <w:r w:rsidR="00012A36" w:rsidRPr="00541185">
              <w:rPr>
                <w:i/>
                <w:iCs/>
                <w:color w:val="000000"/>
                <w:sz w:val="18"/>
                <w:szCs w:val="18"/>
              </w:rPr>
              <w:t>’</w:t>
            </w:r>
            <w:r w:rsidRPr="00541185">
              <w:rPr>
                <w:i/>
                <w:iCs/>
                <w:color w:val="000000"/>
                <w:sz w:val="18"/>
                <w:szCs w:val="18"/>
              </w:rPr>
              <w:t>abandon définitif)</w:t>
            </w:r>
          </w:p>
        </w:tc>
      </w:tr>
      <w:tr w:rsidR="00E126C8" w:rsidRPr="007C5C0A" w14:paraId="37FF7D48" w14:textId="77777777" w:rsidTr="00012A36">
        <w:trPr>
          <w:trHeight w:val="57"/>
          <w:jc w:val="right"/>
        </w:trPr>
        <w:tc>
          <w:tcPr>
            <w:tcW w:w="6704" w:type="dxa"/>
          </w:tcPr>
          <w:p w14:paraId="26C25E7E" w14:textId="19319704" w:rsidR="00E126C8" w:rsidRPr="00541185" w:rsidRDefault="00E126C8" w:rsidP="00FD4EE0">
            <w:pPr>
              <w:spacing w:before="40" w:after="40"/>
              <w:rPr>
                <w:sz w:val="18"/>
                <w:szCs w:val="18"/>
              </w:rPr>
            </w:pPr>
            <w:r w:rsidRPr="00541185">
              <w:rPr>
                <w:color w:val="000000"/>
                <w:sz w:val="18"/>
                <w:szCs w:val="18"/>
              </w:rPr>
              <w:t>Piles, à l</w:t>
            </w:r>
            <w:r w:rsidR="00012A36" w:rsidRPr="00541185">
              <w:rPr>
                <w:color w:val="000000"/>
                <w:sz w:val="18"/>
                <w:szCs w:val="18"/>
              </w:rPr>
              <w:t>’</w:t>
            </w:r>
            <w:r w:rsidRPr="00541185">
              <w:rPr>
                <w:color w:val="000000"/>
                <w:sz w:val="18"/>
                <w:szCs w:val="18"/>
              </w:rPr>
              <w:t>exception des piles boutons zinc-oxyde d</w:t>
            </w:r>
            <w:r w:rsidR="00012A36" w:rsidRPr="00541185">
              <w:rPr>
                <w:color w:val="000000"/>
                <w:sz w:val="18"/>
                <w:szCs w:val="18"/>
              </w:rPr>
              <w:t>’</w:t>
            </w:r>
            <w:r w:rsidRPr="00541185">
              <w:rPr>
                <w:color w:val="000000"/>
                <w:sz w:val="18"/>
                <w:szCs w:val="18"/>
              </w:rPr>
              <w:t>argent et zinc-air à teneur en mercure &lt; 2 %</w:t>
            </w:r>
          </w:p>
        </w:tc>
        <w:tc>
          <w:tcPr>
            <w:tcW w:w="2598" w:type="dxa"/>
          </w:tcPr>
          <w:p w14:paraId="09AFCAB0"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1A903BF7" w14:textId="77777777" w:rsidTr="00012A36">
        <w:trPr>
          <w:trHeight w:val="57"/>
          <w:jc w:val="right"/>
        </w:trPr>
        <w:tc>
          <w:tcPr>
            <w:tcW w:w="6704" w:type="dxa"/>
          </w:tcPr>
          <w:p w14:paraId="5F760799" w14:textId="752DAD56" w:rsidR="00E126C8" w:rsidRPr="00541185" w:rsidRDefault="00E126C8" w:rsidP="00FD4EE0">
            <w:pPr>
              <w:spacing w:before="40" w:after="40"/>
              <w:rPr>
                <w:sz w:val="18"/>
                <w:szCs w:val="18"/>
              </w:rPr>
            </w:pPr>
            <w:r w:rsidRPr="00541185">
              <w:rPr>
                <w:color w:val="000000"/>
                <w:sz w:val="18"/>
                <w:szCs w:val="18"/>
              </w:rPr>
              <w:t>Piles boutons zinc-oxyde d</w:t>
            </w:r>
            <w:r w:rsidR="00012A36" w:rsidRPr="00541185">
              <w:rPr>
                <w:color w:val="000000"/>
                <w:sz w:val="18"/>
                <w:szCs w:val="18"/>
              </w:rPr>
              <w:t>’</w:t>
            </w:r>
            <w:r w:rsidRPr="00541185">
              <w:rPr>
                <w:color w:val="000000"/>
                <w:sz w:val="18"/>
                <w:szCs w:val="18"/>
              </w:rPr>
              <w:t>argent à teneur en mercure &lt; 2</w:t>
            </w:r>
            <w:r w:rsidR="006B4617" w:rsidRPr="00541185">
              <w:rPr>
                <w:color w:val="000000"/>
                <w:sz w:val="18"/>
                <w:szCs w:val="18"/>
              </w:rPr>
              <w:t> </w:t>
            </w:r>
            <w:r w:rsidRPr="00541185">
              <w:rPr>
                <w:color w:val="000000"/>
                <w:sz w:val="18"/>
                <w:szCs w:val="18"/>
              </w:rPr>
              <w:t>% et piles boutons zinc-air à teneur en mercure &lt; 2</w:t>
            </w:r>
            <w:r w:rsidR="006B4617" w:rsidRPr="00541185">
              <w:rPr>
                <w:color w:val="000000"/>
                <w:sz w:val="18"/>
                <w:szCs w:val="18"/>
              </w:rPr>
              <w:t> </w:t>
            </w:r>
            <w:r w:rsidRPr="00541185">
              <w:rPr>
                <w:color w:val="000000"/>
                <w:sz w:val="18"/>
                <w:szCs w:val="18"/>
              </w:rPr>
              <w:t>%</w:t>
            </w:r>
          </w:p>
        </w:tc>
        <w:tc>
          <w:tcPr>
            <w:tcW w:w="2598" w:type="dxa"/>
          </w:tcPr>
          <w:p w14:paraId="4E0E6D9F"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26C06FD1" w14:textId="77777777" w:rsidTr="00012A36">
        <w:trPr>
          <w:trHeight w:val="57"/>
          <w:jc w:val="right"/>
        </w:trPr>
        <w:tc>
          <w:tcPr>
            <w:tcW w:w="6704" w:type="dxa"/>
          </w:tcPr>
          <w:p w14:paraId="2A5925FC" w14:textId="18A1E998" w:rsidR="00E126C8" w:rsidRPr="00541185" w:rsidRDefault="00E126C8" w:rsidP="00FD4EE0">
            <w:pPr>
              <w:spacing w:before="40" w:after="40"/>
              <w:rPr>
                <w:sz w:val="18"/>
                <w:szCs w:val="18"/>
              </w:rPr>
            </w:pPr>
            <w:r w:rsidRPr="00541185">
              <w:rPr>
                <w:color w:val="000000"/>
                <w:sz w:val="18"/>
                <w:szCs w:val="18"/>
              </w:rPr>
              <w:t>Commutateurs et relais, à l</w:t>
            </w:r>
            <w:r w:rsidR="00012A36" w:rsidRPr="00541185">
              <w:rPr>
                <w:color w:val="000000"/>
                <w:sz w:val="18"/>
                <w:szCs w:val="18"/>
              </w:rPr>
              <w:t>’</w:t>
            </w:r>
            <w:r w:rsidRPr="00541185">
              <w:rPr>
                <w:color w:val="000000"/>
                <w:sz w:val="18"/>
                <w:szCs w:val="18"/>
              </w:rPr>
              <w:t>exception des ponts de mesure de capacité et de perte à très haute précision et des commutateurs et relais radio haute fréquence pour instruments de surveillance et de contrôle possédant une teneur maximale en mercure de 20 mg par pont, commutateur ou relais</w:t>
            </w:r>
          </w:p>
        </w:tc>
        <w:tc>
          <w:tcPr>
            <w:tcW w:w="2598" w:type="dxa"/>
          </w:tcPr>
          <w:p w14:paraId="3912F151"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1DC6775B" w14:textId="77777777" w:rsidTr="00012A36">
        <w:trPr>
          <w:trHeight w:val="57"/>
          <w:jc w:val="right"/>
        </w:trPr>
        <w:tc>
          <w:tcPr>
            <w:tcW w:w="6704" w:type="dxa"/>
          </w:tcPr>
          <w:p w14:paraId="3F8E7207" w14:textId="73937297" w:rsidR="00E126C8" w:rsidRPr="00541185" w:rsidRDefault="00E126C8" w:rsidP="00FD4EE0">
            <w:pPr>
              <w:spacing w:before="40" w:after="40"/>
              <w:rPr>
                <w:sz w:val="18"/>
                <w:szCs w:val="18"/>
              </w:rPr>
            </w:pPr>
            <w:r w:rsidRPr="00541185">
              <w:rPr>
                <w:color w:val="000000"/>
                <w:sz w:val="18"/>
                <w:szCs w:val="18"/>
              </w:rPr>
              <w:t>Ponts de mesure de capacité et de perte à très haute précision et commutateurs et relais radio haute fréquence pour instruments de surveillance et de contrôle possédant une teneur maximale en mercure de 20 mg par pont, commutateur ou relais, à l</w:t>
            </w:r>
            <w:r w:rsidR="00012A36" w:rsidRPr="00541185">
              <w:rPr>
                <w:color w:val="000000"/>
                <w:sz w:val="18"/>
                <w:szCs w:val="18"/>
              </w:rPr>
              <w:t>’</w:t>
            </w:r>
            <w:r w:rsidRPr="00541185">
              <w:rPr>
                <w:color w:val="000000"/>
                <w:sz w:val="18"/>
                <w:szCs w:val="18"/>
              </w:rPr>
              <w:t>exception de ceux utilisés à des fins de recherche et développement</w:t>
            </w:r>
          </w:p>
        </w:tc>
        <w:tc>
          <w:tcPr>
            <w:tcW w:w="2598" w:type="dxa"/>
          </w:tcPr>
          <w:p w14:paraId="56B94CDC"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32AED25D" w14:textId="77777777" w:rsidTr="00012A36">
        <w:trPr>
          <w:trHeight w:val="57"/>
          <w:jc w:val="right"/>
        </w:trPr>
        <w:tc>
          <w:tcPr>
            <w:tcW w:w="6704" w:type="dxa"/>
          </w:tcPr>
          <w:p w14:paraId="61DD92F5" w14:textId="503E19E3" w:rsidR="00E126C8" w:rsidRPr="00541185" w:rsidRDefault="00E126C8" w:rsidP="00FD4EE0">
            <w:pPr>
              <w:spacing w:before="40" w:after="40"/>
              <w:rPr>
                <w:sz w:val="18"/>
                <w:szCs w:val="18"/>
              </w:rPr>
            </w:pPr>
            <w:r w:rsidRPr="00541185">
              <w:rPr>
                <w:color w:val="000000"/>
                <w:sz w:val="18"/>
                <w:szCs w:val="18"/>
              </w:rPr>
              <w:t>Lampes fluorescentes compactes d</w:t>
            </w:r>
            <w:r w:rsidR="00012A36" w:rsidRPr="00541185">
              <w:rPr>
                <w:color w:val="000000"/>
                <w:sz w:val="18"/>
                <w:szCs w:val="18"/>
              </w:rPr>
              <w:t>’</w:t>
            </w:r>
            <w:r w:rsidRPr="00541185">
              <w:rPr>
                <w:color w:val="000000"/>
                <w:sz w:val="18"/>
                <w:szCs w:val="18"/>
              </w:rPr>
              <w:t>éclairage ordinaire d</w:t>
            </w:r>
            <w:r w:rsidR="00012A36" w:rsidRPr="00541185">
              <w:rPr>
                <w:color w:val="000000"/>
                <w:sz w:val="18"/>
                <w:szCs w:val="18"/>
              </w:rPr>
              <w:t>’</w:t>
            </w:r>
            <w:r w:rsidRPr="00541185">
              <w:rPr>
                <w:color w:val="000000"/>
                <w:sz w:val="18"/>
                <w:szCs w:val="18"/>
              </w:rPr>
              <w:t>une puissance ≤ 30 W à teneur en mercure supérieure à 5</w:t>
            </w:r>
            <w:r w:rsidR="007C5C0A" w:rsidRPr="00541185">
              <w:rPr>
                <w:color w:val="000000"/>
                <w:sz w:val="18"/>
                <w:szCs w:val="18"/>
              </w:rPr>
              <w:t> </w:t>
            </w:r>
            <w:r w:rsidRPr="00541185">
              <w:rPr>
                <w:color w:val="000000"/>
                <w:sz w:val="18"/>
                <w:szCs w:val="18"/>
              </w:rPr>
              <w:t>mg par bec de lampe</w:t>
            </w:r>
          </w:p>
        </w:tc>
        <w:tc>
          <w:tcPr>
            <w:tcW w:w="2598" w:type="dxa"/>
          </w:tcPr>
          <w:p w14:paraId="0C5BA3FD"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42114436" w14:textId="77777777" w:rsidTr="00012A36">
        <w:trPr>
          <w:trHeight w:val="57"/>
          <w:jc w:val="right"/>
        </w:trPr>
        <w:tc>
          <w:tcPr>
            <w:tcW w:w="6704" w:type="dxa"/>
          </w:tcPr>
          <w:p w14:paraId="77C90F20" w14:textId="50FEF012" w:rsidR="00E126C8" w:rsidRPr="00541185" w:rsidRDefault="00E126C8" w:rsidP="00FD4EE0">
            <w:pPr>
              <w:spacing w:before="40" w:after="40"/>
              <w:rPr>
                <w:sz w:val="18"/>
                <w:szCs w:val="18"/>
              </w:rPr>
            </w:pPr>
            <w:r w:rsidRPr="00541185">
              <w:rPr>
                <w:color w:val="000000"/>
                <w:sz w:val="18"/>
                <w:szCs w:val="18"/>
              </w:rPr>
              <w:t>Lampes fluorescentes compactes d</w:t>
            </w:r>
            <w:r w:rsidR="00012A36" w:rsidRPr="00541185">
              <w:rPr>
                <w:color w:val="000000"/>
                <w:sz w:val="18"/>
                <w:szCs w:val="18"/>
              </w:rPr>
              <w:t>’</w:t>
            </w:r>
            <w:r w:rsidRPr="00541185">
              <w:rPr>
                <w:color w:val="000000"/>
                <w:sz w:val="18"/>
                <w:szCs w:val="18"/>
              </w:rPr>
              <w:t>éclairage ordinaire d</w:t>
            </w:r>
            <w:r w:rsidR="00012A36" w:rsidRPr="00541185">
              <w:rPr>
                <w:color w:val="000000"/>
                <w:sz w:val="18"/>
                <w:szCs w:val="18"/>
              </w:rPr>
              <w:t>’</w:t>
            </w:r>
            <w:r w:rsidRPr="00541185">
              <w:rPr>
                <w:color w:val="000000"/>
                <w:sz w:val="18"/>
                <w:szCs w:val="18"/>
              </w:rPr>
              <w:t>une puissance &gt; 30 W</w:t>
            </w:r>
          </w:p>
        </w:tc>
        <w:tc>
          <w:tcPr>
            <w:tcW w:w="2598" w:type="dxa"/>
          </w:tcPr>
          <w:p w14:paraId="77563A8E" w14:textId="77777777" w:rsidR="00E126C8" w:rsidRPr="00541185" w:rsidRDefault="00E126C8" w:rsidP="00FD4EE0">
            <w:pPr>
              <w:spacing w:before="40" w:after="40"/>
              <w:rPr>
                <w:sz w:val="18"/>
                <w:szCs w:val="18"/>
              </w:rPr>
            </w:pPr>
            <w:r w:rsidRPr="00541185">
              <w:rPr>
                <w:color w:val="000000"/>
                <w:sz w:val="18"/>
                <w:szCs w:val="18"/>
              </w:rPr>
              <w:t>2026</w:t>
            </w:r>
          </w:p>
        </w:tc>
      </w:tr>
      <w:tr w:rsidR="00E126C8" w:rsidRPr="007C5C0A" w14:paraId="6093FC0A" w14:textId="77777777" w:rsidTr="00012A36">
        <w:trPr>
          <w:trHeight w:val="57"/>
          <w:jc w:val="right"/>
        </w:trPr>
        <w:tc>
          <w:tcPr>
            <w:tcW w:w="6704" w:type="dxa"/>
          </w:tcPr>
          <w:p w14:paraId="2B729161" w14:textId="51576AD9" w:rsidR="00E126C8" w:rsidRPr="00541185" w:rsidRDefault="00E126C8" w:rsidP="00FD4EE0">
            <w:pPr>
              <w:spacing w:before="40" w:after="40"/>
              <w:rPr>
                <w:sz w:val="18"/>
                <w:szCs w:val="18"/>
              </w:rPr>
            </w:pPr>
            <w:r w:rsidRPr="00541185">
              <w:rPr>
                <w:color w:val="000000"/>
                <w:sz w:val="18"/>
                <w:szCs w:val="18"/>
              </w:rPr>
              <w:t>Lampes fluorescentes compactes à ballast intégré d</w:t>
            </w:r>
            <w:r w:rsidR="00012A36" w:rsidRPr="00541185">
              <w:rPr>
                <w:color w:val="000000"/>
                <w:sz w:val="18"/>
                <w:szCs w:val="18"/>
              </w:rPr>
              <w:t>’</w:t>
            </w:r>
            <w:r w:rsidRPr="00541185">
              <w:rPr>
                <w:color w:val="000000"/>
                <w:sz w:val="18"/>
                <w:szCs w:val="18"/>
              </w:rPr>
              <w:t>éclairage ordinaire d</w:t>
            </w:r>
            <w:r w:rsidR="00012A36" w:rsidRPr="00541185">
              <w:rPr>
                <w:color w:val="000000"/>
                <w:sz w:val="18"/>
                <w:szCs w:val="18"/>
              </w:rPr>
              <w:t>’</w:t>
            </w:r>
            <w:r w:rsidRPr="00541185">
              <w:rPr>
                <w:color w:val="000000"/>
                <w:sz w:val="18"/>
                <w:szCs w:val="18"/>
              </w:rPr>
              <w:t>une puissance ≤</w:t>
            </w:r>
            <w:r w:rsidR="0017793C">
              <w:rPr>
                <w:color w:val="000000"/>
                <w:sz w:val="18"/>
                <w:szCs w:val="18"/>
              </w:rPr>
              <w:t> </w:t>
            </w:r>
            <w:r w:rsidRPr="00541185">
              <w:rPr>
                <w:color w:val="000000"/>
                <w:sz w:val="18"/>
                <w:szCs w:val="18"/>
              </w:rPr>
              <w:t>30</w:t>
            </w:r>
            <w:r w:rsidR="00066237" w:rsidRPr="00541185">
              <w:rPr>
                <w:color w:val="000000"/>
                <w:sz w:val="18"/>
                <w:szCs w:val="18"/>
              </w:rPr>
              <w:t> </w:t>
            </w:r>
            <w:r w:rsidRPr="00541185">
              <w:rPr>
                <w:color w:val="000000"/>
                <w:sz w:val="18"/>
                <w:szCs w:val="18"/>
              </w:rPr>
              <w:t>W dont la teneur en mercure ne dépasse pas 5</w:t>
            </w:r>
            <w:r w:rsidR="00066237" w:rsidRPr="00541185">
              <w:rPr>
                <w:color w:val="000000"/>
                <w:sz w:val="18"/>
                <w:szCs w:val="18"/>
              </w:rPr>
              <w:t> </w:t>
            </w:r>
            <w:r w:rsidRPr="00541185">
              <w:rPr>
                <w:color w:val="000000"/>
                <w:sz w:val="18"/>
                <w:szCs w:val="18"/>
              </w:rPr>
              <w:t>mg par bec de lampe</w:t>
            </w:r>
          </w:p>
        </w:tc>
        <w:tc>
          <w:tcPr>
            <w:tcW w:w="2598" w:type="dxa"/>
          </w:tcPr>
          <w:p w14:paraId="653FEDD5"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27790366" w14:textId="77777777" w:rsidTr="00012A36">
        <w:trPr>
          <w:trHeight w:val="57"/>
          <w:jc w:val="right"/>
        </w:trPr>
        <w:tc>
          <w:tcPr>
            <w:tcW w:w="6704" w:type="dxa"/>
          </w:tcPr>
          <w:p w14:paraId="2838E88C" w14:textId="65EC06DF" w:rsidR="00E126C8" w:rsidRPr="00541185" w:rsidRDefault="00E126C8" w:rsidP="00FD4EE0">
            <w:pPr>
              <w:spacing w:before="40" w:after="40"/>
              <w:rPr>
                <w:sz w:val="18"/>
                <w:szCs w:val="18"/>
              </w:rPr>
            </w:pPr>
            <w:r w:rsidRPr="00541185">
              <w:rPr>
                <w:color w:val="000000"/>
                <w:sz w:val="18"/>
                <w:szCs w:val="18"/>
              </w:rPr>
              <w:t>Lampes fluorescentes compactes à ballast non intégré d</w:t>
            </w:r>
            <w:r w:rsidR="00012A36" w:rsidRPr="00541185">
              <w:rPr>
                <w:color w:val="000000"/>
                <w:sz w:val="18"/>
                <w:szCs w:val="18"/>
              </w:rPr>
              <w:t>’</w:t>
            </w:r>
            <w:r w:rsidRPr="00541185">
              <w:rPr>
                <w:color w:val="000000"/>
                <w:sz w:val="18"/>
                <w:szCs w:val="18"/>
              </w:rPr>
              <w:t>éclairage ordinaire d</w:t>
            </w:r>
            <w:r w:rsidR="00012A36" w:rsidRPr="00541185">
              <w:rPr>
                <w:color w:val="000000"/>
                <w:sz w:val="18"/>
                <w:szCs w:val="18"/>
              </w:rPr>
              <w:t>’</w:t>
            </w:r>
            <w:r w:rsidRPr="00541185">
              <w:rPr>
                <w:color w:val="000000"/>
                <w:sz w:val="18"/>
                <w:szCs w:val="18"/>
              </w:rPr>
              <w:t>une puissance ≤ 30</w:t>
            </w:r>
            <w:r w:rsidR="00066237" w:rsidRPr="00541185">
              <w:rPr>
                <w:color w:val="000000"/>
                <w:sz w:val="18"/>
                <w:szCs w:val="18"/>
              </w:rPr>
              <w:t> </w:t>
            </w:r>
            <w:r w:rsidRPr="00541185">
              <w:rPr>
                <w:color w:val="000000"/>
                <w:sz w:val="18"/>
                <w:szCs w:val="18"/>
              </w:rPr>
              <w:t>W dont la teneur en mercure ne dépasse pas 5</w:t>
            </w:r>
            <w:r w:rsidR="00066237" w:rsidRPr="00541185">
              <w:rPr>
                <w:color w:val="000000"/>
                <w:sz w:val="18"/>
                <w:szCs w:val="18"/>
              </w:rPr>
              <w:t> </w:t>
            </w:r>
            <w:r w:rsidRPr="00541185">
              <w:rPr>
                <w:color w:val="000000"/>
                <w:sz w:val="18"/>
                <w:szCs w:val="18"/>
              </w:rPr>
              <w:t>mg par bec de lampe</w:t>
            </w:r>
          </w:p>
        </w:tc>
        <w:tc>
          <w:tcPr>
            <w:tcW w:w="2598" w:type="dxa"/>
          </w:tcPr>
          <w:p w14:paraId="2A3DFF54" w14:textId="77777777" w:rsidR="00E126C8" w:rsidRPr="00541185" w:rsidRDefault="00E126C8" w:rsidP="00FD4EE0">
            <w:pPr>
              <w:spacing w:before="40" w:after="40"/>
              <w:rPr>
                <w:sz w:val="18"/>
                <w:szCs w:val="18"/>
              </w:rPr>
            </w:pPr>
            <w:r w:rsidRPr="00541185">
              <w:rPr>
                <w:color w:val="000000"/>
                <w:sz w:val="18"/>
                <w:szCs w:val="18"/>
              </w:rPr>
              <w:t>2026</w:t>
            </w:r>
          </w:p>
        </w:tc>
      </w:tr>
      <w:tr w:rsidR="00E126C8" w:rsidRPr="007C5C0A" w14:paraId="586E092D" w14:textId="77777777" w:rsidTr="00012A36">
        <w:trPr>
          <w:trHeight w:val="57"/>
          <w:jc w:val="right"/>
        </w:trPr>
        <w:tc>
          <w:tcPr>
            <w:tcW w:w="6704" w:type="dxa"/>
          </w:tcPr>
          <w:p w14:paraId="68841746" w14:textId="131EFBA4" w:rsidR="00E126C8" w:rsidRPr="00541185" w:rsidRDefault="00E126C8" w:rsidP="00FD4EE0">
            <w:pPr>
              <w:spacing w:before="40" w:after="40"/>
              <w:rPr>
                <w:sz w:val="18"/>
                <w:szCs w:val="18"/>
              </w:rPr>
            </w:pPr>
            <w:r w:rsidRPr="00541185">
              <w:rPr>
                <w:color w:val="000000"/>
                <w:sz w:val="18"/>
                <w:szCs w:val="18"/>
              </w:rPr>
              <w:lastRenderedPageBreak/>
              <w:t>Tubes fluorescents linéaires d</w:t>
            </w:r>
            <w:r w:rsidR="00012A36" w:rsidRPr="00541185">
              <w:rPr>
                <w:color w:val="000000"/>
                <w:sz w:val="18"/>
                <w:szCs w:val="18"/>
              </w:rPr>
              <w:t>’</w:t>
            </w:r>
            <w:r w:rsidRPr="00541185">
              <w:rPr>
                <w:color w:val="000000"/>
                <w:sz w:val="18"/>
                <w:szCs w:val="18"/>
              </w:rPr>
              <w:t>éclairage ordinaire</w:t>
            </w:r>
            <w:r w:rsidR="00066237" w:rsidRPr="00541185">
              <w:rPr>
                <w:color w:val="000000"/>
                <w:sz w:val="18"/>
                <w:szCs w:val="18"/>
              </w:rPr>
              <w:t> </w:t>
            </w:r>
            <w:r w:rsidRPr="00541185">
              <w:rPr>
                <w:color w:val="000000"/>
                <w:sz w:val="18"/>
                <w:szCs w:val="18"/>
              </w:rPr>
              <w:t>:</w:t>
            </w:r>
          </w:p>
          <w:p w14:paraId="2E7DD39D" w14:textId="4748AD2F" w:rsidR="00E126C8" w:rsidRPr="00541185" w:rsidRDefault="00E126C8" w:rsidP="007C5C0A">
            <w:pPr>
              <w:keepNext/>
              <w:keepLines/>
              <w:numPr>
                <w:ilvl w:val="0"/>
                <w:numId w:val="15"/>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À phosphore à trois bandes d</w:t>
            </w:r>
            <w:r w:rsidR="00012A36" w:rsidRPr="00541185">
              <w:rPr>
                <w:color w:val="000000"/>
                <w:sz w:val="18"/>
                <w:szCs w:val="18"/>
              </w:rPr>
              <w:t>’</w:t>
            </w:r>
            <w:r w:rsidRPr="00541185">
              <w:rPr>
                <w:color w:val="000000"/>
                <w:sz w:val="18"/>
                <w:szCs w:val="18"/>
              </w:rPr>
              <w:t>une puissance &lt; 60</w:t>
            </w:r>
            <w:r w:rsidR="00066237" w:rsidRPr="00541185">
              <w:rPr>
                <w:color w:val="000000"/>
                <w:sz w:val="18"/>
                <w:szCs w:val="18"/>
              </w:rPr>
              <w:t> </w:t>
            </w:r>
            <w:r w:rsidRPr="00541185">
              <w:rPr>
                <w:color w:val="000000"/>
                <w:sz w:val="18"/>
                <w:szCs w:val="18"/>
              </w:rPr>
              <w:t>W dont la teneur en mercure est supérieure à 5</w:t>
            </w:r>
            <w:r w:rsidR="001E0E56" w:rsidRPr="00541185">
              <w:rPr>
                <w:color w:val="000000"/>
                <w:sz w:val="18"/>
                <w:szCs w:val="18"/>
              </w:rPr>
              <w:t> </w:t>
            </w:r>
            <w:r w:rsidRPr="00541185">
              <w:rPr>
                <w:color w:val="000000"/>
                <w:sz w:val="18"/>
                <w:szCs w:val="18"/>
              </w:rPr>
              <w:t>mg par lampe</w:t>
            </w:r>
          </w:p>
          <w:p w14:paraId="2C2BF931" w14:textId="13E5C0AD" w:rsidR="00E126C8" w:rsidRPr="00541185" w:rsidRDefault="00E126C8" w:rsidP="007C5C0A">
            <w:pPr>
              <w:keepNext/>
              <w:keepLines/>
              <w:numPr>
                <w:ilvl w:val="0"/>
                <w:numId w:val="15"/>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À phosphore d</w:t>
            </w:r>
            <w:r w:rsidR="00012A36" w:rsidRPr="00541185">
              <w:rPr>
                <w:color w:val="000000"/>
                <w:sz w:val="18"/>
                <w:szCs w:val="18"/>
              </w:rPr>
              <w:t>’</w:t>
            </w:r>
            <w:proofErr w:type="spellStart"/>
            <w:r w:rsidRPr="00541185">
              <w:rPr>
                <w:color w:val="000000"/>
                <w:sz w:val="18"/>
                <w:szCs w:val="18"/>
              </w:rPr>
              <w:t>halophosphate</w:t>
            </w:r>
            <w:proofErr w:type="spellEnd"/>
            <w:r w:rsidRPr="00541185">
              <w:rPr>
                <w:color w:val="000000"/>
                <w:sz w:val="18"/>
                <w:szCs w:val="18"/>
              </w:rPr>
              <w:t xml:space="preserve"> d</w:t>
            </w:r>
            <w:r w:rsidR="00012A36" w:rsidRPr="00541185">
              <w:rPr>
                <w:color w:val="000000"/>
                <w:sz w:val="18"/>
                <w:szCs w:val="18"/>
              </w:rPr>
              <w:t>’</w:t>
            </w:r>
            <w:r w:rsidRPr="00541185">
              <w:rPr>
                <w:color w:val="000000"/>
                <w:sz w:val="18"/>
                <w:szCs w:val="18"/>
              </w:rPr>
              <w:t>une puissance ≤ 40</w:t>
            </w:r>
            <w:r w:rsidR="00066237" w:rsidRPr="00541185">
              <w:rPr>
                <w:color w:val="000000"/>
                <w:sz w:val="18"/>
                <w:szCs w:val="18"/>
              </w:rPr>
              <w:t> </w:t>
            </w:r>
            <w:r w:rsidRPr="00541185">
              <w:rPr>
                <w:color w:val="000000"/>
                <w:sz w:val="18"/>
                <w:szCs w:val="18"/>
              </w:rPr>
              <w:t xml:space="preserve">W dont la teneur en mercure est supérieure à 10 mg par lampe </w:t>
            </w:r>
          </w:p>
        </w:tc>
        <w:tc>
          <w:tcPr>
            <w:tcW w:w="2598" w:type="dxa"/>
          </w:tcPr>
          <w:p w14:paraId="2E038765" w14:textId="77777777" w:rsidR="00E126C8" w:rsidRPr="00541185" w:rsidRDefault="00E126C8" w:rsidP="00FD4EE0">
            <w:pPr>
              <w:keepNext/>
              <w:keepLines/>
              <w:spacing w:before="40" w:after="40"/>
              <w:rPr>
                <w:sz w:val="18"/>
                <w:szCs w:val="18"/>
              </w:rPr>
            </w:pPr>
            <w:r w:rsidRPr="00541185">
              <w:rPr>
                <w:color w:val="000000"/>
                <w:sz w:val="18"/>
                <w:szCs w:val="18"/>
              </w:rPr>
              <w:t>2020</w:t>
            </w:r>
          </w:p>
        </w:tc>
      </w:tr>
      <w:tr w:rsidR="00E126C8" w:rsidRPr="007C5C0A" w14:paraId="67FA8DDA" w14:textId="77777777" w:rsidTr="00012A36">
        <w:trPr>
          <w:trHeight w:val="57"/>
          <w:jc w:val="right"/>
        </w:trPr>
        <w:tc>
          <w:tcPr>
            <w:tcW w:w="6704" w:type="dxa"/>
          </w:tcPr>
          <w:p w14:paraId="1062FB3C" w14:textId="723CE5F5" w:rsidR="00E126C8" w:rsidRPr="00541185" w:rsidRDefault="00E126C8" w:rsidP="00FD4EE0">
            <w:pPr>
              <w:spacing w:before="40" w:after="40"/>
              <w:rPr>
                <w:sz w:val="18"/>
                <w:szCs w:val="18"/>
              </w:rPr>
            </w:pPr>
            <w:r w:rsidRPr="00541185">
              <w:rPr>
                <w:color w:val="000000"/>
                <w:sz w:val="18"/>
                <w:szCs w:val="18"/>
              </w:rPr>
              <w:t>Tubes fluorescents linéaires d</w:t>
            </w:r>
            <w:r w:rsidR="00012A36" w:rsidRPr="00541185">
              <w:rPr>
                <w:color w:val="000000"/>
                <w:sz w:val="18"/>
                <w:szCs w:val="18"/>
              </w:rPr>
              <w:t>’</w:t>
            </w:r>
            <w:r w:rsidRPr="00541185">
              <w:rPr>
                <w:color w:val="000000"/>
                <w:sz w:val="18"/>
                <w:szCs w:val="18"/>
              </w:rPr>
              <w:t>éclairage ordinaire</w:t>
            </w:r>
            <w:r w:rsidR="00066237" w:rsidRPr="00541185">
              <w:rPr>
                <w:color w:val="000000"/>
                <w:sz w:val="18"/>
                <w:szCs w:val="18"/>
              </w:rPr>
              <w:t> </w:t>
            </w:r>
            <w:r w:rsidRPr="00541185">
              <w:rPr>
                <w:color w:val="000000"/>
                <w:sz w:val="18"/>
                <w:szCs w:val="18"/>
              </w:rPr>
              <w:t>:</w:t>
            </w:r>
          </w:p>
          <w:p w14:paraId="404CF840" w14:textId="382051BB" w:rsidR="00E126C8" w:rsidRPr="00541185" w:rsidRDefault="00E126C8" w:rsidP="007C5C0A">
            <w:pPr>
              <w:numPr>
                <w:ilvl w:val="0"/>
                <w:numId w:val="18"/>
              </w:numPr>
              <w:tabs>
                <w:tab w:val="clear" w:pos="1814"/>
                <w:tab w:val="clear" w:pos="2381"/>
                <w:tab w:val="clear" w:pos="2948"/>
                <w:tab w:val="clear" w:pos="3515"/>
              </w:tabs>
              <w:spacing w:before="40" w:after="40"/>
              <w:rPr>
                <w:sz w:val="18"/>
                <w:szCs w:val="18"/>
              </w:rPr>
            </w:pPr>
            <w:r w:rsidRPr="00541185">
              <w:rPr>
                <w:color w:val="000000"/>
                <w:sz w:val="18"/>
                <w:szCs w:val="18"/>
              </w:rPr>
              <w:t>À phosphore d</w:t>
            </w:r>
            <w:r w:rsidR="00012A36" w:rsidRPr="00541185">
              <w:rPr>
                <w:color w:val="000000"/>
                <w:sz w:val="18"/>
                <w:szCs w:val="18"/>
              </w:rPr>
              <w:t>’</w:t>
            </w:r>
            <w:proofErr w:type="spellStart"/>
            <w:r w:rsidRPr="00541185">
              <w:rPr>
                <w:color w:val="000000"/>
                <w:sz w:val="18"/>
                <w:szCs w:val="18"/>
              </w:rPr>
              <w:t>halophosphate</w:t>
            </w:r>
            <w:proofErr w:type="spellEnd"/>
            <w:r w:rsidRPr="00541185">
              <w:rPr>
                <w:color w:val="000000"/>
                <w:sz w:val="18"/>
                <w:szCs w:val="18"/>
              </w:rPr>
              <w:t xml:space="preserve"> d</w:t>
            </w:r>
            <w:r w:rsidR="00012A36" w:rsidRPr="00541185">
              <w:rPr>
                <w:color w:val="000000"/>
                <w:sz w:val="18"/>
                <w:szCs w:val="18"/>
              </w:rPr>
              <w:t>’</w:t>
            </w:r>
            <w:r w:rsidRPr="00541185">
              <w:rPr>
                <w:color w:val="000000"/>
                <w:sz w:val="18"/>
                <w:szCs w:val="18"/>
              </w:rPr>
              <w:t>une puissance ≤ 40</w:t>
            </w:r>
            <w:r w:rsidR="00066237" w:rsidRPr="00541185">
              <w:rPr>
                <w:color w:val="000000"/>
                <w:sz w:val="18"/>
                <w:szCs w:val="18"/>
              </w:rPr>
              <w:t> </w:t>
            </w:r>
            <w:r w:rsidRPr="00541185">
              <w:rPr>
                <w:color w:val="000000"/>
                <w:sz w:val="18"/>
                <w:szCs w:val="18"/>
              </w:rPr>
              <w:t xml:space="preserve">W dont la teneur en mercure ne dépasse pas 10 mg par lampe </w:t>
            </w:r>
          </w:p>
          <w:p w14:paraId="63DC85B7" w14:textId="2BC56CC2" w:rsidR="00E126C8" w:rsidRPr="00541185" w:rsidRDefault="00E126C8" w:rsidP="007C5C0A">
            <w:pPr>
              <w:numPr>
                <w:ilvl w:val="0"/>
                <w:numId w:val="18"/>
              </w:numPr>
              <w:tabs>
                <w:tab w:val="clear" w:pos="1814"/>
                <w:tab w:val="clear" w:pos="2381"/>
                <w:tab w:val="clear" w:pos="2948"/>
                <w:tab w:val="clear" w:pos="3515"/>
              </w:tabs>
              <w:spacing w:before="40" w:after="40"/>
              <w:rPr>
                <w:sz w:val="18"/>
                <w:szCs w:val="18"/>
              </w:rPr>
            </w:pPr>
            <w:r w:rsidRPr="00541185">
              <w:rPr>
                <w:color w:val="000000"/>
                <w:sz w:val="18"/>
                <w:szCs w:val="18"/>
              </w:rPr>
              <w:t>À phosphore d</w:t>
            </w:r>
            <w:r w:rsidR="00012A36" w:rsidRPr="00541185">
              <w:rPr>
                <w:color w:val="000000"/>
                <w:sz w:val="18"/>
                <w:szCs w:val="18"/>
              </w:rPr>
              <w:t>’</w:t>
            </w:r>
            <w:proofErr w:type="spellStart"/>
            <w:r w:rsidRPr="00541185">
              <w:rPr>
                <w:color w:val="000000"/>
                <w:sz w:val="18"/>
                <w:szCs w:val="18"/>
              </w:rPr>
              <w:t>halophosphate</w:t>
            </w:r>
            <w:proofErr w:type="spellEnd"/>
            <w:r w:rsidRPr="00541185">
              <w:rPr>
                <w:color w:val="000000"/>
                <w:sz w:val="18"/>
                <w:szCs w:val="18"/>
              </w:rPr>
              <w:t xml:space="preserve"> d</w:t>
            </w:r>
            <w:r w:rsidR="00012A36" w:rsidRPr="00541185">
              <w:rPr>
                <w:color w:val="000000"/>
                <w:sz w:val="18"/>
                <w:szCs w:val="18"/>
              </w:rPr>
              <w:t>’</w:t>
            </w:r>
            <w:r w:rsidRPr="00541185">
              <w:rPr>
                <w:color w:val="000000"/>
                <w:sz w:val="18"/>
                <w:szCs w:val="18"/>
              </w:rPr>
              <w:t>une puissance &gt; 40</w:t>
            </w:r>
            <w:r w:rsidR="00066237" w:rsidRPr="00541185">
              <w:rPr>
                <w:color w:val="000000"/>
                <w:sz w:val="18"/>
                <w:szCs w:val="18"/>
              </w:rPr>
              <w:t> </w:t>
            </w:r>
            <w:r w:rsidRPr="00541185">
              <w:rPr>
                <w:color w:val="000000"/>
                <w:sz w:val="18"/>
                <w:szCs w:val="18"/>
              </w:rPr>
              <w:t>W</w:t>
            </w:r>
          </w:p>
        </w:tc>
        <w:tc>
          <w:tcPr>
            <w:tcW w:w="2598" w:type="dxa"/>
          </w:tcPr>
          <w:p w14:paraId="1E02AED9" w14:textId="77777777" w:rsidR="00E126C8" w:rsidRPr="00541185" w:rsidRDefault="00E126C8" w:rsidP="00FD4EE0">
            <w:pPr>
              <w:spacing w:before="40" w:after="40"/>
              <w:rPr>
                <w:sz w:val="18"/>
                <w:szCs w:val="18"/>
              </w:rPr>
            </w:pPr>
            <w:r w:rsidRPr="00541185">
              <w:rPr>
                <w:color w:val="000000"/>
                <w:sz w:val="18"/>
                <w:szCs w:val="18"/>
              </w:rPr>
              <w:t>2026</w:t>
            </w:r>
          </w:p>
        </w:tc>
      </w:tr>
      <w:tr w:rsidR="00E126C8" w:rsidRPr="007C5C0A" w14:paraId="7912FEFC" w14:textId="77777777" w:rsidTr="00012A36">
        <w:trPr>
          <w:trHeight w:val="57"/>
          <w:jc w:val="right"/>
        </w:trPr>
        <w:tc>
          <w:tcPr>
            <w:tcW w:w="6704" w:type="dxa"/>
          </w:tcPr>
          <w:p w14:paraId="1220C7EE" w14:textId="665D4A47" w:rsidR="00E126C8" w:rsidRPr="00541185" w:rsidRDefault="00E126C8" w:rsidP="00FD4EE0">
            <w:pPr>
              <w:spacing w:before="40" w:after="40"/>
              <w:rPr>
                <w:sz w:val="18"/>
                <w:szCs w:val="18"/>
              </w:rPr>
            </w:pPr>
            <w:r w:rsidRPr="00541185">
              <w:rPr>
                <w:color w:val="000000"/>
                <w:sz w:val="18"/>
                <w:szCs w:val="18"/>
              </w:rPr>
              <w:t>Tubes fluorescents linéaires d</w:t>
            </w:r>
            <w:r w:rsidR="00012A36" w:rsidRPr="00541185">
              <w:rPr>
                <w:color w:val="000000"/>
                <w:sz w:val="18"/>
                <w:szCs w:val="18"/>
              </w:rPr>
              <w:t>’</w:t>
            </w:r>
            <w:r w:rsidRPr="00541185">
              <w:rPr>
                <w:color w:val="000000"/>
                <w:sz w:val="18"/>
                <w:szCs w:val="18"/>
              </w:rPr>
              <w:t>éclairage ordinaire</w:t>
            </w:r>
            <w:r w:rsidR="001E0E56" w:rsidRPr="00541185">
              <w:rPr>
                <w:color w:val="000000"/>
                <w:sz w:val="18"/>
                <w:szCs w:val="18"/>
              </w:rPr>
              <w:t> </w:t>
            </w:r>
            <w:r w:rsidRPr="00541185">
              <w:rPr>
                <w:color w:val="000000"/>
                <w:sz w:val="18"/>
                <w:szCs w:val="18"/>
              </w:rPr>
              <w:t>:</w:t>
            </w:r>
          </w:p>
          <w:p w14:paraId="0EA29FE0" w14:textId="7F44BF01" w:rsidR="00E126C8" w:rsidRPr="00541185" w:rsidRDefault="00E126C8" w:rsidP="007C5C0A">
            <w:pPr>
              <w:numPr>
                <w:ilvl w:val="0"/>
                <w:numId w:val="17"/>
              </w:numPr>
              <w:tabs>
                <w:tab w:val="clear" w:pos="1814"/>
                <w:tab w:val="clear" w:pos="2381"/>
                <w:tab w:val="clear" w:pos="2948"/>
                <w:tab w:val="clear" w:pos="3515"/>
              </w:tabs>
              <w:spacing w:before="40" w:after="40"/>
              <w:rPr>
                <w:sz w:val="18"/>
                <w:szCs w:val="18"/>
              </w:rPr>
            </w:pPr>
            <w:r w:rsidRPr="00541185">
              <w:rPr>
                <w:color w:val="000000"/>
                <w:sz w:val="18"/>
                <w:szCs w:val="18"/>
              </w:rPr>
              <w:t>À phosphore à trois bandes d</w:t>
            </w:r>
            <w:r w:rsidR="00012A36" w:rsidRPr="00541185">
              <w:rPr>
                <w:color w:val="000000"/>
                <w:sz w:val="18"/>
                <w:szCs w:val="18"/>
              </w:rPr>
              <w:t>’</w:t>
            </w:r>
            <w:r w:rsidRPr="00541185">
              <w:rPr>
                <w:color w:val="000000"/>
                <w:sz w:val="18"/>
                <w:szCs w:val="18"/>
              </w:rPr>
              <w:t>une puissance &lt; 60 W dont la teneur en mercure ne dépasse pas 5 mg par lampe</w:t>
            </w:r>
          </w:p>
          <w:p w14:paraId="0FDC0083" w14:textId="0EA4B2CB" w:rsidR="00E126C8" w:rsidRPr="00541185" w:rsidRDefault="00E126C8" w:rsidP="007C5C0A">
            <w:pPr>
              <w:numPr>
                <w:ilvl w:val="0"/>
                <w:numId w:val="17"/>
              </w:numPr>
              <w:tabs>
                <w:tab w:val="clear" w:pos="1814"/>
                <w:tab w:val="clear" w:pos="2381"/>
                <w:tab w:val="clear" w:pos="2948"/>
                <w:tab w:val="clear" w:pos="3515"/>
              </w:tabs>
              <w:spacing w:before="40" w:after="40"/>
              <w:rPr>
                <w:sz w:val="18"/>
                <w:szCs w:val="18"/>
              </w:rPr>
            </w:pPr>
            <w:r w:rsidRPr="00541185">
              <w:rPr>
                <w:color w:val="000000"/>
                <w:sz w:val="18"/>
                <w:szCs w:val="18"/>
              </w:rPr>
              <w:t>À phosphore à trois bandes d</w:t>
            </w:r>
            <w:r w:rsidR="00012A36" w:rsidRPr="00541185">
              <w:rPr>
                <w:color w:val="000000"/>
                <w:sz w:val="18"/>
                <w:szCs w:val="18"/>
              </w:rPr>
              <w:t>’</w:t>
            </w:r>
            <w:r w:rsidRPr="00541185">
              <w:rPr>
                <w:color w:val="000000"/>
                <w:sz w:val="18"/>
                <w:szCs w:val="18"/>
              </w:rPr>
              <w:t>une puissance ≥ 60 W dont la teneur en mercure ne dépasse pas 5 mg par lampe</w:t>
            </w:r>
          </w:p>
          <w:p w14:paraId="060C548C" w14:textId="536FF307" w:rsidR="00E126C8" w:rsidRPr="00541185" w:rsidRDefault="00E126C8" w:rsidP="007C5C0A">
            <w:pPr>
              <w:numPr>
                <w:ilvl w:val="0"/>
                <w:numId w:val="17"/>
              </w:numPr>
              <w:tabs>
                <w:tab w:val="clear" w:pos="1814"/>
                <w:tab w:val="clear" w:pos="2381"/>
                <w:tab w:val="clear" w:pos="2948"/>
                <w:tab w:val="clear" w:pos="3515"/>
              </w:tabs>
              <w:spacing w:before="40" w:after="40"/>
              <w:rPr>
                <w:sz w:val="18"/>
                <w:szCs w:val="18"/>
              </w:rPr>
            </w:pPr>
            <w:r w:rsidRPr="00541185">
              <w:rPr>
                <w:color w:val="000000"/>
                <w:sz w:val="18"/>
                <w:szCs w:val="18"/>
              </w:rPr>
              <w:t>À phosphore à trois bandes d</w:t>
            </w:r>
            <w:r w:rsidR="00012A36" w:rsidRPr="00541185">
              <w:rPr>
                <w:color w:val="000000"/>
                <w:sz w:val="18"/>
                <w:szCs w:val="18"/>
              </w:rPr>
              <w:t>’</w:t>
            </w:r>
            <w:r w:rsidRPr="00541185">
              <w:rPr>
                <w:color w:val="000000"/>
                <w:sz w:val="18"/>
                <w:szCs w:val="18"/>
              </w:rPr>
              <w:t>une puissance ≥ 60</w:t>
            </w:r>
            <w:r w:rsidR="00066237" w:rsidRPr="00541185">
              <w:rPr>
                <w:color w:val="000000"/>
                <w:sz w:val="18"/>
                <w:szCs w:val="18"/>
              </w:rPr>
              <w:t> </w:t>
            </w:r>
            <w:r w:rsidRPr="00541185">
              <w:rPr>
                <w:color w:val="000000"/>
                <w:sz w:val="18"/>
                <w:szCs w:val="18"/>
              </w:rPr>
              <w:t>W dont la teneur en mercure est supérieure à 5 mg par lampe</w:t>
            </w:r>
          </w:p>
        </w:tc>
        <w:tc>
          <w:tcPr>
            <w:tcW w:w="2598" w:type="dxa"/>
          </w:tcPr>
          <w:p w14:paraId="22141FC1" w14:textId="77777777" w:rsidR="00E126C8" w:rsidRPr="00541185" w:rsidRDefault="00E126C8" w:rsidP="00FD4EE0">
            <w:pPr>
              <w:spacing w:before="40" w:after="40"/>
              <w:rPr>
                <w:sz w:val="18"/>
                <w:szCs w:val="18"/>
              </w:rPr>
            </w:pPr>
            <w:r w:rsidRPr="00541185">
              <w:rPr>
                <w:color w:val="000000"/>
                <w:sz w:val="18"/>
                <w:szCs w:val="18"/>
              </w:rPr>
              <w:t>2027</w:t>
            </w:r>
          </w:p>
        </w:tc>
      </w:tr>
      <w:tr w:rsidR="00E126C8" w:rsidRPr="007C5C0A" w14:paraId="16AF4FB8" w14:textId="77777777" w:rsidTr="00012A36">
        <w:trPr>
          <w:trHeight w:val="57"/>
          <w:jc w:val="right"/>
        </w:trPr>
        <w:tc>
          <w:tcPr>
            <w:tcW w:w="6704" w:type="dxa"/>
          </w:tcPr>
          <w:p w14:paraId="68CCFB83" w14:textId="2BE135C0" w:rsidR="00E126C8" w:rsidRPr="00541185" w:rsidRDefault="00E126C8" w:rsidP="00FD4EE0">
            <w:pPr>
              <w:spacing w:before="40" w:after="40"/>
              <w:rPr>
                <w:sz w:val="18"/>
                <w:szCs w:val="18"/>
              </w:rPr>
            </w:pPr>
            <w:r w:rsidRPr="00541185">
              <w:rPr>
                <w:color w:val="000000"/>
                <w:sz w:val="18"/>
                <w:szCs w:val="18"/>
              </w:rPr>
              <w:t>Tubes fluorescents non linéaires (par exemple, en U et circulaires) d</w:t>
            </w:r>
            <w:r w:rsidR="00012A36" w:rsidRPr="00541185">
              <w:rPr>
                <w:color w:val="000000"/>
                <w:sz w:val="18"/>
                <w:szCs w:val="18"/>
              </w:rPr>
              <w:t>’</w:t>
            </w:r>
            <w:r w:rsidRPr="00541185">
              <w:rPr>
                <w:color w:val="000000"/>
                <w:sz w:val="18"/>
                <w:szCs w:val="18"/>
              </w:rPr>
              <w:t>éclairage ordinaire :</w:t>
            </w:r>
          </w:p>
          <w:p w14:paraId="1AD9B512" w14:textId="77777777" w:rsidR="00E126C8" w:rsidRPr="00541185" w:rsidRDefault="00E126C8" w:rsidP="007C5C0A">
            <w:pPr>
              <w:numPr>
                <w:ilvl w:val="0"/>
                <w:numId w:val="16"/>
              </w:numPr>
              <w:tabs>
                <w:tab w:val="clear" w:pos="1814"/>
                <w:tab w:val="clear" w:pos="2381"/>
                <w:tab w:val="clear" w:pos="2948"/>
                <w:tab w:val="clear" w:pos="3515"/>
              </w:tabs>
              <w:spacing w:before="40" w:after="40"/>
              <w:ind w:left="318" w:hanging="318"/>
              <w:rPr>
                <w:sz w:val="18"/>
                <w:szCs w:val="18"/>
              </w:rPr>
            </w:pPr>
            <w:r w:rsidRPr="00541185">
              <w:rPr>
                <w:color w:val="000000"/>
                <w:sz w:val="18"/>
                <w:szCs w:val="18"/>
              </w:rPr>
              <w:t>À phosphore à trois bandes, quelle que soit leur puissance</w:t>
            </w:r>
          </w:p>
        </w:tc>
        <w:tc>
          <w:tcPr>
            <w:tcW w:w="2598" w:type="dxa"/>
          </w:tcPr>
          <w:p w14:paraId="2D043D45" w14:textId="77777777" w:rsidR="00E126C8" w:rsidRPr="00541185" w:rsidRDefault="00E126C8" w:rsidP="00FD4EE0">
            <w:pPr>
              <w:spacing w:before="40" w:after="40"/>
              <w:rPr>
                <w:sz w:val="18"/>
                <w:szCs w:val="18"/>
              </w:rPr>
            </w:pPr>
            <w:r w:rsidRPr="00541185">
              <w:rPr>
                <w:color w:val="000000"/>
                <w:sz w:val="18"/>
                <w:szCs w:val="18"/>
              </w:rPr>
              <w:t>2027</w:t>
            </w:r>
          </w:p>
        </w:tc>
      </w:tr>
      <w:tr w:rsidR="00E126C8" w:rsidRPr="007C5C0A" w14:paraId="7F84A18D" w14:textId="77777777" w:rsidTr="00012A36">
        <w:trPr>
          <w:trHeight w:val="57"/>
          <w:jc w:val="right"/>
        </w:trPr>
        <w:tc>
          <w:tcPr>
            <w:tcW w:w="6704" w:type="dxa"/>
          </w:tcPr>
          <w:p w14:paraId="5E91FC8A" w14:textId="6A17AF4B" w:rsidR="00E126C8" w:rsidRPr="00541185" w:rsidRDefault="00E126C8" w:rsidP="007C5C0A">
            <w:pPr>
              <w:numPr>
                <w:ilvl w:val="0"/>
                <w:numId w:val="16"/>
              </w:numPr>
              <w:tabs>
                <w:tab w:val="clear" w:pos="1814"/>
                <w:tab w:val="clear" w:pos="2381"/>
                <w:tab w:val="clear" w:pos="2948"/>
                <w:tab w:val="clear" w:pos="3515"/>
              </w:tabs>
              <w:spacing w:before="40" w:after="40"/>
              <w:ind w:left="318" w:hanging="318"/>
              <w:rPr>
                <w:sz w:val="18"/>
                <w:szCs w:val="18"/>
              </w:rPr>
            </w:pPr>
            <w:r w:rsidRPr="00541185">
              <w:rPr>
                <w:color w:val="000000"/>
                <w:sz w:val="18"/>
                <w:szCs w:val="18"/>
              </w:rPr>
              <w:t>À phosphore d</w:t>
            </w:r>
            <w:r w:rsidR="00012A36" w:rsidRPr="00541185">
              <w:rPr>
                <w:color w:val="000000"/>
                <w:sz w:val="18"/>
                <w:szCs w:val="18"/>
              </w:rPr>
              <w:t>’</w:t>
            </w:r>
            <w:proofErr w:type="spellStart"/>
            <w:r w:rsidRPr="00541185">
              <w:rPr>
                <w:color w:val="000000"/>
                <w:sz w:val="18"/>
                <w:szCs w:val="18"/>
              </w:rPr>
              <w:t>halophosphate</w:t>
            </w:r>
            <w:proofErr w:type="spellEnd"/>
            <w:r w:rsidRPr="00541185">
              <w:rPr>
                <w:color w:val="000000"/>
                <w:sz w:val="18"/>
                <w:szCs w:val="18"/>
              </w:rPr>
              <w:t>, quelle que soit leur puissance</w:t>
            </w:r>
          </w:p>
        </w:tc>
        <w:tc>
          <w:tcPr>
            <w:tcW w:w="2598" w:type="dxa"/>
          </w:tcPr>
          <w:p w14:paraId="21922AE7" w14:textId="77777777" w:rsidR="00E126C8" w:rsidRPr="00541185" w:rsidRDefault="00E126C8" w:rsidP="00FD4EE0">
            <w:pPr>
              <w:spacing w:before="40" w:after="40"/>
              <w:rPr>
                <w:sz w:val="18"/>
                <w:szCs w:val="18"/>
              </w:rPr>
            </w:pPr>
            <w:r w:rsidRPr="00541185">
              <w:rPr>
                <w:color w:val="000000"/>
                <w:sz w:val="18"/>
                <w:szCs w:val="18"/>
              </w:rPr>
              <w:t>2026</w:t>
            </w:r>
          </w:p>
        </w:tc>
      </w:tr>
      <w:tr w:rsidR="00E126C8" w:rsidRPr="007C5C0A" w14:paraId="0E841AC5" w14:textId="77777777" w:rsidTr="00012A36">
        <w:trPr>
          <w:trHeight w:val="57"/>
          <w:jc w:val="right"/>
        </w:trPr>
        <w:tc>
          <w:tcPr>
            <w:tcW w:w="6704" w:type="dxa"/>
          </w:tcPr>
          <w:p w14:paraId="1E36A2EC" w14:textId="61C64B7D" w:rsidR="00E126C8" w:rsidRPr="00541185" w:rsidRDefault="00E126C8" w:rsidP="00FD4EE0">
            <w:pPr>
              <w:spacing w:before="40" w:after="40"/>
              <w:rPr>
                <w:sz w:val="18"/>
                <w:szCs w:val="18"/>
              </w:rPr>
            </w:pPr>
            <w:r w:rsidRPr="00541185">
              <w:rPr>
                <w:color w:val="000000"/>
                <w:sz w:val="18"/>
                <w:szCs w:val="18"/>
              </w:rPr>
              <w:t>Lampes d</w:t>
            </w:r>
            <w:r w:rsidR="00012A36" w:rsidRPr="00541185">
              <w:rPr>
                <w:color w:val="000000"/>
                <w:sz w:val="18"/>
                <w:szCs w:val="18"/>
              </w:rPr>
              <w:t>’</w:t>
            </w:r>
            <w:r w:rsidRPr="00541185">
              <w:rPr>
                <w:color w:val="000000"/>
                <w:sz w:val="18"/>
                <w:szCs w:val="18"/>
              </w:rPr>
              <w:t xml:space="preserve">éclairage ordinaire à vapeur de mercure haute pression </w:t>
            </w:r>
          </w:p>
        </w:tc>
        <w:tc>
          <w:tcPr>
            <w:tcW w:w="2598" w:type="dxa"/>
          </w:tcPr>
          <w:p w14:paraId="31150596"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4BCAE7C4" w14:textId="77777777" w:rsidTr="00012A36">
        <w:trPr>
          <w:trHeight w:val="57"/>
          <w:jc w:val="right"/>
        </w:trPr>
        <w:tc>
          <w:tcPr>
            <w:tcW w:w="6704" w:type="dxa"/>
          </w:tcPr>
          <w:p w14:paraId="7D03B1C8" w14:textId="77777777" w:rsidR="00E126C8" w:rsidRPr="00541185" w:rsidRDefault="00E126C8" w:rsidP="00FD4EE0">
            <w:pPr>
              <w:spacing w:before="40" w:after="40"/>
              <w:rPr>
                <w:sz w:val="18"/>
                <w:szCs w:val="18"/>
              </w:rPr>
            </w:pPr>
            <w:r w:rsidRPr="00541185">
              <w:rPr>
                <w:color w:val="000000"/>
                <w:sz w:val="18"/>
                <w:szCs w:val="18"/>
              </w:rPr>
              <w:t xml:space="preserve">Mercure contenu dans les lampes fluorescentes à cathode froide et à électrodes externes pour affichages électroniques : </w:t>
            </w:r>
          </w:p>
          <w:p w14:paraId="11C84B08" w14:textId="77777777" w:rsidR="00E126C8" w:rsidRPr="00541185" w:rsidRDefault="00E126C8" w:rsidP="007C5C0A">
            <w:pPr>
              <w:numPr>
                <w:ilvl w:val="0"/>
                <w:numId w:val="19"/>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De faible longueur (≤ 500 mm) à teneur en mercure supérieure à 3,5 mg par lampe</w:t>
            </w:r>
          </w:p>
          <w:p w14:paraId="4BF331AB" w14:textId="77777777" w:rsidR="00E126C8" w:rsidRPr="00541185" w:rsidRDefault="00E126C8" w:rsidP="007C5C0A">
            <w:pPr>
              <w:numPr>
                <w:ilvl w:val="0"/>
                <w:numId w:val="19"/>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De longueur moyenne (&gt; 500 mm et ≤ 1 500 mm) à teneur en mercure supérieure à 5 mg par lampe</w:t>
            </w:r>
          </w:p>
          <w:p w14:paraId="4BC55D10" w14:textId="77777777" w:rsidR="00E126C8" w:rsidRPr="00541185" w:rsidRDefault="00E126C8" w:rsidP="007C5C0A">
            <w:pPr>
              <w:numPr>
                <w:ilvl w:val="0"/>
                <w:numId w:val="19"/>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De grande longueur (&gt; 1 500 mm) à teneur en mercure supérieure à 13 mg par lampe</w:t>
            </w:r>
          </w:p>
        </w:tc>
        <w:tc>
          <w:tcPr>
            <w:tcW w:w="2598" w:type="dxa"/>
          </w:tcPr>
          <w:p w14:paraId="6D9016E3"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02266827" w14:textId="77777777" w:rsidTr="00012A36">
        <w:trPr>
          <w:trHeight w:val="57"/>
          <w:jc w:val="right"/>
        </w:trPr>
        <w:tc>
          <w:tcPr>
            <w:tcW w:w="6704" w:type="dxa"/>
          </w:tcPr>
          <w:p w14:paraId="422A3A39" w14:textId="46109DA9" w:rsidR="00E126C8" w:rsidRPr="00541185" w:rsidRDefault="00E126C8" w:rsidP="00FD4EE0">
            <w:pPr>
              <w:spacing w:before="40" w:after="40"/>
              <w:rPr>
                <w:sz w:val="18"/>
                <w:szCs w:val="18"/>
              </w:rPr>
            </w:pPr>
            <w:r w:rsidRPr="00541185">
              <w:rPr>
                <w:color w:val="000000"/>
                <w:sz w:val="18"/>
                <w:szCs w:val="18"/>
              </w:rPr>
              <w:t>Lampes fluorescentes à cathode froide et à électrodes externes pour affichages électroniques de longueur quelconque ne faisant partie d</w:t>
            </w:r>
            <w:r w:rsidR="00012A36" w:rsidRPr="00541185">
              <w:rPr>
                <w:color w:val="000000"/>
                <w:sz w:val="18"/>
                <w:szCs w:val="18"/>
              </w:rPr>
              <w:t>’</w:t>
            </w:r>
            <w:r w:rsidRPr="00541185">
              <w:rPr>
                <w:color w:val="000000"/>
                <w:sz w:val="18"/>
                <w:szCs w:val="18"/>
              </w:rPr>
              <w:t>aucune des catégories de la liste précédente</w:t>
            </w:r>
          </w:p>
        </w:tc>
        <w:tc>
          <w:tcPr>
            <w:tcW w:w="2598" w:type="dxa"/>
          </w:tcPr>
          <w:p w14:paraId="69086563"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118EDA80" w14:textId="77777777" w:rsidTr="00012A36">
        <w:trPr>
          <w:trHeight w:val="57"/>
          <w:jc w:val="right"/>
        </w:trPr>
        <w:tc>
          <w:tcPr>
            <w:tcW w:w="6704" w:type="dxa"/>
          </w:tcPr>
          <w:p w14:paraId="167643D6" w14:textId="55777BB1" w:rsidR="00E126C8" w:rsidRPr="00541185" w:rsidRDefault="00E126C8" w:rsidP="00FD4EE0">
            <w:pPr>
              <w:spacing w:before="40" w:after="40"/>
              <w:rPr>
                <w:sz w:val="18"/>
                <w:szCs w:val="18"/>
              </w:rPr>
            </w:pPr>
            <w:r w:rsidRPr="00541185">
              <w:rPr>
                <w:color w:val="000000"/>
                <w:sz w:val="18"/>
                <w:szCs w:val="18"/>
              </w:rPr>
              <w:t>Cosmétiques (à teneur en mercure supérieure à 1</w:t>
            </w:r>
            <w:r w:rsidR="00066237" w:rsidRPr="00541185">
              <w:rPr>
                <w:color w:val="000000"/>
                <w:sz w:val="18"/>
                <w:szCs w:val="18"/>
              </w:rPr>
              <w:t> </w:t>
            </w:r>
            <w:r w:rsidRPr="00541185">
              <w:rPr>
                <w:color w:val="000000"/>
                <w:sz w:val="18"/>
                <w:szCs w:val="18"/>
              </w:rPr>
              <w:t>ppm), y</w:t>
            </w:r>
            <w:r w:rsidR="004B0BF5" w:rsidRPr="00541185">
              <w:rPr>
                <w:color w:val="000000"/>
                <w:sz w:val="18"/>
                <w:szCs w:val="18"/>
              </w:rPr>
              <w:t> </w:t>
            </w:r>
            <w:r w:rsidRPr="00541185">
              <w:rPr>
                <w:color w:val="000000"/>
                <w:sz w:val="18"/>
                <w:szCs w:val="18"/>
              </w:rPr>
              <w:t>compris les savons et crèmes de blanchissement de la peau, mais à l</w:t>
            </w:r>
            <w:r w:rsidR="00012A36" w:rsidRPr="00541185">
              <w:rPr>
                <w:color w:val="000000"/>
                <w:sz w:val="18"/>
                <w:szCs w:val="18"/>
              </w:rPr>
              <w:t>’</w:t>
            </w:r>
            <w:r w:rsidRPr="00541185">
              <w:rPr>
                <w:color w:val="000000"/>
                <w:sz w:val="18"/>
                <w:szCs w:val="18"/>
              </w:rPr>
              <w:t>exclusion des cosmétiques pour la zone oculaire dans lesquels le mercure est présent en tant qu</w:t>
            </w:r>
            <w:r w:rsidR="00012A36" w:rsidRPr="00541185">
              <w:rPr>
                <w:color w:val="000000"/>
                <w:sz w:val="18"/>
                <w:szCs w:val="18"/>
              </w:rPr>
              <w:t>’</w:t>
            </w:r>
            <w:r w:rsidRPr="00541185">
              <w:rPr>
                <w:color w:val="000000"/>
                <w:sz w:val="18"/>
                <w:szCs w:val="18"/>
              </w:rPr>
              <w:t>agent de conservation pour lequel aucun substitut efficace et sans danger n</w:t>
            </w:r>
            <w:r w:rsidR="00012A36" w:rsidRPr="00541185">
              <w:rPr>
                <w:color w:val="000000"/>
                <w:sz w:val="18"/>
                <w:szCs w:val="18"/>
              </w:rPr>
              <w:t>’</w:t>
            </w:r>
            <w:r w:rsidRPr="00541185">
              <w:rPr>
                <w:color w:val="000000"/>
                <w:sz w:val="18"/>
                <w:szCs w:val="18"/>
              </w:rPr>
              <w:t>est disponible1/</w:t>
            </w:r>
          </w:p>
        </w:tc>
        <w:tc>
          <w:tcPr>
            <w:tcW w:w="2598" w:type="dxa"/>
          </w:tcPr>
          <w:p w14:paraId="52152DE7" w14:textId="77777777" w:rsidR="00E126C8" w:rsidRPr="00541185" w:rsidRDefault="00E126C8" w:rsidP="00FD4EE0">
            <w:pPr>
              <w:keepNext/>
              <w:keepLines/>
              <w:spacing w:before="40" w:after="40"/>
              <w:rPr>
                <w:sz w:val="18"/>
                <w:szCs w:val="18"/>
              </w:rPr>
            </w:pPr>
            <w:r w:rsidRPr="00541185">
              <w:rPr>
                <w:color w:val="000000"/>
                <w:sz w:val="18"/>
                <w:szCs w:val="18"/>
              </w:rPr>
              <w:t>2020</w:t>
            </w:r>
          </w:p>
        </w:tc>
      </w:tr>
      <w:tr w:rsidR="00E126C8" w:rsidRPr="007C5C0A" w14:paraId="15B599C0" w14:textId="77777777" w:rsidTr="00012A36">
        <w:trPr>
          <w:trHeight w:val="57"/>
          <w:jc w:val="right"/>
        </w:trPr>
        <w:tc>
          <w:tcPr>
            <w:tcW w:w="6704" w:type="dxa"/>
          </w:tcPr>
          <w:p w14:paraId="30612356" w14:textId="26CE5715" w:rsidR="00E126C8" w:rsidRPr="00541185" w:rsidRDefault="00E126C8" w:rsidP="00FD4EE0">
            <w:pPr>
              <w:spacing w:before="40" w:after="40"/>
              <w:rPr>
                <w:sz w:val="18"/>
                <w:szCs w:val="18"/>
              </w:rPr>
            </w:pPr>
            <w:r w:rsidRPr="00541185">
              <w:rPr>
                <w:color w:val="000000"/>
                <w:sz w:val="18"/>
                <w:szCs w:val="18"/>
              </w:rPr>
              <w:t>Cosmétiques, y compris les savons et crèmes de blanchissement de la peau, mais à l</w:t>
            </w:r>
            <w:r w:rsidR="00012A36" w:rsidRPr="00541185">
              <w:rPr>
                <w:color w:val="000000"/>
                <w:sz w:val="18"/>
                <w:szCs w:val="18"/>
              </w:rPr>
              <w:t>’</w:t>
            </w:r>
            <w:r w:rsidRPr="00541185">
              <w:rPr>
                <w:color w:val="000000"/>
                <w:sz w:val="18"/>
                <w:szCs w:val="18"/>
              </w:rPr>
              <w:t>exclusion des cosmétiques pour la zone oculaire dans lesquels le mercure est présent en tant qu</w:t>
            </w:r>
            <w:r w:rsidR="00012A36" w:rsidRPr="00541185">
              <w:rPr>
                <w:color w:val="000000"/>
                <w:sz w:val="18"/>
                <w:szCs w:val="18"/>
              </w:rPr>
              <w:t>’</w:t>
            </w:r>
            <w:r w:rsidRPr="00541185">
              <w:rPr>
                <w:color w:val="000000"/>
                <w:sz w:val="18"/>
                <w:szCs w:val="18"/>
              </w:rPr>
              <w:t>agent de conservation pour lequel aucun substitut efficace et sans danger n</w:t>
            </w:r>
            <w:r w:rsidR="00012A36" w:rsidRPr="00541185">
              <w:rPr>
                <w:color w:val="000000"/>
                <w:sz w:val="18"/>
                <w:szCs w:val="18"/>
              </w:rPr>
              <w:t>’</w:t>
            </w:r>
            <w:r w:rsidRPr="00541185">
              <w:rPr>
                <w:color w:val="000000"/>
                <w:sz w:val="18"/>
                <w:szCs w:val="18"/>
              </w:rPr>
              <w:t>est disponible</w:t>
            </w:r>
            <w:r w:rsidRPr="00541185">
              <w:rPr>
                <w:sz w:val="18"/>
                <w:szCs w:val="18"/>
                <w:vertAlign w:val="superscript"/>
              </w:rPr>
              <w:t>1</w:t>
            </w:r>
          </w:p>
        </w:tc>
        <w:tc>
          <w:tcPr>
            <w:tcW w:w="2598" w:type="dxa"/>
          </w:tcPr>
          <w:p w14:paraId="199574FC"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79B69F44" w14:textId="77777777" w:rsidTr="00012A36">
        <w:trPr>
          <w:trHeight w:val="57"/>
          <w:jc w:val="right"/>
        </w:trPr>
        <w:tc>
          <w:tcPr>
            <w:tcW w:w="6704" w:type="dxa"/>
          </w:tcPr>
          <w:p w14:paraId="72D8290C" w14:textId="77777777" w:rsidR="00E126C8" w:rsidRPr="00541185" w:rsidRDefault="00E126C8" w:rsidP="00FD4EE0">
            <w:pPr>
              <w:spacing w:before="40" w:after="40"/>
              <w:rPr>
                <w:sz w:val="18"/>
                <w:szCs w:val="18"/>
              </w:rPr>
            </w:pPr>
            <w:r w:rsidRPr="00541185">
              <w:rPr>
                <w:color w:val="000000"/>
                <w:sz w:val="18"/>
                <w:szCs w:val="18"/>
              </w:rPr>
              <w:t xml:space="preserve">Pesticides, biocides et antiseptiques locaux </w:t>
            </w:r>
          </w:p>
        </w:tc>
        <w:tc>
          <w:tcPr>
            <w:tcW w:w="2598" w:type="dxa"/>
          </w:tcPr>
          <w:p w14:paraId="69ABAA71"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0C290A73" w14:textId="77777777" w:rsidTr="00012A36">
        <w:trPr>
          <w:trHeight w:val="57"/>
          <w:jc w:val="right"/>
        </w:trPr>
        <w:tc>
          <w:tcPr>
            <w:tcW w:w="6704" w:type="dxa"/>
          </w:tcPr>
          <w:p w14:paraId="6E08FB52" w14:textId="16AC0C27" w:rsidR="00E126C8" w:rsidRPr="00541185" w:rsidRDefault="00E126C8" w:rsidP="00FD4EE0">
            <w:pPr>
              <w:spacing w:before="40" w:after="40"/>
              <w:rPr>
                <w:sz w:val="18"/>
                <w:szCs w:val="18"/>
              </w:rPr>
            </w:pPr>
            <w:r w:rsidRPr="00541185">
              <w:rPr>
                <w:color w:val="000000"/>
                <w:sz w:val="18"/>
                <w:szCs w:val="18"/>
              </w:rPr>
              <w:t>Les instruments de mesure non électroniques ci-après, à l</w:t>
            </w:r>
            <w:r w:rsidR="00012A36" w:rsidRPr="00541185">
              <w:rPr>
                <w:color w:val="000000"/>
                <w:sz w:val="18"/>
                <w:szCs w:val="18"/>
              </w:rPr>
              <w:t>’</w:t>
            </w:r>
            <w:r w:rsidRPr="00541185">
              <w:rPr>
                <w:color w:val="000000"/>
                <w:sz w:val="18"/>
                <w:szCs w:val="18"/>
              </w:rPr>
              <w:t>exception de ceux incorporés dans des équipements de grande taille ou utilisés pour des mesures à haute précision, lorsqu</w:t>
            </w:r>
            <w:r w:rsidR="00012A36" w:rsidRPr="00541185">
              <w:rPr>
                <w:color w:val="000000"/>
                <w:sz w:val="18"/>
                <w:szCs w:val="18"/>
              </w:rPr>
              <w:t>’</w:t>
            </w:r>
            <w:r w:rsidRPr="00541185">
              <w:rPr>
                <w:color w:val="000000"/>
                <w:sz w:val="18"/>
                <w:szCs w:val="18"/>
              </w:rPr>
              <w:t>aucune solution de remplacement convenable sans mercure n</w:t>
            </w:r>
            <w:r w:rsidR="00012A36" w:rsidRPr="00541185">
              <w:rPr>
                <w:color w:val="000000"/>
                <w:sz w:val="18"/>
                <w:szCs w:val="18"/>
              </w:rPr>
              <w:t>’</w:t>
            </w:r>
            <w:r w:rsidRPr="00541185">
              <w:rPr>
                <w:color w:val="000000"/>
                <w:sz w:val="18"/>
                <w:szCs w:val="18"/>
              </w:rPr>
              <w:t>est disponible</w:t>
            </w:r>
            <w:r w:rsidR="00057FC1" w:rsidRPr="00541185">
              <w:rPr>
                <w:color w:val="000000"/>
                <w:sz w:val="18"/>
                <w:szCs w:val="18"/>
              </w:rPr>
              <w:t> </w:t>
            </w:r>
            <w:r w:rsidRPr="00541185">
              <w:rPr>
                <w:color w:val="000000"/>
                <w:sz w:val="18"/>
                <w:szCs w:val="18"/>
              </w:rPr>
              <w:t>:</w:t>
            </w:r>
          </w:p>
          <w:p w14:paraId="699E704C" w14:textId="5625F087" w:rsidR="00E126C8" w:rsidRPr="00541185" w:rsidRDefault="00E126C8" w:rsidP="007C5C0A">
            <w:pPr>
              <w:numPr>
                <w:ilvl w:val="0"/>
                <w:numId w:val="20"/>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Baromètres</w:t>
            </w:r>
            <w:r w:rsidR="00057FC1" w:rsidRPr="00541185">
              <w:rPr>
                <w:color w:val="000000"/>
                <w:sz w:val="18"/>
                <w:szCs w:val="18"/>
              </w:rPr>
              <w:t> </w:t>
            </w:r>
            <w:r w:rsidRPr="00541185">
              <w:rPr>
                <w:color w:val="000000"/>
                <w:sz w:val="18"/>
                <w:szCs w:val="18"/>
              </w:rPr>
              <w:t>;</w:t>
            </w:r>
          </w:p>
          <w:p w14:paraId="7E470905" w14:textId="24005795" w:rsidR="00E126C8" w:rsidRPr="00541185" w:rsidRDefault="00E126C8" w:rsidP="007C5C0A">
            <w:pPr>
              <w:numPr>
                <w:ilvl w:val="0"/>
                <w:numId w:val="20"/>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Hygromètres</w:t>
            </w:r>
            <w:r w:rsidR="00057FC1" w:rsidRPr="00541185">
              <w:rPr>
                <w:color w:val="000000"/>
                <w:sz w:val="18"/>
                <w:szCs w:val="18"/>
              </w:rPr>
              <w:t> </w:t>
            </w:r>
            <w:r w:rsidRPr="00541185">
              <w:rPr>
                <w:color w:val="000000"/>
                <w:sz w:val="18"/>
                <w:szCs w:val="18"/>
              </w:rPr>
              <w:t>;</w:t>
            </w:r>
          </w:p>
          <w:p w14:paraId="0631F6DC" w14:textId="5CAF060F" w:rsidR="00E126C8" w:rsidRPr="00541185" w:rsidRDefault="00E126C8" w:rsidP="007C5C0A">
            <w:pPr>
              <w:numPr>
                <w:ilvl w:val="0"/>
                <w:numId w:val="20"/>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Manomètres</w:t>
            </w:r>
            <w:r w:rsidR="00057FC1" w:rsidRPr="00541185">
              <w:rPr>
                <w:color w:val="000000"/>
                <w:sz w:val="18"/>
                <w:szCs w:val="18"/>
              </w:rPr>
              <w:t> </w:t>
            </w:r>
            <w:r w:rsidRPr="00541185">
              <w:rPr>
                <w:color w:val="000000"/>
                <w:sz w:val="18"/>
                <w:szCs w:val="18"/>
              </w:rPr>
              <w:t>;</w:t>
            </w:r>
          </w:p>
          <w:p w14:paraId="45D81B15" w14:textId="1388F064" w:rsidR="00E126C8" w:rsidRPr="00541185" w:rsidRDefault="00E126C8" w:rsidP="007C5C0A">
            <w:pPr>
              <w:numPr>
                <w:ilvl w:val="0"/>
                <w:numId w:val="20"/>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Thermomètres</w:t>
            </w:r>
            <w:r w:rsidR="00057FC1" w:rsidRPr="00541185">
              <w:rPr>
                <w:color w:val="000000"/>
                <w:sz w:val="18"/>
                <w:szCs w:val="18"/>
              </w:rPr>
              <w:t> </w:t>
            </w:r>
            <w:r w:rsidRPr="00541185">
              <w:rPr>
                <w:color w:val="000000"/>
                <w:sz w:val="18"/>
                <w:szCs w:val="18"/>
              </w:rPr>
              <w:t>;</w:t>
            </w:r>
          </w:p>
          <w:p w14:paraId="0E93C135" w14:textId="77777777" w:rsidR="00E126C8" w:rsidRPr="00541185" w:rsidRDefault="00E126C8" w:rsidP="007C5C0A">
            <w:pPr>
              <w:numPr>
                <w:ilvl w:val="0"/>
                <w:numId w:val="20"/>
              </w:numPr>
              <w:tabs>
                <w:tab w:val="clear" w:pos="1247"/>
                <w:tab w:val="clear" w:pos="1814"/>
                <w:tab w:val="clear" w:pos="2381"/>
                <w:tab w:val="clear" w:pos="2948"/>
                <w:tab w:val="clear" w:pos="3515"/>
              </w:tabs>
              <w:spacing w:before="40" w:after="40"/>
              <w:rPr>
                <w:sz w:val="18"/>
                <w:szCs w:val="18"/>
              </w:rPr>
            </w:pPr>
            <w:r w:rsidRPr="00541185">
              <w:rPr>
                <w:color w:val="000000"/>
                <w:sz w:val="18"/>
                <w:szCs w:val="18"/>
              </w:rPr>
              <w:t>Sphygmomanomètres.</w:t>
            </w:r>
          </w:p>
        </w:tc>
        <w:tc>
          <w:tcPr>
            <w:tcW w:w="2598" w:type="dxa"/>
          </w:tcPr>
          <w:p w14:paraId="5567DA28" w14:textId="77777777" w:rsidR="00E126C8" w:rsidRPr="00541185" w:rsidRDefault="00E126C8" w:rsidP="00FD4EE0">
            <w:pPr>
              <w:spacing w:before="40" w:after="40"/>
              <w:rPr>
                <w:sz w:val="18"/>
                <w:szCs w:val="18"/>
              </w:rPr>
            </w:pPr>
            <w:r w:rsidRPr="00541185">
              <w:rPr>
                <w:color w:val="000000"/>
                <w:sz w:val="18"/>
                <w:szCs w:val="18"/>
              </w:rPr>
              <w:t>2020</w:t>
            </w:r>
          </w:p>
        </w:tc>
      </w:tr>
      <w:tr w:rsidR="00E126C8" w:rsidRPr="007C5C0A" w14:paraId="26ADF7A9" w14:textId="77777777" w:rsidTr="00012A36">
        <w:trPr>
          <w:trHeight w:val="57"/>
          <w:jc w:val="right"/>
        </w:trPr>
        <w:tc>
          <w:tcPr>
            <w:tcW w:w="6704" w:type="dxa"/>
          </w:tcPr>
          <w:p w14:paraId="1D82900F" w14:textId="63188FDE" w:rsidR="00E126C8" w:rsidRPr="00541185" w:rsidRDefault="00E126C8" w:rsidP="00FD4EE0">
            <w:pPr>
              <w:spacing w:before="40" w:after="40"/>
              <w:rPr>
                <w:sz w:val="18"/>
                <w:szCs w:val="18"/>
              </w:rPr>
            </w:pPr>
            <w:r w:rsidRPr="00541185">
              <w:rPr>
                <w:color w:val="000000"/>
                <w:sz w:val="18"/>
                <w:szCs w:val="18"/>
              </w:rPr>
              <w:t>Jauges de contrainte pour pléthysmographes</w:t>
            </w:r>
            <w:r w:rsidR="001B3571" w:rsidRPr="00541185">
              <w:rPr>
                <w:color w:val="000000"/>
                <w:sz w:val="18"/>
                <w:szCs w:val="18"/>
              </w:rPr>
              <w:t> </w:t>
            </w:r>
            <w:r w:rsidRPr="00541185">
              <w:rPr>
                <w:color w:val="000000"/>
                <w:sz w:val="18"/>
                <w:szCs w:val="18"/>
              </w:rPr>
              <w:t xml:space="preserve">; </w:t>
            </w:r>
          </w:p>
        </w:tc>
        <w:tc>
          <w:tcPr>
            <w:tcW w:w="2598" w:type="dxa"/>
          </w:tcPr>
          <w:p w14:paraId="34DD3E5B"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3513E4FE" w14:textId="77777777" w:rsidTr="00012A36">
        <w:trPr>
          <w:trHeight w:val="57"/>
          <w:jc w:val="right"/>
        </w:trPr>
        <w:tc>
          <w:tcPr>
            <w:tcW w:w="6704" w:type="dxa"/>
          </w:tcPr>
          <w:p w14:paraId="7B02D69F" w14:textId="709D0FB7" w:rsidR="00E126C8" w:rsidRPr="00541185" w:rsidRDefault="00E126C8" w:rsidP="00FD4EE0">
            <w:pPr>
              <w:spacing w:before="40" w:after="40"/>
              <w:rPr>
                <w:sz w:val="18"/>
                <w:szCs w:val="18"/>
              </w:rPr>
            </w:pPr>
            <w:r w:rsidRPr="00541185">
              <w:rPr>
                <w:color w:val="000000"/>
                <w:sz w:val="18"/>
                <w:szCs w:val="18"/>
              </w:rPr>
              <w:t>Les instruments de mesure électriques et électroniques ci-après, à l</w:t>
            </w:r>
            <w:r w:rsidR="00012A36" w:rsidRPr="00541185">
              <w:rPr>
                <w:color w:val="000000"/>
                <w:sz w:val="18"/>
                <w:szCs w:val="18"/>
              </w:rPr>
              <w:t>’</w:t>
            </w:r>
            <w:r w:rsidRPr="00541185">
              <w:rPr>
                <w:color w:val="000000"/>
                <w:sz w:val="18"/>
                <w:szCs w:val="18"/>
              </w:rPr>
              <w:t>exception de ceux incorporés dans des équipements de grande taille ou utilisés pour des mesures à haute précision, lorsqu</w:t>
            </w:r>
            <w:r w:rsidR="00012A36" w:rsidRPr="00541185">
              <w:rPr>
                <w:color w:val="000000"/>
                <w:sz w:val="18"/>
                <w:szCs w:val="18"/>
              </w:rPr>
              <w:t>’</w:t>
            </w:r>
            <w:r w:rsidRPr="00541185">
              <w:rPr>
                <w:color w:val="000000"/>
                <w:sz w:val="18"/>
                <w:szCs w:val="18"/>
              </w:rPr>
              <w:t>aucune solution de remplacement convenable sans mercure n</w:t>
            </w:r>
            <w:r w:rsidR="00012A36" w:rsidRPr="00541185">
              <w:rPr>
                <w:color w:val="000000"/>
                <w:sz w:val="18"/>
                <w:szCs w:val="18"/>
              </w:rPr>
              <w:t>’</w:t>
            </w:r>
            <w:r w:rsidRPr="00541185">
              <w:rPr>
                <w:color w:val="000000"/>
                <w:sz w:val="18"/>
                <w:szCs w:val="18"/>
              </w:rPr>
              <w:t>est disponible :</w:t>
            </w:r>
          </w:p>
          <w:p w14:paraId="36F095DC" w14:textId="77777777" w:rsidR="00E126C8" w:rsidRPr="00541185" w:rsidRDefault="00E126C8" w:rsidP="007C5C0A">
            <w:pPr>
              <w:keepNext/>
              <w:keepLines/>
              <w:numPr>
                <w:ilvl w:val="0"/>
                <w:numId w:val="21"/>
              </w:numPr>
              <w:tabs>
                <w:tab w:val="clear" w:pos="1247"/>
                <w:tab w:val="clear" w:pos="1814"/>
                <w:tab w:val="clear" w:pos="2381"/>
                <w:tab w:val="clear" w:pos="2948"/>
                <w:tab w:val="clear" w:pos="3515"/>
              </w:tabs>
              <w:spacing w:before="60" w:after="40"/>
              <w:ind w:left="357" w:hanging="357"/>
              <w:rPr>
                <w:sz w:val="18"/>
                <w:szCs w:val="18"/>
              </w:rPr>
            </w:pPr>
            <w:r w:rsidRPr="00541185">
              <w:rPr>
                <w:color w:val="000000"/>
                <w:sz w:val="18"/>
                <w:szCs w:val="18"/>
              </w:rPr>
              <w:t>Transducteurs, transmetteurs et capteurs de pression de fusion</w:t>
            </w:r>
          </w:p>
        </w:tc>
        <w:tc>
          <w:tcPr>
            <w:tcW w:w="2598" w:type="dxa"/>
          </w:tcPr>
          <w:p w14:paraId="46B1FBC1"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0D8CE92E" w14:textId="77777777" w:rsidTr="00012A36">
        <w:trPr>
          <w:trHeight w:val="57"/>
          <w:jc w:val="right"/>
        </w:trPr>
        <w:tc>
          <w:tcPr>
            <w:tcW w:w="6704" w:type="dxa"/>
          </w:tcPr>
          <w:p w14:paraId="5744C1DC" w14:textId="77777777" w:rsidR="00E126C8" w:rsidRPr="00541185" w:rsidRDefault="00E126C8" w:rsidP="00FD4EE0">
            <w:pPr>
              <w:spacing w:before="40" w:after="40"/>
              <w:rPr>
                <w:sz w:val="18"/>
                <w:szCs w:val="18"/>
              </w:rPr>
            </w:pPr>
            <w:r w:rsidRPr="00541185">
              <w:rPr>
                <w:color w:val="000000"/>
                <w:sz w:val="18"/>
                <w:szCs w:val="18"/>
              </w:rPr>
              <w:t>Pompes à vide au mercure</w:t>
            </w:r>
          </w:p>
        </w:tc>
        <w:tc>
          <w:tcPr>
            <w:tcW w:w="2598" w:type="dxa"/>
          </w:tcPr>
          <w:p w14:paraId="03CDE9BF"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5C4C533F" w14:textId="77777777" w:rsidTr="00012A36">
        <w:trPr>
          <w:trHeight w:val="57"/>
          <w:jc w:val="right"/>
        </w:trPr>
        <w:tc>
          <w:tcPr>
            <w:tcW w:w="6704" w:type="dxa"/>
          </w:tcPr>
          <w:p w14:paraId="71DA444D" w14:textId="083F59F7" w:rsidR="00E126C8" w:rsidRPr="00541185" w:rsidRDefault="00E126C8" w:rsidP="00FD4EE0">
            <w:pPr>
              <w:spacing w:before="40" w:after="40"/>
              <w:rPr>
                <w:sz w:val="18"/>
                <w:szCs w:val="18"/>
              </w:rPr>
            </w:pPr>
            <w:r w:rsidRPr="00541185">
              <w:rPr>
                <w:color w:val="000000"/>
                <w:sz w:val="18"/>
                <w:szCs w:val="18"/>
              </w:rPr>
              <w:t>Appareils et masses d</w:t>
            </w:r>
            <w:r w:rsidR="00012A36" w:rsidRPr="00541185">
              <w:rPr>
                <w:color w:val="000000"/>
                <w:sz w:val="18"/>
                <w:szCs w:val="18"/>
              </w:rPr>
              <w:t>’</w:t>
            </w:r>
            <w:r w:rsidRPr="00541185">
              <w:rPr>
                <w:color w:val="000000"/>
                <w:sz w:val="18"/>
                <w:szCs w:val="18"/>
              </w:rPr>
              <w:t>équilibrage de roues</w:t>
            </w:r>
          </w:p>
        </w:tc>
        <w:tc>
          <w:tcPr>
            <w:tcW w:w="2598" w:type="dxa"/>
          </w:tcPr>
          <w:p w14:paraId="5D7B3FD2"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3134FED5" w14:textId="77777777" w:rsidTr="00012A36">
        <w:trPr>
          <w:trHeight w:val="57"/>
          <w:jc w:val="right"/>
        </w:trPr>
        <w:tc>
          <w:tcPr>
            <w:tcW w:w="6704" w:type="dxa"/>
          </w:tcPr>
          <w:p w14:paraId="772290AB" w14:textId="77777777" w:rsidR="00E126C8" w:rsidRPr="00541185" w:rsidRDefault="00E126C8" w:rsidP="00FD4EE0">
            <w:pPr>
              <w:spacing w:before="40" w:after="40"/>
              <w:rPr>
                <w:sz w:val="18"/>
                <w:szCs w:val="18"/>
              </w:rPr>
            </w:pPr>
            <w:r w:rsidRPr="00541185">
              <w:rPr>
                <w:color w:val="000000"/>
                <w:sz w:val="18"/>
                <w:szCs w:val="18"/>
              </w:rPr>
              <w:lastRenderedPageBreak/>
              <w:t>Pellicules et papiers photographiques</w:t>
            </w:r>
          </w:p>
        </w:tc>
        <w:tc>
          <w:tcPr>
            <w:tcW w:w="2598" w:type="dxa"/>
          </w:tcPr>
          <w:p w14:paraId="0414E8D6"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4A7616C3" w14:textId="77777777" w:rsidTr="00012A36">
        <w:trPr>
          <w:trHeight w:val="336"/>
          <w:jc w:val="right"/>
        </w:trPr>
        <w:tc>
          <w:tcPr>
            <w:tcW w:w="6704" w:type="dxa"/>
          </w:tcPr>
          <w:p w14:paraId="592107D8" w14:textId="77777777" w:rsidR="00E126C8" w:rsidRPr="00541185" w:rsidRDefault="00E126C8" w:rsidP="00FD4EE0">
            <w:pPr>
              <w:spacing w:before="40" w:after="40"/>
              <w:rPr>
                <w:sz w:val="18"/>
                <w:szCs w:val="18"/>
              </w:rPr>
            </w:pPr>
            <w:r w:rsidRPr="00541185">
              <w:rPr>
                <w:color w:val="000000"/>
                <w:sz w:val="18"/>
                <w:szCs w:val="18"/>
              </w:rPr>
              <w:t>Propergols pour satellites et vaisseaux spatiaux</w:t>
            </w:r>
          </w:p>
        </w:tc>
        <w:tc>
          <w:tcPr>
            <w:tcW w:w="2598" w:type="dxa"/>
          </w:tcPr>
          <w:p w14:paraId="6336DAD5" w14:textId="77777777" w:rsidR="00E126C8" w:rsidRPr="00541185" w:rsidRDefault="00E126C8" w:rsidP="00FD4EE0">
            <w:pPr>
              <w:spacing w:before="40" w:after="40"/>
              <w:rPr>
                <w:sz w:val="18"/>
                <w:szCs w:val="18"/>
              </w:rPr>
            </w:pPr>
            <w:r w:rsidRPr="00541185">
              <w:rPr>
                <w:color w:val="000000"/>
                <w:sz w:val="18"/>
                <w:szCs w:val="18"/>
              </w:rPr>
              <w:t>2025</w:t>
            </w:r>
          </w:p>
        </w:tc>
      </w:tr>
      <w:tr w:rsidR="00E126C8" w:rsidRPr="007C5C0A" w14:paraId="4346B50F" w14:textId="77777777" w:rsidTr="00012A36">
        <w:trPr>
          <w:trHeight w:val="604"/>
          <w:jc w:val="right"/>
        </w:trPr>
        <w:tc>
          <w:tcPr>
            <w:tcW w:w="6704" w:type="dxa"/>
            <w:shd w:val="clear" w:color="auto" w:fill="D9D9D9"/>
          </w:tcPr>
          <w:p w14:paraId="2F541A92" w14:textId="78BEEB4D" w:rsidR="00E126C8" w:rsidRPr="00541185" w:rsidRDefault="00E126C8" w:rsidP="00FD4EE0">
            <w:pPr>
              <w:spacing w:before="40" w:after="40"/>
              <w:rPr>
                <w:sz w:val="18"/>
                <w:szCs w:val="18"/>
              </w:rPr>
            </w:pPr>
            <w:r w:rsidRPr="00541185">
              <w:rPr>
                <w:color w:val="000000"/>
                <w:sz w:val="18"/>
                <w:szCs w:val="18"/>
              </w:rPr>
              <w:t>Amalgame dentaire, à moins que le praticien de l</w:t>
            </w:r>
            <w:r w:rsidR="00012A36" w:rsidRPr="00541185">
              <w:rPr>
                <w:color w:val="000000"/>
                <w:sz w:val="18"/>
                <w:szCs w:val="18"/>
              </w:rPr>
              <w:t>’</w:t>
            </w:r>
            <w:r w:rsidRPr="00541185">
              <w:rPr>
                <w:color w:val="000000"/>
                <w:sz w:val="18"/>
                <w:szCs w:val="18"/>
              </w:rPr>
              <w:t>art dentaire ne l</w:t>
            </w:r>
            <w:r w:rsidR="00012A36" w:rsidRPr="00541185">
              <w:rPr>
                <w:color w:val="000000"/>
                <w:sz w:val="18"/>
                <w:szCs w:val="18"/>
              </w:rPr>
              <w:t>’</w:t>
            </w:r>
            <w:r w:rsidRPr="00541185">
              <w:rPr>
                <w:color w:val="000000"/>
                <w:sz w:val="18"/>
                <w:szCs w:val="18"/>
              </w:rPr>
              <w:t>estime nécessaire en raison des besoins du patient.</w:t>
            </w:r>
          </w:p>
        </w:tc>
        <w:tc>
          <w:tcPr>
            <w:tcW w:w="2598" w:type="dxa"/>
            <w:shd w:val="clear" w:color="auto" w:fill="D9D9D9"/>
          </w:tcPr>
          <w:p w14:paraId="488C23D0" w14:textId="77777777" w:rsidR="00E126C8" w:rsidRPr="00541185" w:rsidRDefault="00E126C8" w:rsidP="00FD4EE0">
            <w:pPr>
              <w:spacing w:before="40" w:after="40"/>
              <w:rPr>
                <w:sz w:val="18"/>
                <w:szCs w:val="18"/>
              </w:rPr>
            </w:pPr>
            <w:r w:rsidRPr="00541185">
              <w:rPr>
                <w:color w:val="000000"/>
                <w:sz w:val="18"/>
                <w:szCs w:val="18"/>
              </w:rPr>
              <w:t>2034</w:t>
            </w:r>
          </w:p>
        </w:tc>
      </w:tr>
    </w:tbl>
    <w:p w14:paraId="70396EF6" w14:textId="2E12F2C5" w:rsidR="007A5982" w:rsidRPr="007C5C0A" w:rsidRDefault="00F715A5" w:rsidP="00D62786">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after="120"/>
        <w:ind w:left="1247"/>
        <w:rPr>
          <w:sz w:val="18"/>
          <w:szCs w:val="18"/>
        </w:rPr>
      </w:pPr>
      <w:r w:rsidRPr="007C5C0A">
        <w:tab/>
      </w:r>
      <w:r w:rsidRPr="00012A36">
        <w:rPr>
          <w:rFonts w:eastAsia="Times New Roman"/>
          <w:sz w:val="18"/>
          <w:szCs w:val="18"/>
          <w:vertAlign w:val="superscript"/>
          <w:lang w:eastAsia="en-US"/>
        </w:rPr>
        <w:t>1/</w:t>
      </w:r>
      <w:r w:rsidRPr="007C5C0A">
        <w:t xml:space="preserve"> Les cosmétiques, savons et crèmes qui contiennent du mercure sous forme de contaminant à l</w:t>
      </w:r>
      <w:r w:rsidR="00012A36">
        <w:t>’</w:t>
      </w:r>
      <w:r w:rsidRPr="007C5C0A">
        <w:t>état de traces ne sont pas visés.</w:t>
      </w:r>
    </w:p>
    <w:p w14:paraId="6662CCAD" w14:textId="3A1DCD9F" w:rsidR="007A5982" w:rsidRPr="007C5C0A" w:rsidRDefault="00102962" w:rsidP="007C5C0A">
      <w:pPr>
        <w:pStyle w:val="NormalNonumber"/>
        <w:numPr>
          <w:ilvl w:val="0"/>
          <w:numId w:val="24"/>
        </w:numPr>
        <w:tabs>
          <w:tab w:val="clear" w:pos="1247"/>
          <w:tab w:val="clear" w:pos="1871"/>
          <w:tab w:val="clear" w:pos="2495"/>
          <w:tab w:val="clear" w:pos="3119"/>
          <w:tab w:val="clear" w:pos="3742"/>
          <w:tab w:val="clear" w:pos="4366"/>
        </w:tabs>
        <w:spacing w:before="240"/>
        <w:ind w:left="1247" w:firstLine="624"/>
        <w:rPr>
          <w:rFonts w:asciiTheme="majorBidi" w:hAnsiTheme="majorBidi" w:cstheme="majorBidi"/>
          <w:iCs/>
        </w:rPr>
      </w:pPr>
      <w:r w:rsidRPr="007C5C0A">
        <w:rPr>
          <w:i/>
          <w:iCs/>
        </w:rPr>
        <w:t xml:space="preserve">Décide également </w:t>
      </w:r>
      <w:r w:rsidRPr="007C5C0A">
        <w:t>d</w:t>
      </w:r>
      <w:r w:rsidR="00012A36">
        <w:t>’</w:t>
      </w:r>
      <w:r w:rsidRPr="007C5C0A">
        <w:t>étudier, à sa douzième réunion, s</w:t>
      </w:r>
      <w:r w:rsidR="00012A36">
        <w:t>’</w:t>
      </w:r>
      <w:r w:rsidRPr="007C5C0A">
        <w:t>il faut maintenir la dérogation à l</w:t>
      </w:r>
      <w:r w:rsidR="00012A36">
        <w:t>’</w:t>
      </w:r>
      <w:r w:rsidRPr="007C5C0A">
        <w:t>utilisation d</w:t>
      </w:r>
      <w:r w:rsidR="00012A36">
        <w:t>’</w:t>
      </w:r>
      <w:r w:rsidRPr="007C5C0A">
        <w:t>amalgames dentaires visée dans la première partie de l</w:t>
      </w:r>
      <w:r w:rsidR="00012A36">
        <w:t>’</w:t>
      </w:r>
      <w:r w:rsidRPr="007C5C0A">
        <w:t>Annexe A de la Convention</w:t>
      </w:r>
      <w:r w:rsidR="006B4617" w:rsidRPr="007C5C0A">
        <w:t> </w:t>
      </w:r>
      <w:r w:rsidRPr="007C5C0A">
        <w:t>;</w:t>
      </w:r>
    </w:p>
    <w:p w14:paraId="7752E5AE" w14:textId="716A36A7" w:rsidR="007A5982" w:rsidRPr="007C5C0A" w:rsidRDefault="00D715DD" w:rsidP="007C5C0A">
      <w:pPr>
        <w:pStyle w:val="NormalNonumber"/>
        <w:numPr>
          <w:ilvl w:val="0"/>
          <w:numId w:val="24"/>
        </w:numPr>
        <w:tabs>
          <w:tab w:val="clear" w:pos="1247"/>
          <w:tab w:val="clear" w:pos="1871"/>
          <w:tab w:val="clear" w:pos="2495"/>
          <w:tab w:val="clear" w:pos="3119"/>
          <w:tab w:val="clear" w:pos="3742"/>
          <w:tab w:val="clear" w:pos="4366"/>
        </w:tabs>
        <w:ind w:left="1247" w:firstLine="624"/>
        <w:rPr>
          <w:rFonts w:asciiTheme="majorBidi" w:hAnsiTheme="majorBidi" w:cstheme="majorBidi"/>
          <w:iCs/>
        </w:rPr>
      </w:pPr>
      <w:r w:rsidRPr="007C5C0A">
        <w:rPr>
          <w:i/>
          <w:iCs/>
        </w:rPr>
        <w:t>Décide en outre</w:t>
      </w:r>
      <w:r w:rsidRPr="007C5C0A">
        <w:t xml:space="preserve"> d</w:t>
      </w:r>
      <w:r w:rsidR="00012A36">
        <w:t>’</w:t>
      </w:r>
      <w:r w:rsidRPr="007C5C0A">
        <w:t>amender la deuxième partie de l</w:t>
      </w:r>
      <w:r w:rsidR="00012A36">
        <w:t>’</w:t>
      </w:r>
      <w:r w:rsidRPr="007C5C0A">
        <w:t>Annexe A de la Convention comme indiqué dans le tableau suivant</w:t>
      </w:r>
      <w:r w:rsidR="007A5982" w:rsidRPr="007C5C0A">
        <w:rPr>
          <w:rFonts w:asciiTheme="majorBidi" w:hAnsiTheme="majorBidi" w:cstheme="majorBidi"/>
          <w:vertAlign w:val="superscript"/>
        </w:rPr>
        <w:footnoteReference w:id="3"/>
      </w:r>
      <w:r w:rsidRPr="007C5C0A">
        <w:t> :</w:t>
      </w:r>
    </w:p>
    <w:tbl>
      <w:tblPr>
        <w:tblW w:w="9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509"/>
        <w:gridCol w:w="5798"/>
      </w:tblGrid>
      <w:tr w:rsidR="0016431F" w:rsidRPr="007C5C0A" w14:paraId="1262E0CB" w14:textId="77777777" w:rsidTr="00D83F36">
        <w:trPr>
          <w:trHeight w:val="57"/>
          <w:tblHeader/>
          <w:jc w:val="right"/>
        </w:trPr>
        <w:tc>
          <w:tcPr>
            <w:tcW w:w="3509" w:type="dxa"/>
            <w:tcBorders>
              <w:bottom w:val="single" w:sz="4" w:space="0" w:color="auto"/>
            </w:tcBorders>
            <w:vAlign w:val="bottom"/>
          </w:tcPr>
          <w:p w14:paraId="1C5CED18" w14:textId="77777777"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7C5C0A">
              <w:rPr>
                <w:i/>
                <w:iCs/>
                <w:color w:val="000000"/>
              </w:rPr>
              <w:t>Produits contenant du mercure ajouté</w:t>
            </w:r>
          </w:p>
        </w:tc>
        <w:tc>
          <w:tcPr>
            <w:tcW w:w="5798" w:type="dxa"/>
            <w:vAlign w:val="bottom"/>
          </w:tcPr>
          <w:p w14:paraId="34008108" w14:textId="77777777"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7C5C0A">
              <w:rPr>
                <w:i/>
                <w:iCs/>
                <w:color w:val="000000"/>
              </w:rPr>
              <w:t>Dispositions</w:t>
            </w:r>
            <w:r w:rsidRPr="007C5C0A">
              <w:rPr>
                <w:color w:val="000000"/>
              </w:rPr>
              <w:t xml:space="preserve"> </w:t>
            </w:r>
          </w:p>
        </w:tc>
      </w:tr>
      <w:tr w:rsidR="0016431F" w:rsidRPr="007C5C0A" w14:paraId="5EE20D83" w14:textId="77777777" w:rsidTr="00D83F36">
        <w:trPr>
          <w:trHeight w:val="57"/>
          <w:jc w:val="right"/>
        </w:trPr>
        <w:tc>
          <w:tcPr>
            <w:tcW w:w="3509" w:type="dxa"/>
            <w:vMerge w:val="restart"/>
            <w:tcBorders>
              <w:top w:val="single" w:sz="4" w:space="0" w:color="auto"/>
              <w:bottom w:val="nil"/>
            </w:tcBorders>
          </w:tcPr>
          <w:p w14:paraId="76569583" w14:textId="77777777"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b/>
                <w:bCs/>
                <w:sz w:val="18"/>
                <w:szCs w:val="18"/>
              </w:rPr>
            </w:pPr>
            <w:r w:rsidRPr="007C5C0A">
              <w:rPr>
                <w:color w:val="000000"/>
              </w:rPr>
              <w:t>Amalgames dentaires</w:t>
            </w:r>
          </w:p>
        </w:tc>
        <w:tc>
          <w:tcPr>
            <w:tcW w:w="5798" w:type="dxa"/>
            <w:tcBorders>
              <w:bottom w:val="nil"/>
            </w:tcBorders>
          </w:tcPr>
          <w:p w14:paraId="72B2A8E7" w14:textId="3B13BC98"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C5C0A">
              <w:rPr>
                <w:color w:val="000000"/>
              </w:rPr>
              <w:t>Les mesures qu</w:t>
            </w:r>
            <w:r w:rsidR="00012A36">
              <w:rPr>
                <w:color w:val="000000"/>
              </w:rPr>
              <w:t>’</w:t>
            </w:r>
            <w:r w:rsidRPr="007C5C0A">
              <w:rPr>
                <w:color w:val="000000"/>
              </w:rPr>
              <w:t>une Partie doit prendre pour éliminer progressivement l</w:t>
            </w:r>
            <w:r w:rsidR="00012A36">
              <w:rPr>
                <w:color w:val="000000"/>
              </w:rPr>
              <w:t>’</w:t>
            </w:r>
            <w:r w:rsidRPr="007C5C0A">
              <w:rPr>
                <w:color w:val="000000"/>
              </w:rPr>
              <w:t>utilisation d</w:t>
            </w:r>
            <w:r w:rsidR="00012A36">
              <w:rPr>
                <w:color w:val="000000"/>
              </w:rPr>
              <w:t>’</w:t>
            </w:r>
            <w:r w:rsidRPr="007C5C0A">
              <w:rPr>
                <w:color w:val="000000"/>
              </w:rPr>
              <w:t>amalgames dentaires doivent tenir compte de sa situation nationale et des orientations internationales pertinentes et comprendre deux ou plusieurs des mesures suivantes</w:t>
            </w:r>
            <w:r w:rsidR="006B4617" w:rsidRPr="007C5C0A">
              <w:rPr>
                <w:color w:val="000000"/>
              </w:rPr>
              <w:t> </w:t>
            </w:r>
            <w:r w:rsidRPr="007C5C0A">
              <w:rPr>
                <w:color w:val="000000"/>
              </w:rPr>
              <w:t>:</w:t>
            </w:r>
          </w:p>
          <w:p w14:paraId="4B069423" w14:textId="7756DF75"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Définir des objectifs nationaux de prévention des caries et de promotion de l</w:t>
            </w:r>
            <w:r w:rsidR="00012A36">
              <w:rPr>
                <w:color w:val="000000"/>
              </w:rPr>
              <w:t>’</w:t>
            </w:r>
            <w:r w:rsidRPr="007C5C0A">
              <w:rPr>
                <w:color w:val="000000"/>
              </w:rPr>
              <w:t xml:space="preserve">hygiène dentaire pour réduire autant que possible le besoin de restauration dentaire ; </w:t>
            </w:r>
          </w:p>
          <w:p w14:paraId="566DE40C" w14:textId="77777777"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Définir des objectifs nationaux visant à réduire autant que possible leur utilisation ;</w:t>
            </w:r>
          </w:p>
          <w:p w14:paraId="50D27853" w14:textId="32A3C362"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Promouvoir l</w:t>
            </w:r>
            <w:r w:rsidR="00012A36">
              <w:rPr>
                <w:color w:val="000000"/>
              </w:rPr>
              <w:t>’</w:t>
            </w:r>
            <w:r w:rsidRPr="007C5C0A">
              <w:rPr>
                <w:color w:val="000000"/>
              </w:rPr>
              <w:t xml:space="preserve">utilisation de matériaux de restauration dentaire économiques et cliniquement efficaces qui ne contiennent pas de mercure ; </w:t>
            </w:r>
          </w:p>
          <w:p w14:paraId="355EEB6F" w14:textId="77777777"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u w:val="single"/>
              </w:rPr>
            </w:pPr>
            <w:r w:rsidRPr="007C5C0A">
              <w:rPr>
                <w:color w:val="000000"/>
              </w:rPr>
              <w:t>Promouvoir les activités de recherche-développement axées sur des matériaux de restauration dentaire de qualité qui ne contiennent pas de mercure ;</w:t>
            </w:r>
          </w:p>
          <w:p w14:paraId="157ACEA7" w14:textId="7057C933"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Encourager les organisations professionnelles représentatives et les écoles de médecine dentaire à éduquer et former les professionnels du secteur dentaire et les étudiants à l</w:t>
            </w:r>
            <w:r w:rsidR="00012A36">
              <w:rPr>
                <w:color w:val="000000"/>
              </w:rPr>
              <w:t>’</w:t>
            </w:r>
            <w:r w:rsidRPr="007C5C0A">
              <w:rPr>
                <w:color w:val="000000"/>
              </w:rPr>
              <w:t>utilisation de matériaux de restauration dentaire sans mercure et à la promotion des meilleures pratiques de gestion</w:t>
            </w:r>
            <w:r w:rsidR="006511A6">
              <w:rPr>
                <w:color w:val="000000"/>
              </w:rPr>
              <w:t> </w:t>
            </w:r>
            <w:r w:rsidRPr="007C5C0A">
              <w:rPr>
                <w:color w:val="000000"/>
              </w:rPr>
              <w:t>;</w:t>
            </w:r>
          </w:p>
          <w:p w14:paraId="2356A187" w14:textId="1905E69A"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Décourager les polices d</w:t>
            </w:r>
            <w:r w:rsidR="00012A36">
              <w:rPr>
                <w:color w:val="000000"/>
              </w:rPr>
              <w:t>’</w:t>
            </w:r>
            <w:r w:rsidRPr="007C5C0A">
              <w:rPr>
                <w:color w:val="000000"/>
              </w:rPr>
              <w:t xml:space="preserve">assurance et programmes qui privilégient les amalgames plutôt que les matériaux de restauration dentaire sans mercure ; </w:t>
            </w:r>
          </w:p>
          <w:p w14:paraId="4D7F8F1C" w14:textId="370A4C72"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Encourager les polices d</w:t>
            </w:r>
            <w:r w:rsidR="00012A36">
              <w:rPr>
                <w:color w:val="000000"/>
              </w:rPr>
              <w:t>’</w:t>
            </w:r>
            <w:r w:rsidRPr="007C5C0A">
              <w:rPr>
                <w:color w:val="000000"/>
              </w:rPr>
              <w:t>assurance et programmes qui favorisent l</w:t>
            </w:r>
            <w:r w:rsidR="00012A36">
              <w:rPr>
                <w:color w:val="000000"/>
              </w:rPr>
              <w:t>’</w:t>
            </w:r>
            <w:r w:rsidRPr="007C5C0A">
              <w:rPr>
                <w:color w:val="000000"/>
              </w:rPr>
              <w:t>utilisation de matériaux de restauration dentaire de qualité sans mercure ;</w:t>
            </w:r>
          </w:p>
          <w:p w14:paraId="31A2018F" w14:textId="006983E4"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Restreindre l</w:t>
            </w:r>
            <w:r w:rsidR="00012A36">
              <w:rPr>
                <w:color w:val="000000"/>
              </w:rPr>
              <w:t>’</w:t>
            </w:r>
            <w:r w:rsidRPr="007C5C0A">
              <w:rPr>
                <w:color w:val="000000"/>
              </w:rPr>
              <w:t>utilisation d</w:t>
            </w:r>
            <w:r w:rsidR="00012A36">
              <w:rPr>
                <w:color w:val="000000"/>
              </w:rPr>
              <w:t>’</w:t>
            </w:r>
            <w:r w:rsidRPr="007C5C0A">
              <w:rPr>
                <w:color w:val="000000"/>
              </w:rPr>
              <w:t>amalgames dentaires à leur forme encapsulée ;</w:t>
            </w:r>
          </w:p>
          <w:p w14:paraId="2F22A35E" w14:textId="7EC1A413" w:rsidR="0016431F" w:rsidRPr="007C5C0A" w:rsidRDefault="0016431F" w:rsidP="007C5C0A">
            <w:pPr>
              <w:numPr>
                <w:ilvl w:val="0"/>
                <w:numId w:val="22"/>
              </w:numPr>
              <w:tabs>
                <w:tab w:val="clear" w:pos="1247"/>
                <w:tab w:val="clear" w:pos="1814"/>
                <w:tab w:val="clear" w:pos="2381"/>
                <w:tab w:val="clear" w:pos="2948"/>
                <w:tab w:val="clear" w:pos="3515"/>
              </w:tabs>
              <w:spacing w:before="40" w:after="40"/>
              <w:ind w:left="454" w:hanging="454"/>
              <w:rPr>
                <w:rFonts w:asciiTheme="majorBidi" w:hAnsiTheme="majorBidi" w:cstheme="majorBidi"/>
                <w:b/>
                <w:bCs/>
                <w:sz w:val="18"/>
                <w:szCs w:val="18"/>
              </w:rPr>
            </w:pPr>
            <w:r w:rsidRPr="007C5C0A">
              <w:rPr>
                <w:color w:val="000000"/>
              </w:rPr>
              <w:t>Promouvoir l</w:t>
            </w:r>
            <w:r w:rsidR="00012A36">
              <w:rPr>
                <w:color w:val="000000"/>
              </w:rPr>
              <w:t>’</w:t>
            </w:r>
            <w:r w:rsidRPr="007C5C0A">
              <w:rPr>
                <w:color w:val="000000"/>
              </w:rPr>
              <w:t>utilisation des meilleures pratiques environnementales dans les établissements de soins dentaires afin de réduire les rejets de mercure et de composés du mercure dans l</w:t>
            </w:r>
            <w:r w:rsidR="00012A36">
              <w:rPr>
                <w:color w:val="000000"/>
              </w:rPr>
              <w:t>’</w:t>
            </w:r>
            <w:r w:rsidRPr="007C5C0A">
              <w:rPr>
                <w:color w:val="000000"/>
              </w:rPr>
              <w:t>eau et le sol.</w:t>
            </w:r>
          </w:p>
        </w:tc>
      </w:tr>
      <w:tr w:rsidR="0016431F" w:rsidRPr="007C5C0A" w14:paraId="5E80FD1C" w14:textId="77777777" w:rsidTr="00D83F36">
        <w:trPr>
          <w:trHeight w:val="57"/>
          <w:jc w:val="right"/>
        </w:trPr>
        <w:tc>
          <w:tcPr>
            <w:tcW w:w="3509" w:type="dxa"/>
            <w:vMerge/>
            <w:tcBorders>
              <w:bottom w:val="nil"/>
            </w:tcBorders>
          </w:tcPr>
          <w:p w14:paraId="212D358E" w14:textId="77777777" w:rsidR="0016431F" w:rsidRPr="007C5C0A" w:rsidRDefault="0016431F" w:rsidP="00FD4EE0">
            <w:pPr>
              <w:snapToGrid w:val="0"/>
              <w:spacing w:before="40" w:after="40"/>
              <w:ind w:right="4060"/>
              <w:rPr>
                <w:rFonts w:asciiTheme="majorBidi" w:hAnsiTheme="majorBidi" w:cstheme="majorBidi"/>
                <w:sz w:val="18"/>
                <w:szCs w:val="18"/>
              </w:rPr>
            </w:pPr>
          </w:p>
        </w:tc>
        <w:tc>
          <w:tcPr>
            <w:tcW w:w="5798" w:type="dxa"/>
            <w:tcBorders>
              <w:top w:val="nil"/>
              <w:bottom w:val="nil"/>
            </w:tcBorders>
          </w:tcPr>
          <w:p w14:paraId="5E6C4FB1" w14:textId="7B3CC598"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C5C0A">
              <w:rPr>
                <w:color w:val="000000"/>
              </w:rPr>
              <w:t>En outre, les Parties doivent</w:t>
            </w:r>
            <w:r w:rsidR="006511A6">
              <w:rPr>
                <w:color w:val="000000"/>
              </w:rPr>
              <w:t> </w:t>
            </w:r>
            <w:r w:rsidRPr="007C5C0A">
              <w:rPr>
                <w:color w:val="000000"/>
              </w:rPr>
              <w:t>:</w:t>
            </w:r>
          </w:p>
          <w:p w14:paraId="7C3A2199" w14:textId="1F6ED5DB" w:rsidR="0016431F" w:rsidRPr="007C5C0A" w:rsidRDefault="0016431F" w:rsidP="007C5C0A">
            <w:pPr>
              <w:numPr>
                <w:ilvl w:val="0"/>
                <w:numId w:val="23"/>
              </w:numPr>
              <w:tabs>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t>Proscrire ou empêcher, en prenant des mesures appropriées, l</w:t>
            </w:r>
            <w:r w:rsidR="00012A36">
              <w:rPr>
                <w:color w:val="000000"/>
              </w:rPr>
              <w:t>’</w:t>
            </w:r>
            <w:r w:rsidRPr="007C5C0A">
              <w:rPr>
                <w:color w:val="000000"/>
              </w:rPr>
              <w:t xml:space="preserve">utilisation de mercure en vrac par les praticiens dentaires ; </w:t>
            </w:r>
          </w:p>
          <w:p w14:paraId="5D27E4CA" w14:textId="0E86EA69" w:rsidR="0016431F" w:rsidRPr="007C5C0A" w:rsidRDefault="0016431F" w:rsidP="007C5C0A">
            <w:pPr>
              <w:numPr>
                <w:ilvl w:val="0"/>
                <w:numId w:val="23"/>
              </w:numPr>
              <w:tabs>
                <w:tab w:val="clear" w:pos="1814"/>
                <w:tab w:val="clear" w:pos="2381"/>
                <w:tab w:val="clear" w:pos="2948"/>
                <w:tab w:val="clear" w:pos="3515"/>
              </w:tabs>
              <w:spacing w:before="40" w:after="40"/>
              <w:ind w:left="454" w:hanging="454"/>
              <w:rPr>
                <w:rFonts w:asciiTheme="majorBidi" w:hAnsiTheme="majorBidi" w:cstheme="majorBidi"/>
                <w:sz w:val="18"/>
                <w:szCs w:val="18"/>
              </w:rPr>
            </w:pPr>
            <w:r w:rsidRPr="007C5C0A">
              <w:rPr>
                <w:color w:val="000000"/>
              </w:rPr>
              <w:lastRenderedPageBreak/>
              <w:t>Proscrire ou empêcher, en prenant des mesures appropriées, ou déconseiller l</w:t>
            </w:r>
            <w:r w:rsidR="00012A36">
              <w:rPr>
                <w:color w:val="000000"/>
              </w:rPr>
              <w:t>’</w:t>
            </w:r>
            <w:r w:rsidRPr="007C5C0A">
              <w:rPr>
                <w:color w:val="000000"/>
              </w:rPr>
              <w:t>utilisation d</w:t>
            </w:r>
            <w:r w:rsidR="00012A36">
              <w:rPr>
                <w:color w:val="000000"/>
              </w:rPr>
              <w:t>’</w:t>
            </w:r>
            <w:r w:rsidRPr="007C5C0A">
              <w:rPr>
                <w:color w:val="000000"/>
              </w:rPr>
              <w:t>amalgames dentaires dans les interventions sur des dents de lait, des patients de moins de 15 ans et des femmes enceintes ou allaitantes, à moins que le praticien de l</w:t>
            </w:r>
            <w:r w:rsidR="00012A36">
              <w:rPr>
                <w:color w:val="000000"/>
              </w:rPr>
              <w:t>’</w:t>
            </w:r>
            <w:r w:rsidRPr="007C5C0A">
              <w:rPr>
                <w:color w:val="000000"/>
              </w:rPr>
              <w:t>art dentaire ne l</w:t>
            </w:r>
            <w:r w:rsidR="00012A36">
              <w:rPr>
                <w:color w:val="000000"/>
              </w:rPr>
              <w:t>’</w:t>
            </w:r>
            <w:r w:rsidRPr="007C5C0A">
              <w:rPr>
                <w:color w:val="000000"/>
              </w:rPr>
              <w:t>estime nécessaire en raison des besoins du patient.</w:t>
            </w:r>
          </w:p>
        </w:tc>
      </w:tr>
      <w:tr w:rsidR="0016431F" w:rsidRPr="007C5C0A" w14:paraId="7005DBF0" w14:textId="77777777" w:rsidTr="00D83F36">
        <w:trPr>
          <w:trHeight w:val="1086"/>
          <w:jc w:val="right"/>
        </w:trPr>
        <w:tc>
          <w:tcPr>
            <w:tcW w:w="3509" w:type="dxa"/>
            <w:vMerge w:val="restart"/>
            <w:tcBorders>
              <w:top w:val="nil"/>
            </w:tcBorders>
          </w:tcPr>
          <w:p w14:paraId="157B1250" w14:textId="77777777" w:rsidR="0016431F" w:rsidRPr="007C5C0A" w:rsidRDefault="0016431F" w:rsidP="00FD4EE0">
            <w:pPr>
              <w:snapToGrid w:val="0"/>
              <w:spacing w:before="40" w:after="40"/>
              <w:ind w:right="4060"/>
              <w:rPr>
                <w:rFonts w:asciiTheme="majorBidi" w:hAnsiTheme="majorBidi" w:cstheme="majorBidi"/>
                <w:sz w:val="18"/>
                <w:szCs w:val="18"/>
              </w:rPr>
            </w:pPr>
          </w:p>
        </w:tc>
        <w:tc>
          <w:tcPr>
            <w:tcW w:w="5798" w:type="dxa"/>
            <w:tcBorders>
              <w:top w:val="nil"/>
              <w:bottom w:val="single" w:sz="4" w:space="0" w:color="auto"/>
            </w:tcBorders>
          </w:tcPr>
          <w:p w14:paraId="2D7A3332" w14:textId="43C867C6"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C5C0A">
              <w:rPr>
                <w:color w:val="000000"/>
              </w:rPr>
              <w:t>En outre, les Parties qui n</w:t>
            </w:r>
            <w:r w:rsidR="00012A36">
              <w:rPr>
                <w:color w:val="000000"/>
              </w:rPr>
              <w:t>’</w:t>
            </w:r>
            <w:r w:rsidRPr="007C5C0A">
              <w:rPr>
                <w:color w:val="000000"/>
              </w:rPr>
              <w:t>ont pas encore retiré les amalgames dentaires de la circulation doivent :</w:t>
            </w:r>
          </w:p>
          <w:p w14:paraId="440ADE7B" w14:textId="25CFC3AA" w:rsidR="0016431F" w:rsidRPr="00A45B0E" w:rsidRDefault="0016431F" w:rsidP="00A45B0E">
            <w:pPr>
              <w:numPr>
                <w:ilvl w:val="0"/>
                <w:numId w:val="29"/>
              </w:numPr>
              <w:tabs>
                <w:tab w:val="clear" w:pos="1814"/>
                <w:tab w:val="clear" w:pos="2381"/>
                <w:tab w:val="clear" w:pos="2948"/>
                <w:tab w:val="clear" w:pos="3515"/>
              </w:tabs>
              <w:spacing w:before="40" w:after="40"/>
              <w:rPr>
                <w:rFonts w:asciiTheme="majorBidi" w:hAnsiTheme="majorBidi" w:cstheme="majorBidi"/>
                <w:sz w:val="18"/>
                <w:szCs w:val="18"/>
              </w:rPr>
            </w:pPr>
            <w:r w:rsidRPr="00A45B0E">
              <w:rPr>
                <w:color w:val="000000"/>
              </w:rPr>
              <w:t>Présenter à intervalles quadriennaux au secrétariat, dans le cadre de leur rapport national, un plan d</w:t>
            </w:r>
            <w:r w:rsidR="00012A36" w:rsidRPr="00A45B0E">
              <w:rPr>
                <w:color w:val="000000"/>
              </w:rPr>
              <w:t>’</w:t>
            </w:r>
            <w:r w:rsidRPr="00A45B0E">
              <w:rPr>
                <w:color w:val="000000"/>
              </w:rPr>
              <w:t>action national ou un rapport établi à partir des informations disponibles au sujet des progrès qu</w:t>
            </w:r>
            <w:r w:rsidR="00012A36" w:rsidRPr="00A45B0E">
              <w:rPr>
                <w:color w:val="000000"/>
              </w:rPr>
              <w:t>’</w:t>
            </w:r>
            <w:r w:rsidRPr="00A45B0E">
              <w:rPr>
                <w:color w:val="000000"/>
              </w:rPr>
              <w:t>elles ont enregistrés ou sont en train de faire concernant la réduction ou la cessation progressive de l</w:t>
            </w:r>
            <w:r w:rsidR="00012A36" w:rsidRPr="00A45B0E">
              <w:rPr>
                <w:color w:val="000000"/>
              </w:rPr>
              <w:t>’</w:t>
            </w:r>
            <w:r w:rsidRPr="00A45B0E">
              <w:rPr>
                <w:color w:val="000000"/>
              </w:rPr>
              <w:t>utilisation d</w:t>
            </w:r>
            <w:r w:rsidR="00012A36" w:rsidRPr="00A45B0E">
              <w:rPr>
                <w:color w:val="000000"/>
              </w:rPr>
              <w:t>’</w:t>
            </w:r>
            <w:r w:rsidRPr="00A45B0E">
              <w:rPr>
                <w:color w:val="000000"/>
              </w:rPr>
              <w:t>amalgames dentaires.</w:t>
            </w:r>
          </w:p>
        </w:tc>
      </w:tr>
      <w:tr w:rsidR="0016431F" w:rsidRPr="007C5C0A" w14:paraId="0CA02485" w14:textId="77777777" w:rsidTr="00D83F36">
        <w:trPr>
          <w:trHeight w:val="778"/>
          <w:jc w:val="right"/>
        </w:trPr>
        <w:tc>
          <w:tcPr>
            <w:tcW w:w="3509" w:type="dxa"/>
            <w:vMerge/>
          </w:tcPr>
          <w:p w14:paraId="2BD37C6D" w14:textId="77777777" w:rsidR="0016431F" w:rsidRPr="007C5C0A" w:rsidRDefault="0016431F" w:rsidP="00FD4EE0">
            <w:pPr>
              <w:snapToGrid w:val="0"/>
              <w:spacing w:before="40" w:after="40"/>
              <w:ind w:right="4060"/>
              <w:rPr>
                <w:rFonts w:asciiTheme="majorBidi" w:hAnsiTheme="majorBidi" w:cstheme="majorBidi"/>
                <w:sz w:val="18"/>
                <w:szCs w:val="18"/>
              </w:rPr>
            </w:pPr>
          </w:p>
        </w:tc>
        <w:tc>
          <w:tcPr>
            <w:tcW w:w="5798" w:type="dxa"/>
            <w:tcBorders>
              <w:top w:val="single" w:sz="4" w:space="0" w:color="auto"/>
            </w:tcBorders>
            <w:shd w:val="clear" w:color="auto" w:fill="D9D9D9"/>
          </w:tcPr>
          <w:p w14:paraId="6B592D59" w14:textId="04561FE9" w:rsidR="0016431F" w:rsidRPr="007C5C0A" w:rsidRDefault="0016431F" w:rsidP="00FD4EE0">
            <w:pPr>
              <w:spacing w:before="40" w:after="40"/>
              <w:rPr>
                <w:rFonts w:asciiTheme="majorBidi" w:hAnsiTheme="majorBidi" w:cstheme="majorBidi"/>
                <w:sz w:val="18"/>
                <w:szCs w:val="18"/>
              </w:rPr>
            </w:pPr>
            <w:r w:rsidRPr="007C5C0A">
              <w:rPr>
                <w:color w:val="000000"/>
              </w:rPr>
              <w:t>En outre, les Parties qui n</w:t>
            </w:r>
            <w:r w:rsidR="00012A36">
              <w:rPr>
                <w:color w:val="000000"/>
              </w:rPr>
              <w:t>’</w:t>
            </w:r>
            <w:r w:rsidRPr="007C5C0A">
              <w:rPr>
                <w:color w:val="000000"/>
              </w:rPr>
              <w:t>ont pas encore retiré les amalgames dentaires de la circulation doivent :</w:t>
            </w:r>
          </w:p>
          <w:p w14:paraId="572DA1AC" w14:textId="40CAE761" w:rsidR="0016431F" w:rsidRPr="007C5C0A"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7C5C0A">
              <w:rPr>
                <w:color w:val="000000"/>
              </w:rPr>
              <w:t>i)</w:t>
            </w:r>
            <w:r w:rsidRPr="007C5C0A">
              <w:rPr>
                <w:color w:val="000000"/>
              </w:rPr>
              <w:tab/>
              <w:t>Prendre des mesures, s</w:t>
            </w:r>
            <w:r w:rsidR="00012A36">
              <w:rPr>
                <w:color w:val="000000"/>
              </w:rPr>
              <w:t>’</w:t>
            </w:r>
            <w:r w:rsidRPr="007C5C0A">
              <w:rPr>
                <w:color w:val="000000"/>
              </w:rPr>
              <w:t>il y a lieu, pour empêcher ou réduire considérablement l</w:t>
            </w:r>
            <w:r w:rsidR="00012A36">
              <w:rPr>
                <w:color w:val="000000"/>
              </w:rPr>
              <w:t>’</w:t>
            </w:r>
            <w:r w:rsidRPr="007C5C0A">
              <w:rPr>
                <w:color w:val="000000"/>
              </w:rPr>
              <w:t>utilisation d</w:t>
            </w:r>
            <w:r w:rsidR="00012A36">
              <w:rPr>
                <w:color w:val="000000"/>
              </w:rPr>
              <w:t>’</w:t>
            </w:r>
            <w:r w:rsidRPr="007C5C0A">
              <w:rPr>
                <w:color w:val="000000"/>
              </w:rPr>
              <w:t>amalgames dentaires, à moins que le praticien de l</w:t>
            </w:r>
            <w:r w:rsidR="00012A36">
              <w:rPr>
                <w:color w:val="000000"/>
              </w:rPr>
              <w:t>’</w:t>
            </w:r>
            <w:r w:rsidRPr="007C5C0A">
              <w:rPr>
                <w:color w:val="000000"/>
              </w:rPr>
              <w:t>art dentaire ne l</w:t>
            </w:r>
            <w:r w:rsidR="00012A36">
              <w:rPr>
                <w:color w:val="000000"/>
              </w:rPr>
              <w:t>’</w:t>
            </w:r>
            <w:r w:rsidRPr="007C5C0A">
              <w:rPr>
                <w:color w:val="000000"/>
              </w:rPr>
              <w:t>estime nécessaire en raison des besoins du patient.</w:t>
            </w:r>
          </w:p>
        </w:tc>
      </w:tr>
    </w:tbl>
    <w:p w14:paraId="13603D75" w14:textId="79A3E99C" w:rsidR="007A5982" w:rsidRPr="007C5C0A" w:rsidRDefault="007A5982" w:rsidP="007C5C0A">
      <w:pPr>
        <w:pStyle w:val="NormalNonumber"/>
        <w:numPr>
          <w:ilvl w:val="0"/>
          <w:numId w:val="24"/>
        </w:numPr>
        <w:tabs>
          <w:tab w:val="clear" w:pos="1247"/>
          <w:tab w:val="clear" w:pos="1871"/>
          <w:tab w:val="clear" w:pos="2495"/>
          <w:tab w:val="clear" w:pos="3119"/>
          <w:tab w:val="clear" w:pos="3742"/>
          <w:tab w:val="clear" w:pos="4366"/>
        </w:tabs>
        <w:spacing w:before="240"/>
        <w:ind w:left="1247" w:firstLine="624"/>
        <w:rPr>
          <w:rFonts w:asciiTheme="majorBidi" w:hAnsiTheme="majorBidi" w:cstheme="majorBidi"/>
        </w:rPr>
      </w:pPr>
      <w:r w:rsidRPr="007C5C0A">
        <w:rPr>
          <w:i/>
          <w:iCs/>
        </w:rPr>
        <w:t>Est consciente</w:t>
      </w:r>
      <w:r w:rsidRPr="007C5C0A">
        <w:t xml:space="preserve"> qu</w:t>
      </w:r>
      <w:r w:rsidR="00012A36">
        <w:t>’</w:t>
      </w:r>
      <w:r w:rsidRPr="007C5C0A">
        <w:t>aux fins de l</w:t>
      </w:r>
      <w:r w:rsidR="00012A36">
        <w:t>’</w:t>
      </w:r>
      <w:r w:rsidRPr="007C5C0A">
        <w:t>établissement des rapports, les Parties à l</w:t>
      </w:r>
      <w:r w:rsidR="00012A36">
        <w:t>’</w:t>
      </w:r>
      <w:r w:rsidRPr="007C5C0A">
        <w:t>égard desquelles l</w:t>
      </w:r>
      <w:r w:rsidR="00012A36">
        <w:t>’</w:t>
      </w:r>
      <w:r w:rsidRPr="007C5C0A">
        <w:t>amendement à la première partie de l</w:t>
      </w:r>
      <w:r w:rsidR="00012A36">
        <w:t>’</w:t>
      </w:r>
      <w:r w:rsidRPr="007C5C0A">
        <w:t>Annexe A est entré en vigueur et qui ne se sont pas prévalues des dérogations prévues à l</w:t>
      </w:r>
      <w:r w:rsidR="00012A36">
        <w:t>’</w:t>
      </w:r>
      <w:r w:rsidRPr="007C5C0A">
        <w:t>article 6 ne seraient pas tenues d</w:t>
      </w:r>
      <w:r w:rsidR="00012A36">
        <w:t>’</w:t>
      </w:r>
      <w:r w:rsidRPr="007C5C0A">
        <w:t>établir des rapports sur la deuxième partie</w:t>
      </w:r>
      <w:r w:rsidR="001B3571">
        <w:t> </w:t>
      </w:r>
      <w:r w:rsidRPr="007C5C0A">
        <w:t>;</w:t>
      </w:r>
    </w:p>
    <w:p w14:paraId="6E227C48" w14:textId="57A08690" w:rsidR="007A5982" w:rsidRPr="007C5C0A" w:rsidRDefault="007A5982" w:rsidP="007C5C0A">
      <w:pPr>
        <w:pStyle w:val="NormalNonumber"/>
        <w:numPr>
          <w:ilvl w:val="0"/>
          <w:numId w:val="24"/>
        </w:numPr>
        <w:tabs>
          <w:tab w:val="clear" w:pos="1247"/>
          <w:tab w:val="clear" w:pos="1871"/>
          <w:tab w:val="clear" w:pos="2495"/>
          <w:tab w:val="clear" w:pos="3119"/>
          <w:tab w:val="clear" w:pos="3742"/>
          <w:tab w:val="clear" w:pos="4366"/>
        </w:tabs>
        <w:ind w:left="1247" w:firstLine="624"/>
        <w:rPr>
          <w:rFonts w:asciiTheme="majorBidi" w:hAnsiTheme="majorBidi" w:cstheme="majorBidi"/>
        </w:rPr>
      </w:pPr>
      <w:r w:rsidRPr="007C5C0A">
        <w:rPr>
          <w:i/>
          <w:iCs/>
        </w:rPr>
        <w:t>Prie</w:t>
      </w:r>
      <w:r w:rsidRPr="007C5C0A">
        <w:t xml:space="preserve"> le secrétariat d</w:t>
      </w:r>
      <w:r w:rsidR="00012A36">
        <w:t>’</w:t>
      </w:r>
      <w:r w:rsidRPr="007C5C0A">
        <w:t>élaborer un formulaire révisé de présentation des rapports au titre de l</w:t>
      </w:r>
      <w:r w:rsidR="00012A36">
        <w:t>’</w:t>
      </w:r>
      <w:r w:rsidRPr="007C5C0A">
        <w:t>article</w:t>
      </w:r>
      <w:r w:rsidR="00375D70">
        <w:t> </w:t>
      </w:r>
      <w:r w:rsidRPr="007C5C0A">
        <w:t>21 à la lumière des amendements apportés à l</w:t>
      </w:r>
      <w:r w:rsidR="00012A36">
        <w:t>’</w:t>
      </w:r>
      <w:r w:rsidRPr="007C5C0A">
        <w:t>Annexe A et de mettre à jour le document d</w:t>
      </w:r>
      <w:r w:rsidR="00012A36">
        <w:t>’</w:t>
      </w:r>
      <w:r w:rsidRPr="007C5C0A">
        <w:t>orientation et l</w:t>
      </w:r>
      <w:r w:rsidR="00012A36">
        <w:t>’</w:t>
      </w:r>
      <w:r w:rsidRPr="007C5C0A">
        <w:t>outil électronique en ligne pour la présentation des rapports.</w:t>
      </w:r>
    </w:p>
    <w:p w14:paraId="6932C904" w14:textId="77777777" w:rsidR="007A5982" w:rsidRPr="007C5C0A" w:rsidRDefault="007A5982" w:rsidP="00C03C89">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875B26" w:rsidRPr="007C5C0A" w14:paraId="6F0BCDD6" w14:textId="77777777" w:rsidTr="00875B26">
        <w:tc>
          <w:tcPr>
            <w:tcW w:w="1897" w:type="dxa"/>
          </w:tcPr>
          <w:p w14:paraId="75BF03D8" w14:textId="77777777" w:rsidR="00875B26" w:rsidRPr="007C5C0A" w:rsidRDefault="00875B26" w:rsidP="00B019F8">
            <w:pPr>
              <w:pStyle w:val="Normal-pool"/>
              <w:spacing w:before="520"/>
            </w:pPr>
          </w:p>
        </w:tc>
        <w:tc>
          <w:tcPr>
            <w:tcW w:w="1897" w:type="dxa"/>
          </w:tcPr>
          <w:p w14:paraId="3C03609E" w14:textId="77777777" w:rsidR="00875B26" w:rsidRPr="007C5C0A" w:rsidRDefault="00875B26" w:rsidP="00B019F8">
            <w:pPr>
              <w:pStyle w:val="Normal-pool"/>
              <w:spacing w:before="520"/>
            </w:pPr>
          </w:p>
        </w:tc>
        <w:tc>
          <w:tcPr>
            <w:tcW w:w="1897" w:type="dxa"/>
            <w:tcBorders>
              <w:bottom w:val="single" w:sz="4" w:space="0" w:color="auto"/>
            </w:tcBorders>
          </w:tcPr>
          <w:p w14:paraId="689E5DA5" w14:textId="77777777" w:rsidR="00875B26" w:rsidRPr="007C5C0A" w:rsidRDefault="00875B26" w:rsidP="00B019F8">
            <w:pPr>
              <w:pStyle w:val="Normal-pool"/>
              <w:spacing w:before="520"/>
            </w:pPr>
          </w:p>
        </w:tc>
        <w:tc>
          <w:tcPr>
            <w:tcW w:w="1898" w:type="dxa"/>
          </w:tcPr>
          <w:p w14:paraId="1E7B7163" w14:textId="77777777" w:rsidR="00875B26" w:rsidRPr="007C5C0A" w:rsidRDefault="00875B26" w:rsidP="00B019F8">
            <w:pPr>
              <w:pStyle w:val="Normal-pool"/>
              <w:spacing w:before="520"/>
            </w:pPr>
          </w:p>
        </w:tc>
        <w:tc>
          <w:tcPr>
            <w:tcW w:w="1898" w:type="dxa"/>
          </w:tcPr>
          <w:p w14:paraId="00B9B2C5" w14:textId="77777777" w:rsidR="00875B26" w:rsidRPr="007C5C0A" w:rsidRDefault="00875B26" w:rsidP="00B019F8">
            <w:pPr>
              <w:pStyle w:val="Normal-pool"/>
              <w:spacing w:before="520"/>
            </w:pPr>
          </w:p>
        </w:tc>
      </w:tr>
    </w:tbl>
    <w:p w14:paraId="44A6333D" w14:textId="402B8576" w:rsidR="00875B26" w:rsidRPr="007C5C0A" w:rsidRDefault="00875B26" w:rsidP="005C5ACC">
      <w:pPr>
        <w:pStyle w:val="Normal-pool"/>
      </w:pPr>
    </w:p>
    <w:sectPr w:rsidR="00875B26" w:rsidRPr="007C5C0A" w:rsidSect="007C5C0A">
      <w:headerReference w:type="even"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46D1" w14:textId="77777777" w:rsidR="00F1445D" w:rsidRPr="007C5C0A" w:rsidRDefault="00F1445D">
      <w:r w:rsidRPr="007C5C0A">
        <w:separator/>
      </w:r>
    </w:p>
  </w:endnote>
  <w:endnote w:type="continuationSeparator" w:id="0">
    <w:p w14:paraId="7181CE26" w14:textId="77777777" w:rsidR="00F1445D" w:rsidRPr="007C5C0A" w:rsidRDefault="00F1445D">
      <w:r w:rsidRPr="007C5C0A">
        <w:continuationSeparator/>
      </w:r>
    </w:p>
  </w:endnote>
  <w:endnote w:type="continuationNotice" w:id="1">
    <w:p w14:paraId="5C7B4F86" w14:textId="77777777" w:rsidR="00F1445D" w:rsidRPr="007C5C0A" w:rsidRDefault="00F14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784" w14:textId="7919F9A1" w:rsidR="007A36F8" w:rsidRPr="00375D70" w:rsidRDefault="007C5C0A" w:rsidP="007C5C0A">
    <w:pPr>
      <w:pStyle w:val="Footer-pool"/>
      <w:rPr>
        <w:b w:val="0"/>
        <w:bCs/>
      </w:rPr>
    </w:pPr>
    <w:r w:rsidRPr="00375D70">
      <w:rPr>
        <w:rStyle w:val="PageNumber"/>
        <w:b/>
        <w:bCs/>
      </w:rPr>
      <w:fldChar w:fldCharType="begin"/>
    </w:r>
    <w:r w:rsidRPr="00375D70">
      <w:rPr>
        <w:rStyle w:val="PageNumber"/>
        <w:b/>
        <w:bCs/>
      </w:rPr>
      <w:instrText xml:space="preserve"> PAGE </w:instrText>
    </w:r>
    <w:r w:rsidRPr="00375D70">
      <w:rPr>
        <w:rStyle w:val="PageNumber"/>
        <w:b/>
        <w:bCs/>
      </w:rPr>
      <w:fldChar w:fldCharType="separate"/>
    </w:r>
    <w:r w:rsidRPr="00375D70">
      <w:rPr>
        <w:rStyle w:val="PageNumber"/>
        <w:b/>
        <w:bCs/>
        <w:noProof/>
      </w:rPr>
      <w:t>4</w:t>
    </w:r>
    <w:r w:rsidRPr="00375D70">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683" w14:textId="51CF71E9" w:rsidR="007A36F8" w:rsidRPr="00D83F36" w:rsidRDefault="007C5C0A" w:rsidP="007C5C0A">
    <w:pPr>
      <w:pStyle w:val="Footer-pool"/>
      <w:jc w:val="right"/>
      <w:rPr>
        <w:b w:val="0"/>
        <w:bCs/>
      </w:rPr>
    </w:pPr>
    <w:r w:rsidRPr="00D83F36">
      <w:rPr>
        <w:rStyle w:val="PageNumber"/>
        <w:b/>
        <w:bCs/>
      </w:rPr>
      <w:fldChar w:fldCharType="begin"/>
    </w:r>
    <w:r w:rsidRPr="00D83F36">
      <w:rPr>
        <w:rStyle w:val="PageNumber"/>
        <w:b/>
        <w:bCs/>
      </w:rPr>
      <w:instrText xml:space="preserve"> PAGE \* MERGEFORMAT </w:instrText>
    </w:r>
    <w:r w:rsidRPr="00D83F36">
      <w:rPr>
        <w:rStyle w:val="PageNumber"/>
        <w:b/>
        <w:bCs/>
      </w:rPr>
      <w:fldChar w:fldCharType="separate"/>
    </w:r>
    <w:r w:rsidRPr="00D83F36">
      <w:rPr>
        <w:rStyle w:val="PageNumber"/>
        <w:b/>
        <w:bCs/>
        <w:noProof/>
      </w:rPr>
      <w:t>4</w:t>
    </w:r>
    <w:r w:rsidRPr="00D83F36">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7AC4" w14:textId="55FB9AF7" w:rsidR="00F046E6" w:rsidRPr="007C5C0A" w:rsidRDefault="0066792B" w:rsidP="00EF26B3">
    <w:pPr>
      <w:pStyle w:val="Footer-jobnumber"/>
    </w:pPr>
    <w:bookmarkStart w:id="8" w:name="FooterJobDate"/>
    <w:r w:rsidRPr="007C5C0A">
      <w:t>K2519183[</w:t>
    </w:r>
    <w:r w:rsidR="006B4617" w:rsidRPr="007C5C0A">
      <w:t>F</w:t>
    </w:r>
    <w:r w:rsidRPr="007C5C0A">
      <w:t>]</w:t>
    </w:r>
    <w:r w:rsidRPr="007C5C0A">
      <w:tab/>
    </w:r>
    <w:r w:rsidR="006B4617" w:rsidRPr="00EF26B3">
      <w:rPr>
        <w:lang w:val="en-GB"/>
      </w:rPr>
      <w:t>1</w:t>
    </w:r>
    <w:r w:rsidR="00E73DC5">
      <w:rPr>
        <w:lang w:val="en-GB"/>
      </w:rPr>
      <w:t>5</w:t>
    </w:r>
    <w:r w:rsidR="00DB7E13" w:rsidRPr="00EF26B3">
      <w:rPr>
        <w:lang w:val="en-GB"/>
      </w:rPr>
      <w:t>12</w:t>
    </w:r>
    <w:r w:rsidRPr="00EF26B3">
      <w:rPr>
        <w:lang w:val="en-GB"/>
      </w:rPr>
      <w:t>25</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0B06" w14:textId="77777777" w:rsidR="00F1445D" w:rsidRPr="007C5C0A" w:rsidRDefault="007C5C0A" w:rsidP="007C5C0A">
      <w:pPr>
        <w:pStyle w:val="Footnote-Separator"/>
        <w:ind w:left="624"/>
        <w:rPr>
          <w:szCs w:val="18"/>
        </w:rPr>
      </w:pPr>
      <w:r w:rsidRPr="007C5C0A">
        <w:separator/>
      </w:r>
    </w:p>
  </w:footnote>
  <w:footnote w:type="continuationSeparator" w:id="0">
    <w:p w14:paraId="4947C2C5" w14:textId="77777777" w:rsidR="00F1445D" w:rsidRPr="007C5C0A" w:rsidRDefault="00F1445D" w:rsidP="007C5C0A">
      <w:pPr>
        <w:pStyle w:val="Footnote-Separator"/>
      </w:pPr>
      <w:r w:rsidRPr="007C5C0A">
        <w:continuationSeparator/>
      </w:r>
    </w:p>
  </w:footnote>
  <w:footnote w:type="continuationNotice" w:id="1">
    <w:p w14:paraId="06BBCA7B" w14:textId="77777777" w:rsidR="00F1445D" w:rsidRPr="007C5C0A" w:rsidRDefault="00F1445D" w:rsidP="007C5C0A">
      <w:pPr>
        <w:pStyle w:val="ASpacer"/>
      </w:pPr>
    </w:p>
  </w:footnote>
  <w:footnote w:id="2">
    <w:p w14:paraId="3A4ABA1C" w14:textId="02CFC6D4" w:rsidR="007A5982" w:rsidRPr="007C5C0A" w:rsidRDefault="007C5C0A" w:rsidP="007C5C0A">
      <w:pPr>
        <w:pStyle w:val="Footnote-Text"/>
        <w:rPr>
          <w:szCs w:val="18"/>
        </w:rPr>
      </w:pPr>
      <w:r w:rsidRPr="007C5C0A">
        <w:rPr>
          <w:rStyle w:val="FootnoteReference"/>
          <w:rFonts w:eastAsia="DengXian Light"/>
          <w:sz w:val="20"/>
        </w:rPr>
        <w:footnoteRef/>
      </w:r>
      <w:r w:rsidR="007A5982" w:rsidRPr="007C5C0A">
        <w:t xml:space="preserve"> Les ajouts sont indiqués sur fond gris.</w:t>
      </w:r>
    </w:p>
  </w:footnote>
  <w:footnote w:id="3">
    <w:p w14:paraId="5FD2AA39" w14:textId="2564C72E" w:rsidR="007A5982" w:rsidRPr="007C5C0A" w:rsidRDefault="007C5C0A" w:rsidP="007C5C0A">
      <w:pPr>
        <w:pStyle w:val="Footnote-Text"/>
        <w:rPr>
          <w:szCs w:val="18"/>
        </w:rPr>
      </w:pPr>
      <w:r w:rsidRPr="007C5C0A">
        <w:rPr>
          <w:rStyle w:val="FootnoteReference"/>
          <w:rFonts w:eastAsia="SimSun"/>
          <w:sz w:val="20"/>
        </w:rPr>
        <w:footnoteRef/>
      </w:r>
      <w:r w:rsidR="007A5982" w:rsidRPr="007C5C0A">
        <w:t xml:space="preserve"> Les ajouts sont indiqués sur fond gris.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9EA8" w14:textId="2FDDDC18" w:rsidR="007A36F8" w:rsidRPr="007C5C0A" w:rsidRDefault="007C5C0A" w:rsidP="007C5C0A">
    <w:pPr>
      <w:pStyle w:val="Header-pool"/>
    </w:pPr>
    <w:r w:rsidRPr="007C5C0A">
      <w:rPr>
        <w:noProof/>
      </w:rPr>
      <w:fldChar w:fldCharType="begin"/>
    </w:r>
    <w:r w:rsidRPr="007C5C0A">
      <w:rPr>
        <w:noProof/>
      </w:rPr>
      <w:instrText xml:space="preserve"> StyleRef A_Symbol </w:instrText>
    </w:r>
    <w:r w:rsidRPr="007C5C0A">
      <w:rPr>
        <w:noProof/>
      </w:rPr>
      <w:fldChar w:fldCharType="separate"/>
    </w:r>
    <w:r w:rsidR="00A45B0E">
      <w:rPr>
        <w:noProof/>
      </w:rPr>
      <w:t>UNEP/MC/COP.6/Dec.3</w:t>
    </w:r>
    <w:r w:rsidRPr="007C5C0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6C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2A2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0030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4200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08B3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A6D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D82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20C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C8B3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2DDF022B"/>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F715A08"/>
    <w:multiLevelType w:val="hybridMultilevel"/>
    <w:tmpl w:val="62B42CC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2" w15:restartNumberingAfterBreak="0">
    <w:nsid w:val="56E562AD"/>
    <w:multiLevelType w:val="hybridMultilevel"/>
    <w:tmpl w:val="0F3E1A4E"/>
    <w:lvl w:ilvl="0" w:tplc="A66C1E06">
      <w:start w:val="1"/>
      <w:numFmt w:val="lowerRoman"/>
      <w:lvlText w:val="%1)"/>
      <w:lvlJc w:val="left"/>
      <w:pPr>
        <w:ind w:left="1174" w:hanging="720"/>
      </w:pPr>
      <w:rPr>
        <w:rFonts w:ascii="Times New Roman" w:hAnsi="Times New Roman" w:cs="Times New Roman" w:hint="default"/>
        <w:color w:val="000000"/>
        <w:sz w:val="2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24"/>
  </w:num>
  <w:num w:numId="2" w16cid:durableId="1933662228">
    <w:abstractNumId w:val="14"/>
  </w:num>
  <w:num w:numId="3" w16cid:durableId="1991909117">
    <w:abstractNumId w:val="10"/>
  </w:num>
  <w:num w:numId="4" w16cid:durableId="1138956019">
    <w:abstractNumId w:val="11"/>
  </w:num>
  <w:num w:numId="5" w16cid:durableId="1849588938">
    <w:abstractNumId w:val="9"/>
  </w:num>
  <w:num w:numId="6" w16cid:durableId="1994487280">
    <w:abstractNumId w:val="7"/>
  </w:num>
  <w:num w:numId="7" w16cid:durableId="1723287586">
    <w:abstractNumId w:val="6"/>
  </w:num>
  <w:num w:numId="8" w16cid:durableId="15690898">
    <w:abstractNumId w:val="5"/>
  </w:num>
  <w:num w:numId="9" w16cid:durableId="288517638">
    <w:abstractNumId w:val="4"/>
  </w:num>
  <w:num w:numId="10" w16cid:durableId="397173292">
    <w:abstractNumId w:val="8"/>
  </w:num>
  <w:num w:numId="11" w16cid:durableId="1991907330">
    <w:abstractNumId w:val="3"/>
  </w:num>
  <w:num w:numId="12" w16cid:durableId="423117170">
    <w:abstractNumId w:val="2"/>
  </w:num>
  <w:num w:numId="13" w16cid:durableId="866412897">
    <w:abstractNumId w:val="1"/>
  </w:num>
  <w:num w:numId="14" w16cid:durableId="1193568530">
    <w:abstractNumId w:val="0"/>
  </w:num>
  <w:num w:numId="15" w16cid:durableId="2075614715">
    <w:abstractNumId w:val="27"/>
  </w:num>
  <w:num w:numId="16" w16cid:durableId="732893297">
    <w:abstractNumId w:val="23"/>
  </w:num>
  <w:num w:numId="17" w16cid:durableId="2107001409">
    <w:abstractNumId w:val="17"/>
  </w:num>
  <w:num w:numId="18" w16cid:durableId="1637444555">
    <w:abstractNumId w:val="26"/>
  </w:num>
  <w:num w:numId="19" w16cid:durableId="461701506">
    <w:abstractNumId w:val="12"/>
  </w:num>
  <w:num w:numId="20" w16cid:durableId="43066012">
    <w:abstractNumId w:val="20"/>
  </w:num>
  <w:num w:numId="21" w16cid:durableId="1819497224">
    <w:abstractNumId w:val="18"/>
  </w:num>
  <w:num w:numId="22" w16cid:durableId="2005429837">
    <w:abstractNumId w:val="15"/>
  </w:num>
  <w:num w:numId="23" w16cid:durableId="942080234">
    <w:abstractNumId w:val="16"/>
  </w:num>
  <w:num w:numId="24" w16cid:durableId="513107029">
    <w:abstractNumId w:val="19"/>
  </w:num>
  <w:num w:numId="25" w16cid:durableId="2036882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261235">
    <w:abstractNumId w:val="25"/>
  </w:num>
  <w:num w:numId="27" w16cid:durableId="1889143971">
    <w:abstractNumId w:val="21"/>
  </w:num>
  <w:num w:numId="28" w16cid:durableId="428549501">
    <w:abstractNumId w:val="22"/>
  </w:num>
  <w:num w:numId="29" w16cid:durableId="150451216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A"/>
    <w:rsid w:val="000001BD"/>
    <w:rsid w:val="00012A36"/>
    <w:rsid w:val="000149E6"/>
    <w:rsid w:val="00015474"/>
    <w:rsid w:val="00016AF3"/>
    <w:rsid w:val="000208C8"/>
    <w:rsid w:val="00021CD1"/>
    <w:rsid w:val="000247B0"/>
    <w:rsid w:val="00026997"/>
    <w:rsid w:val="00033E0B"/>
    <w:rsid w:val="00035EDE"/>
    <w:rsid w:val="0004028A"/>
    <w:rsid w:val="0004033C"/>
    <w:rsid w:val="000509B4"/>
    <w:rsid w:val="00056B2C"/>
    <w:rsid w:val="00057FC1"/>
    <w:rsid w:val="0006035B"/>
    <w:rsid w:val="000628E8"/>
    <w:rsid w:val="00063AE4"/>
    <w:rsid w:val="00066237"/>
    <w:rsid w:val="00070C86"/>
    <w:rsid w:val="0007166E"/>
    <w:rsid w:val="00071886"/>
    <w:rsid w:val="000726EE"/>
    <w:rsid w:val="000742BC"/>
    <w:rsid w:val="0007739A"/>
    <w:rsid w:val="0008041D"/>
    <w:rsid w:val="00080E7D"/>
    <w:rsid w:val="00082A0C"/>
    <w:rsid w:val="00082DCD"/>
    <w:rsid w:val="00083504"/>
    <w:rsid w:val="00086528"/>
    <w:rsid w:val="0008710B"/>
    <w:rsid w:val="0009640C"/>
    <w:rsid w:val="000A16EC"/>
    <w:rsid w:val="000B21D5"/>
    <w:rsid w:val="000B22A2"/>
    <w:rsid w:val="000B4700"/>
    <w:rsid w:val="000C26F4"/>
    <w:rsid w:val="000C2A52"/>
    <w:rsid w:val="000C46A9"/>
    <w:rsid w:val="000D0931"/>
    <w:rsid w:val="000D33C0"/>
    <w:rsid w:val="000D5884"/>
    <w:rsid w:val="000D6941"/>
    <w:rsid w:val="000D71B6"/>
    <w:rsid w:val="000D7D2C"/>
    <w:rsid w:val="000E0405"/>
    <w:rsid w:val="000F0889"/>
    <w:rsid w:val="000F16ED"/>
    <w:rsid w:val="000F6CFF"/>
    <w:rsid w:val="00102962"/>
    <w:rsid w:val="00115EA2"/>
    <w:rsid w:val="00115F73"/>
    <w:rsid w:val="00117B02"/>
    <w:rsid w:val="001202E3"/>
    <w:rsid w:val="00121BBA"/>
    <w:rsid w:val="00123699"/>
    <w:rsid w:val="0013059D"/>
    <w:rsid w:val="0014083A"/>
    <w:rsid w:val="00141A55"/>
    <w:rsid w:val="00141F2F"/>
    <w:rsid w:val="001446A3"/>
    <w:rsid w:val="00144868"/>
    <w:rsid w:val="0015070E"/>
    <w:rsid w:val="00155395"/>
    <w:rsid w:val="0016431F"/>
    <w:rsid w:val="001675FE"/>
    <w:rsid w:val="00172E6C"/>
    <w:rsid w:val="00173D27"/>
    <w:rsid w:val="00174739"/>
    <w:rsid w:val="0017793C"/>
    <w:rsid w:val="00180BF1"/>
    <w:rsid w:val="0018127C"/>
    <w:rsid w:val="00181EC8"/>
    <w:rsid w:val="00181FC0"/>
    <w:rsid w:val="00184349"/>
    <w:rsid w:val="0019161E"/>
    <w:rsid w:val="00195F33"/>
    <w:rsid w:val="00197C63"/>
    <w:rsid w:val="001A5EE1"/>
    <w:rsid w:val="001A7FF9"/>
    <w:rsid w:val="001B0934"/>
    <w:rsid w:val="001B1617"/>
    <w:rsid w:val="001B3571"/>
    <w:rsid w:val="001B504B"/>
    <w:rsid w:val="001C29FC"/>
    <w:rsid w:val="001D3874"/>
    <w:rsid w:val="001D5344"/>
    <w:rsid w:val="001D6A0C"/>
    <w:rsid w:val="001D7E75"/>
    <w:rsid w:val="001E0DD7"/>
    <w:rsid w:val="001E0E56"/>
    <w:rsid w:val="001E22D1"/>
    <w:rsid w:val="001E56D2"/>
    <w:rsid w:val="001E7D56"/>
    <w:rsid w:val="001F75DE"/>
    <w:rsid w:val="00200D58"/>
    <w:rsid w:val="002013BE"/>
    <w:rsid w:val="002063A4"/>
    <w:rsid w:val="00206F97"/>
    <w:rsid w:val="00207987"/>
    <w:rsid w:val="0021018D"/>
    <w:rsid w:val="0021145B"/>
    <w:rsid w:val="00214277"/>
    <w:rsid w:val="00221FD9"/>
    <w:rsid w:val="0022762D"/>
    <w:rsid w:val="00232303"/>
    <w:rsid w:val="00234806"/>
    <w:rsid w:val="002378D6"/>
    <w:rsid w:val="00240BCE"/>
    <w:rsid w:val="00243D36"/>
    <w:rsid w:val="00247707"/>
    <w:rsid w:val="002609AB"/>
    <w:rsid w:val="00263171"/>
    <w:rsid w:val="00263FB1"/>
    <w:rsid w:val="00277919"/>
    <w:rsid w:val="00286740"/>
    <w:rsid w:val="00287B42"/>
    <w:rsid w:val="002929D8"/>
    <w:rsid w:val="002935C2"/>
    <w:rsid w:val="00296719"/>
    <w:rsid w:val="002A237D"/>
    <w:rsid w:val="002A4A81"/>
    <w:rsid w:val="002A4C53"/>
    <w:rsid w:val="002A73D4"/>
    <w:rsid w:val="002B0672"/>
    <w:rsid w:val="002B1B4C"/>
    <w:rsid w:val="002B247F"/>
    <w:rsid w:val="002C145D"/>
    <w:rsid w:val="002C2C3E"/>
    <w:rsid w:val="002C533E"/>
    <w:rsid w:val="002C5525"/>
    <w:rsid w:val="002D027F"/>
    <w:rsid w:val="002D1E53"/>
    <w:rsid w:val="002D6167"/>
    <w:rsid w:val="002D7A85"/>
    <w:rsid w:val="002D7B60"/>
    <w:rsid w:val="002E19D4"/>
    <w:rsid w:val="002F0362"/>
    <w:rsid w:val="002F084C"/>
    <w:rsid w:val="002F4761"/>
    <w:rsid w:val="002F5294"/>
    <w:rsid w:val="002F5C79"/>
    <w:rsid w:val="003019E2"/>
    <w:rsid w:val="0031350B"/>
    <w:rsid w:val="0031413F"/>
    <w:rsid w:val="003148BB"/>
    <w:rsid w:val="003154BB"/>
    <w:rsid w:val="00317976"/>
    <w:rsid w:val="00323885"/>
    <w:rsid w:val="00331475"/>
    <w:rsid w:val="00337EEA"/>
    <w:rsid w:val="00351A93"/>
    <w:rsid w:val="003524CA"/>
    <w:rsid w:val="003559F8"/>
    <w:rsid w:val="00355EA9"/>
    <w:rsid w:val="003578DE"/>
    <w:rsid w:val="00365F6B"/>
    <w:rsid w:val="00370BF9"/>
    <w:rsid w:val="00371340"/>
    <w:rsid w:val="003759E2"/>
    <w:rsid w:val="00375D70"/>
    <w:rsid w:val="00376867"/>
    <w:rsid w:val="0038083F"/>
    <w:rsid w:val="00386999"/>
    <w:rsid w:val="00390145"/>
    <w:rsid w:val="003905C5"/>
    <w:rsid w:val="00393243"/>
    <w:rsid w:val="00394379"/>
    <w:rsid w:val="00396257"/>
    <w:rsid w:val="00397EB8"/>
    <w:rsid w:val="003A07AB"/>
    <w:rsid w:val="003A086E"/>
    <w:rsid w:val="003A37B8"/>
    <w:rsid w:val="003A4FD0"/>
    <w:rsid w:val="003A69D1"/>
    <w:rsid w:val="003A7231"/>
    <w:rsid w:val="003A7705"/>
    <w:rsid w:val="003B1545"/>
    <w:rsid w:val="003C035E"/>
    <w:rsid w:val="003C3267"/>
    <w:rsid w:val="003C409D"/>
    <w:rsid w:val="003C5BA6"/>
    <w:rsid w:val="003D7CD8"/>
    <w:rsid w:val="003E088E"/>
    <w:rsid w:val="003F0E85"/>
    <w:rsid w:val="00404580"/>
    <w:rsid w:val="00404CB5"/>
    <w:rsid w:val="00405251"/>
    <w:rsid w:val="00410C55"/>
    <w:rsid w:val="0041119A"/>
    <w:rsid w:val="004121DB"/>
    <w:rsid w:val="0041604D"/>
    <w:rsid w:val="00416854"/>
    <w:rsid w:val="00417725"/>
    <w:rsid w:val="0041779A"/>
    <w:rsid w:val="00417B99"/>
    <w:rsid w:val="00422123"/>
    <w:rsid w:val="004243EA"/>
    <w:rsid w:val="0042589E"/>
    <w:rsid w:val="00434607"/>
    <w:rsid w:val="00437F26"/>
    <w:rsid w:val="00444097"/>
    <w:rsid w:val="00445487"/>
    <w:rsid w:val="004525B5"/>
    <w:rsid w:val="004546B8"/>
    <w:rsid w:val="00454769"/>
    <w:rsid w:val="00456D58"/>
    <w:rsid w:val="00460C9B"/>
    <w:rsid w:val="00466991"/>
    <w:rsid w:val="0047064C"/>
    <w:rsid w:val="00474D90"/>
    <w:rsid w:val="00477AFF"/>
    <w:rsid w:val="00481F0B"/>
    <w:rsid w:val="00491768"/>
    <w:rsid w:val="00495BFE"/>
    <w:rsid w:val="004A2065"/>
    <w:rsid w:val="004A42E1"/>
    <w:rsid w:val="004B0BF5"/>
    <w:rsid w:val="004B162C"/>
    <w:rsid w:val="004B7245"/>
    <w:rsid w:val="004C3DBE"/>
    <w:rsid w:val="004C5C96"/>
    <w:rsid w:val="004D06A4"/>
    <w:rsid w:val="004D3103"/>
    <w:rsid w:val="004D48A9"/>
    <w:rsid w:val="004D60EA"/>
    <w:rsid w:val="004E59D4"/>
    <w:rsid w:val="004E5E57"/>
    <w:rsid w:val="004E68D5"/>
    <w:rsid w:val="004E6F16"/>
    <w:rsid w:val="004E79AC"/>
    <w:rsid w:val="004F1A81"/>
    <w:rsid w:val="0050040D"/>
    <w:rsid w:val="00507639"/>
    <w:rsid w:val="005210EE"/>
    <w:rsid w:val="005218D9"/>
    <w:rsid w:val="00532E47"/>
    <w:rsid w:val="005335CB"/>
    <w:rsid w:val="00536186"/>
    <w:rsid w:val="00536826"/>
    <w:rsid w:val="0053693A"/>
    <w:rsid w:val="00541185"/>
    <w:rsid w:val="00544CBB"/>
    <w:rsid w:val="00550518"/>
    <w:rsid w:val="00552CD6"/>
    <w:rsid w:val="005534E3"/>
    <w:rsid w:val="00560BDC"/>
    <w:rsid w:val="00565B34"/>
    <w:rsid w:val="0057315F"/>
    <w:rsid w:val="00575DF1"/>
    <w:rsid w:val="00576104"/>
    <w:rsid w:val="00576EBA"/>
    <w:rsid w:val="0058201D"/>
    <w:rsid w:val="005940BC"/>
    <w:rsid w:val="00594BA0"/>
    <w:rsid w:val="005B17E7"/>
    <w:rsid w:val="005B1D7A"/>
    <w:rsid w:val="005B5E04"/>
    <w:rsid w:val="005B71EF"/>
    <w:rsid w:val="005B73A4"/>
    <w:rsid w:val="005C3DC3"/>
    <w:rsid w:val="005C5ACC"/>
    <w:rsid w:val="005C67C8"/>
    <w:rsid w:val="005D0249"/>
    <w:rsid w:val="005D6E8C"/>
    <w:rsid w:val="005E19E1"/>
    <w:rsid w:val="005F100C"/>
    <w:rsid w:val="005F6517"/>
    <w:rsid w:val="005F68DA"/>
    <w:rsid w:val="005F75E6"/>
    <w:rsid w:val="006014DD"/>
    <w:rsid w:val="0060773B"/>
    <w:rsid w:val="00607D94"/>
    <w:rsid w:val="006157B5"/>
    <w:rsid w:val="00626FC6"/>
    <w:rsid w:val="006303B4"/>
    <w:rsid w:val="00633CEB"/>
    <w:rsid w:val="00633D3D"/>
    <w:rsid w:val="00633F3A"/>
    <w:rsid w:val="00641703"/>
    <w:rsid w:val="006431A6"/>
    <w:rsid w:val="006433D9"/>
    <w:rsid w:val="006459F6"/>
    <w:rsid w:val="006501AD"/>
    <w:rsid w:val="006511A6"/>
    <w:rsid w:val="00651BFA"/>
    <w:rsid w:val="006533B3"/>
    <w:rsid w:val="00654105"/>
    <w:rsid w:val="00663A80"/>
    <w:rsid w:val="00665A4B"/>
    <w:rsid w:val="0066792B"/>
    <w:rsid w:val="006731FE"/>
    <w:rsid w:val="00676B20"/>
    <w:rsid w:val="00692E2A"/>
    <w:rsid w:val="00695B51"/>
    <w:rsid w:val="006A76F2"/>
    <w:rsid w:val="006B4617"/>
    <w:rsid w:val="006B4F20"/>
    <w:rsid w:val="006C18B0"/>
    <w:rsid w:val="006C2406"/>
    <w:rsid w:val="006C3DDA"/>
    <w:rsid w:val="006C5F22"/>
    <w:rsid w:val="006C7F5A"/>
    <w:rsid w:val="006D3277"/>
    <w:rsid w:val="006D7EFB"/>
    <w:rsid w:val="006E6672"/>
    <w:rsid w:val="006E6722"/>
    <w:rsid w:val="006E7830"/>
    <w:rsid w:val="006F10F1"/>
    <w:rsid w:val="007027B9"/>
    <w:rsid w:val="00713D8F"/>
    <w:rsid w:val="00715E88"/>
    <w:rsid w:val="0072508B"/>
    <w:rsid w:val="00732257"/>
    <w:rsid w:val="00732539"/>
    <w:rsid w:val="00734CAA"/>
    <w:rsid w:val="00736583"/>
    <w:rsid w:val="00737AF2"/>
    <w:rsid w:val="00745545"/>
    <w:rsid w:val="00745C5A"/>
    <w:rsid w:val="00750399"/>
    <w:rsid w:val="00750B23"/>
    <w:rsid w:val="0075473A"/>
    <w:rsid w:val="00755106"/>
    <w:rsid w:val="0075533C"/>
    <w:rsid w:val="00757581"/>
    <w:rsid w:val="007611A0"/>
    <w:rsid w:val="007658A0"/>
    <w:rsid w:val="007707AD"/>
    <w:rsid w:val="00771992"/>
    <w:rsid w:val="007748D0"/>
    <w:rsid w:val="00783907"/>
    <w:rsid w:val="007926A9"/>
    <w:rsid w:val="00795EA9"/>
    <w:rsid w:val="00796D3F"/>
    <w:rsid w:val="007A0CD6"/>
    <w:rsid w:val="007A1683"/>
    <w:rsid w:val="007A36F8"/>
    <w:rsid w:val="007A5982"/>
    <w:rsid w:val="007A5C12"/>
    <w:rsid w:val="007A7CB0"/>
    <w:rsid w:val="007B68A3"/>
    <w:rsid w:val="007C2541"/>
    <w:rsid w:val="007C5C0A"/>
    <w:rsid w:val="007D66A8"/>
    <w:rsid w:val="007D773D"/>
    <w:rsid w:val="007E003F"/>
    <w:rsid w:val="007E31D3"/>
    <w:rsid w:val="007E50F2"/>
    <w:rsid w:val="007F7758"/>
    <w:rsid w:val="00802E72"/>
    <w:rsid w:val="00805F1D"/>
    <w:rsid w:val="008107C6"/>
    <w:rsid w:val="008164F2"/>
    <w:rsid w:val="00821395"/>
    <w:rsid w:val="00822DC9"/>
    <w:rsid w:val="008245FF"/>
    <w:rsid w:val="00830E26"/>
    <w:rsid w:val="00843576"/>
    <w:rsid w:val="00843B64"/>
    <w:rsid w:val="008448C0"/>
    <w:rsid w:val="00845025"/>
    <w:rsid w:val="008470BD"/>
    <w:rsid w:val="008478FC"/>
    <w:rsid w:val="008572BD"/>
    <w:rsid w:val="00867BFF"/>
    <w:rsid w:val="00874B8E"/>
    <w:rsid w:val="00875B26"/>
    <w:rsid w:val="0088480A"/>
    <w:rsid w:val="0088757A"/>
    <w:rsid w:val="00894CCE"/>
    <w:rsid w:val="008957DD"/>
    <w:rsid w:val="00897D98"/>
    <w:rsid w:val="008A26B4"/>
    <w:rsid w:val="008A6DF2"/>
    <w:rsid w:val="008A7807"/>
    <w:rsid w:val="008B0D6B"/>
    <w:rsid w:val="008B3832"/>
    <w:rsid w:val="008B4CC9"/>
    <w:rsid w:val="008C13F0"/>
    <w:rsid w:val="008C1B8B"/>
    <w:rsid w:val="008C45D2"/>
    <w:rsid w:val="008C5629"/>
    <w:rsid w:val="008D3AE0"/>
    <w:rsid w:val="008D6939"/>
    <w:rsid w:val="008D7C99"/>
    <w:rsid w:val="008E0FCB"/>
    <w:rsid w:val="008F067C"/>
    <w:rsid w:val="008F6152"/>
    <w:rsid w:val="008F7315"/>
    <w:rsid w:val="00907D78"/>
    <w:rsid w:val="00912DDA"/>
    <w:rsid w:val="00916B39"/>
    <w:rsid w:val="00920AD6"/>
    <w:rsid w:val="0092178C"/>
    <w:rsid w:val="0092493F"/>
    <w:rsid w:val="00930B88"/>
    <w:rsid w:val="00933F6D"/>
    <w:rsid w:val="009378DC"/>
    <w:rsid w:val="0094056F"/>
    <w:rsid w:val="00940DCC"/>
    <w:rsid w:val="0094179A"/>
    <w:rsid w:val="0094459E"/>
    <w:rsid w:val="00944DBC"/>
    <w:rsid w:val="00950977"/>
    <w:rsid w:val="00951A7B"/>
    <w:rsid w:val="009540CB"/>
    <w:rsid w:val="009564A6"/>
    <w:rsid w:val="00957DC3"/>
    <w:rsid w:val="00961A33"/>
    <w:rsid w:val="009628B9"/>
    <w:rsid w:val="00965D3A"/>
    <w:rsid w:val="00967621"/>
    <w:rsid w:val="00967E6A"/>
    <w:rsid w:val="00973C57"/>
    <w:rsid w:val="0098031B"/>
    <w:rsid w:val="00980797"/>
    <w:rsid w:val="009935AC"/>
    <w:rsid w:val="009A6054"/>
    <w:rsid w:val="009B4A0F"/>
    <w:rsid w:val="009C0FEC"/>
    <w:rsid w:val="009C11D2"/>
    <w:rsid w:val="009C6C70"/>
    <w:rsid w:val="009C7956"/>
    <w:rsid w:val="009D0922"/>
    <w:rsid w:val="009D0B63"/>
    <w:rsid w:val="009D0D50"/>
    <w:rsid w:val="009D3910"/>
    <w:rsid w:val="009E1A50"/>
    <w:rsid w:val="009E307E"/>
    <w:rsid w:val="009E3635"/>
    <w:rsid w:val="009E47E3"/>
    <w:rsid w:val="009F5A4A"/>
    <w:rsid w:val="00A03A4A"/>
    <w:rsid w:val="00A07870"/>
    <w:rsid w:val="00A07F19"/>
    <w:rsid w:val="00A1348D"/>
    <w:rsid w:val="00A142D1"/>
    <w:rsid w:val="00A1489E"/>
    <w:rsid w:val="00A232EE"/>
    <w:rsid w:val="00A3320C"/>
    <w:rsid w:val="00A3349F"/>
    <w:rsid w:val="00A4175F"/>
    <w:rsid w:val="00A44411"/>
    <w:rsid w:val="00A45B0E"/>
    <w:rsid w:val="00A45FD8"/>
    <w:rsid w:val="00A469FA"/>
    <w:rsid w:val="00A50E94"/>
    <w:rsid w:val="00A54334"/>
    <w:rsid w:val="00A55B01"/>
    <w:rsid w:val="00A55CCF"/>
    <w:rsid w:val="00A56B5B"/>
    <w:rsid w:val="00A57D46"/>
    <w:rsid w:val="00A603FF"/>
    <w:rsid w:val="00A657DD"/>
    <w:rsid w:val="00A666A6"/>
    <w:rsid w:val="00A675FD"/>
    <w:rsid w:val="00A714C6"/>
    <w:rsid w:val="00A72437"/>
    <w:rsid w:val="00A80611"/>
    <w:rsid w:val="00A84B15"/>
    <w:rsid w:val="00A87016"/>
    <w:rsid w:val="00A90C61"/>
    <w:rsid w:val="00AB1F69"/>
    <w:rsid w:val="00AB5340"/>
    <w:rsid w:val="00AC010E"/>
    <w:rsid w:val="00AC01CC"/>
    <w:rsid w:val="00AC16B8"/>
    <w:rsid w:val="00AC2446"/>
    <w:rsid w:val="00AC7C96"/>
    <w:rsid w:val="00AD2D15"/>
    <w:rsid w:val="00AE237D"/>
    <w:rsid w:val="00AE2A3D"/>
    <w:rsid w:val="00AE502A"/>
    <w:rsid w:val="00AF0DF7"/>
    <w:rsid w:val="00AF495A"/>
    <w:rsid w:val="00AF7C07"/>
    <w:rsid w:val="00B00865"/>
    <w:rsid w:val="00B019F8"/>
    <w:rsid w:val="00B22C93"/>
    <w:rsid w:val="00B27589"/>
    <w:rsid w:val="00B37EF9"/>
    <w:rsid w:val="00B405B7"/>
    <w:rsid w:val="00B42980"/>
    <w:rsid w:val="00B45E6D"/>
    <w:rsid w:val="00B52222"/>
    <w:rsid w:val="00B523A2"/>
    <w:rsid w:val="00B54FE7"/>
    <w:rsid w:val="00B57C47"/>
    <w:rsid w:val="00B66901"/>
    <w:rsid w:val="00B71E6D"/>
    <w:rsid w:val="00B72070"/>
    <w:rsid w:val="00B779E1"/>
    <w:rsid w:val="00B859A3"/>
    <w:rsid w:val="00B91EE1"/>
    <w:rsid w:val="00BA0090"/>
    <w:rsid w:val="00BA1A67"/>
    <w:rsid w:val="00BA4E95"/>
    <w:rsid w:val="00BB49DE"/>
    <w:rsid w:val="00BC07FE"/>
    <w:rsid w:val="00BD0163"/>
    <w:rsid w:val="00BD159E"/>
    <w:rsid w:val="00BE5B5F"/>
    <w:rsid w:val="00BF1824"/>
    <w:rsid w:val="00BF23EB"/>
    <w:rsid w:val="00C01C45"/>
    <w:rsid w:val="00C03446"/>
    <w:rsid w:val="00C03C89"/>
    <w:rsid w:val="00C22A02"/>
    <w:rsid w:val="00C26F55"/>
    <w:rsid w:val="00C30C63"/>
    <w:rsid w:val="00C32870"/>
    <w:rsid w:val="00C32B37"/>
    <w:rsid w:val="00C36B8B"/>
    <w:rsid w:val="00C43DC4"/>
    <w:rsid w:val="00C45AC0"/>
    <w:rsid w:val="00C46CEA"/>
    <w:rsid w:val="00C47DBF"/>
    <w:rsid w:val="00C5135B"/>
    <w:rsid w:val="00C53666"/>
    <w:rsid w:val="00C543FD"/>
    <w:rsid w:val="00C552FF"/>
    <w:rsid w:val="00C558DA"/>
    <w:rsid w:val="00C55AF3"/>
    <w:rsid w:val="00C575DE"/>
    <w:rsid w:val="00C60713"/>
    <w:rsid w:val="00C60DD7"/>
    <w:rsid w:val="00C70B49"/>
    <w:rsid w:val="00C734E3"/>
    <w:rsid w:val="00C75C7C"/>
    <w:rsid w:val="00C77773"/>
    <w:rsid w:val="00C81951"/>
    <w:rsid w:val="00C835ED"/>
    <w:rsid w:val="00C83A8F"/>
    <w:rsid w:val="00C84759"/>
    <w:rsid w:val="00C905BB"/>
    <w:rsid w:val="00C96D94"/>
    <w:rsid w:val="00C97578"/>
    <w:rsid w:val="00CA0946"/>
    <w:rsid w:val="00CA1CFE"/>
    <w:rsid w:val="00CA45D9"/>
    <w:rsid w:val="00CA6C7F"/>
    <w:rsid w:val="00CA78AF"/>
    <w:rsid w:val="00CB20C7"/>
    <w:rsid w:val="00CB6F8C"/>
    <w:rsid w:val="00CC0260"/>
    <w:rsid w:val="00CC10A6"/>
    <w:rsid w:val="00CC5FC7"/>
    <w:rsid w:val="00CD5EB8"/>
    <w:rsid w:val="00CD6AC7"/>
    <w:rsid w:val="00CD7044"/>
    <w:rsid w:val="00CE08B9"/>
    <w:rsid w:val="00CE40C4"/>
    <w:rsid w:val="00CE524C"/>
    <w:rsid w:val="00CF141F"/>
    <w:rsid w:val="00CF4777"/>
    <w:rsid w:val="00CF5AF8"/>
    <w:rsid w:val="00D067BB"/>
    <w:rsid w:val="00D070CC"/>
    <w:rsid w:val="00D1352A"/>
    <w:rsid w:val="00D13EDE"/>
    <w:rsid w:val="00D169AF"/>
    <w:rsid w:val="00D25249"/>
    <w:rsid w:val="00D255A7"/>
    <w:rsid w:val="00D27894"/>
    <w:rsid w:val="00D44172"/>
    <w:rsid w:val="00D50229"/>
    <w:rsid w:val="00D52302"/>
    <w:rsid w:val="00D526D8"/>
    <w:rsid w:val="00D55A40"/>
    <w:rsid w:val="00D62786"/>
    <w:rsid w:val="00D63B8C"/>
    <w:rsid w:val="00D7062A"/>
    <w:rsid w:val="00D712FD"/>
    <w:rsid w:val="00D715DD"/>
    <w:rsid w:val="00D72CB6"/>
    <w:rsid w:val="00D739CC"/>
    <w:rsid w:val="00D757C8"/>
    <w:rsid w:val="00D8093D"/>
    <w:rsid w:val="00D8108C"/>
    <w:rsid w:val="00D812C1"/>
    <w:rsid w:val="00D83F36"/>
    <w:rsid w:val="00D842AE"/>
    <w:rsid w:val="00D85F9E"/>
    <w:rsid w:val="00D86CAD"/>
    <w:rsid w:val="00D9211C"/>
    <w:rsid w:val="00D92DE0"/>
    <w:rsid w:val="00D92FEF"/>
    <w:rsid w:val="00D93A0F"/>
    <w:rsid w:val="00D93D54"/>
    <w:rsid w:val="00DA1BCA"/>
    <w:rsid w:val="00DA3FFA"/>
    <w:rsid w:val="00DA7299"/>
    <w:rsid w:val="00DB36B7"/>
    <w:rsid w:val="00DB3E23"/>
    <w:rsid w:val="00DB7E13"/>
    <w:rsid w:val="00DC46FF"/>
    <w:rsid w:val="00DC5254"/>
    <w:rsid w:val="00DD1A4F"/>
    <w:rsid w:val="00DD3107"/>
    <w:rsid w:val="00DD5EFF"/>
    <w:rsid w:val="00DD7C2C"/>
    <w:rsid w:val="00DE6E55"/>
    <w:rsid w:val="00DF5660"/>
    <w:rsid w:val="00DF5C15"/>
    <w:rsid w:val="00E0574F"/>
    <w:rsid w:val="00E06797"/>
    <w:rsid w:val="00E06F26"/>
    <w:rsid w:val="00E122BC"/>
    <w:rsid w:val="00E1265B"/>
    <w:rsid w:val="00E126C8"/>
    <w:rsid w:val="00E13B48"/>
    <w:rsid w:val="00E1404F"/>
    <w:rsid w:val="00E212EF"/>
    <w:rsid w:val="00E21C83"/>
    <w:rsid w:val="00E24ADA"/>
    <w:rsid w:val="00E256F6"/>
    <w:rsid w:val="00E32F59"/>
    <w:rsid w:val="00E37F15"/>
    <w:rsid w:val="00E440CD"/>
    <w:rsid w:val="00E46D9A"/>
    <w:rsid w:val="00E509D1"/>
    <w:rsid w:val="00E50C12"/>
    <w:rsid w:val="00E554B1"/>
    <w:rsid w:val="00E565FF"/>
    <w:rsid w:val="00E600D6"/>
    <w:rsid w:val="00E63C75"/>
    <w:rsid w:val="00E64488"/>
    <w:rsid w:val="00E65388"/>
    <w:rsid w:val="00E67833"/>
    <w:rsid w:val="00E72DBD"/>
    <w:rsid w:val="00E73DC5"/>
    <w:rsid w:val="00E74ACB"/>
    <w:rsid w:val="00E85B7D"/>
    <w:rsid w:val="00E90953"/>
    <w:rsid w:val="00E9121B"/>
    <w:rsid w:val="00E94B48"/>
    <w:rsid w:val="00E95FA7"/>
    <w:rsid w:val="00E96614"/>
    <w:rsid w:val="00EA0AE2"/>
    <w:rsid w:val="00EA292F"/>
    <w:rsid w:val="00EA39E5"/>
    <w:rsid w:val="00EB183A"/>
    <w:rsid w:val="00EB3106"/>
    <w:rsid w:val="00EC5A46"/>
    <w:rsid w:val="00EC63E2"/>
    <w:rsid w:val="00ED0087"/>
    <w:rsid w:val="00ED1F3E"/>
    <w:rsid w:val="00ED790F"/>
    <w:rsid w:val="00EE12FF"/>
    <w:rsid w:val="00EE1BA8"/>
    <w:rsid w:val="00EE1E98"/>
    <w:rsid w:val="00EE34FC"/>
    <w:rsid w:val="00EE397B"/>
    <w:rsid w:val="00EE4483"/>
    <w:rsid w:val="00EE5261"/>
    <w:rsid w:val="00EE74BB"/>
    <w:rsid w:val="00EF22B3"/>
    <w:rsid w:val="00EF26B3"/>
    <w:rsid w:val="00EF469A"/>
    <w:rsid w:val="00F03B69"/>
    <w:rsid w:val="00F046E6"/>
    <w:rsid w:val="00F04DCB"/>
    <w:rsid w:val="00F061B7"/>
    <w:rsid w:val="00F07A50"/>
    <w:rsid w:val="00F113DA"/>
    <w:rsid w:val="00F1445D"/>
    <w:rsid w:val="00F23184"/>
    <w:rsid w:val="00F25F15"/>
    <w:rsid w:val="00F319FC"/>
    <w:rsid w:val="00F32457"/>
    <w:rsid w:val="00F37DC8"/>
    <w:rsid w:val="00F439B3"/>
    <w:rsid w:val="00F45AA8"/>
    <w:rsid w:val="00F50249"/>
    <w:rsid w:val="00F502DD"/>
    <w:rsid w:val="00F511D5"/>
    <w:rsid w:val="00F52A1B"/>
    <w:rsid w:val="00F638FC"/>
    <w:rsid w:val="00F650C3"/>
    <w:rsid w:val="00F65D85"/>
    <w:rsid w:val="00F66BC5"/>
    <w:rsid w:val="00F71141"/>
    <w:rsid w:val="00F715A5"/>
    <w:rsid w:val="00F7203C"/>
    <w:rsid w:val="00F74B7A"/>
    <w:rsid w:val="00F75453"/>
    <w:rsid w:val="00F8091E"/>
    <w:rsid w:val="00F832E2"/>
    <w:rsid w:val="00F8615C"/>
    <w:rsid w:val="00F86776"/>
    <w:rsid w:val="00F92DF0"/>
    <w:rsid w:val="00F957B8"/>
    <w:rsid w:val="00F969E5"/>
    <w:rsid w:val="00F97AEE"/>
    <w:rsid w:val="00F97E54"/>
    <w:rsid w:val="00FA0D15"/>
    <w:rsid w:val="00FA1C95"/>
    <w:rsid w:val="00FA6BB0"/>
    <w:rsid w:val="00FA7C87"/>
    <w:rsid w:val="00FB1DFB"/>
    <w:rsid w:val="00FD25E1"/>
    <w:rsid w:val="00FD2D77"/>
    <w:rsid w:val="00FD5860"/>
    <w:rsid w:val="00FE3317"/>
    <w:rsid w:val="00FE352D"/>
    <w:rsid w:val="00FE40EB"/>
    <w:rsid w:val="00FE4D02"/>
    <w:rsid w:val="00FE4DC8"/>
    <w:rsid w:val="00FE51C9"/>
    <w:rsid w:val="00FE7B2F"/>
    <w:rsid w:val="00FE7D62"/>
    <w:rsid w:val="00FF3819"/>
    <w:rsid w:val="1733B45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2FE"/>
  <w15:chartTrackingRefBased/>
  <w15:docId w15:val="{9C45C306-2910-4B9D-917B-8FF7AC4F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C5C0A"/>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7C5C0A"/>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7C5C0A"/>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7C5C0A"/>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7C5C0A"/>
    <w:pPr>
      <w:numPr>
        <w:numId w:val="26"/>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7C5C0A"/>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7C5C0A"/>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7C5C0A"/>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7C5C0A"/>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7C5C0A"/>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5C0A"/>
    <w:rPr>
      <w:rFonts w:ascii="Times New Roman" w:hAnsi="Times New Roman"/>
      <w:b/>
      <w:sz w:val="18"/>
      <w:lang w:val="fr-FR"/>
    </w:rPr>
  </w:style>
  <w:style w:type="table" w:customStyle="1" w:styleId="Tabledocright">
    <w:name w:val="Table_doc_right"/>
    <w:basedOn w:val="TableNormal"/>
    <w:rsid w:val="007C5C0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5C0A"/>
    <w:pPr>
      <w:ind w:left="1000"/>
    </w:pPr>
    <w:rPr>
      <w:sz w:val="18"/>
      <w:szCs w:val="18"/>
    </w:rPr>
  </w:style>
  <w:style w:type="paragraph" w:styleId="TOC7">
    <w:name w:val="toc 7"/>
    <w:basedOn w:val="Normal"/>
    <w:next w:val="Normal"/>
    <w:autoRedefine/>
    <w:semiHidden/>
    <w:rsid w:val="007C5C0A"/>
    <w:pPr>
      <w:ind w:left="1200"/>
    </w:pPr>
    <w:rPr>
      <w:sz w:val="18"/>
      <w:szCs w:val="18"/>
    </w:rPr>
  </w:style>
  <w:style w:type="paragraph" w:styleId="TOC8">
    <w:name w:val="toc 8"/>
    <w:basedOn w:val="Normal"/>
    <w:next w:val="Normal"/>
    <w:autoRedefine/>
    <w:semiHidden/>
    <w:rsid w:val="007C5C0A"/>
    <w:pPr>
      <w:ind w:left="1400"/>
    </w:pPr>
    <w:rPr>
      <w:sz w:val="18"/>
      <w:szCs w:val="18"/>
    </w:rPr>
  </w:style>
  <w:style w:type="paragraph" w:styleId="TOC9">
    <w:name w:val="toc 9"/>
    <w:basedOn w:val="Normal"/>
    <w:next w:val="Normal"/>
    <w:autoRedefine/>
    <w:semiHidden/>
    <w:rsid w:val="007C5C0A"/>
    <w:pPr>
      <w:ind w:left="1600"/>
    </w:pPr>
    <w:rPr>
      <w:sz w:val="18"/>
      <w:szCs w:val="18"/>
    </w:rPr>
  </w:style>
  <w:style w:type="paragraph" w:customStyle="1" w:styleId="Titlefigure">
    <w:name w:val="Title_figure"/>
    <w:basedOn w:val="Titletable"/>
    <w:next w:val="NormalNonumber"/>
    <w:rsid w:val="007C5C0A"/>
    <w:rPr>
      <w:bCs w:val="0"/>
    </w:rPr>
  </w:style>
  <w:style w:type="paragraph" w:styleId="TableofFigures">
    <w:name w:val="table of figures"/>
    <w:basedOn w:val="Normal"/>
    <w:next w:val="Normal"/>
    <w:autoRedefine/>
    <w:semiHidden/>
    <w:rsid w:val="007C5C0A"/>
    <w:pPr>
      <w:ind w:left="1814" w:hanging="567"/>
    </w:pPr>
  </w:style>
  <w:style w:type="paragraph" w:customStyle="1" w:styleId="CH1">
    <w:name w:val="CH1"/>
    <w:basedOn w:val="Normal-pool"/>
    <w:next w:val="CH2"/>
    <w:qFormat/>
    <w:rsid w:val="007C5C0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5C0A"/>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C5C0A"/>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7C5C0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7C5C0A"/>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745545"/>
    <w:pPr>
      <w:tabs>
        <w:tab w:val="left" w:pos="4321"/>
        <w:tab w:val="right" w:pos="8641"/>
      </w:tabs>
      <w:spacing w:before="60"/>
    </w:pPr>
    <w:rPr>
      <w:b/>
      <w:sz w:val="18"/>
    </w:rPr>
  </w:style>
  <w:style w:type="paragraph" w:customStyle="1" w:styleId="Footer-pool">
    <w:name w:val="Footer-pool"/>
    <w:basedOn w:val="Normal"/>
    <w:next w:val="Normal"/>
    <w:rsid w:val="007C5C0A"/>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7C5C0A"/>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semiHidden/>
    <w:rsid w:val="007C5C0A"/>
    <w:rPr>
      <w:rFonts w:eastAsia="Times New Roman"/>
      <w:szCs w:val="18"/>
      <w:vertAlign w:val="superscript"/>
      <w:lang w:val="fr-FR" w:eastAsia="en-US"/>
    </w:rPr>
  </w:style>
  <w:style w:type="table" w:customStyle="1" w:styleId="AATable">
    <w:name w:val="AA_Table"/>
    <w:basedOn w:val="TableNormal"/>
    <w:semiHidden/>
    <w:rsid w:val="0074554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5C0A"/>
    <w:pPr>
      <w:keepNext/>
      <w:keepLines/>
      <w:suppressAutoHyphens/>
    </w:pPr>
    <w:rPr>
      <w:b/>
    </w:rPr>
  </w:style>
  <w:style w:type="paragraph" w:customStyle="1" w:styleId="AATitle2">
    <w:name w:val="AA_Title2"/>
    <w:basedOn w:val="AATitle"/>
    <w:qFormat/>
    <w:rsid w:val="007C5C0A"/>
    <w:pPr>
      <w:keepNext w:val="0"/>
      <w:keepLines w:val="0"/>
      <w:spacing w:before="120" w:after="120"/>
    </w:pPr>
  </w:style>
  <w:style w:type="paragraph" w:customStyle="1" w:styleId="BBTitle">
    <w:name w:val="BB_Title"/>
    <w:basedOn w:val="Normal-pool"/>
    <w:link w:val="BBTitleChar"/>
    <w:qFormat/>
    <w:rsid w:val="007C5C0A"/>
    <w:pPr>
      <w:keepNext/>
      <w:keepLines/>
      <w:suppressAutoHyphens/>
      <w:spacing w:before="320" w:after="240"/>
      <w:ind w:left="1247" w:right="567"/>
    </w:pPr>
    <w:rPr>
      <w:b/>
      <w:sz w:val="28"/>
      <w:szCs w:val="28"/>
    </w:rPr>
  </w:style>
  <w:style w:type="paragraph" w:customStyle="1" w:styleId="CH4">
    <w:name w:val="CH4"/>
    <w:basedOn w:val="Normal-pool"/>
    <w:next w:val="Normalnumber"/>
    <w:rsid w:val="007C5C0A"/>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7C5C0A"/>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C5C0A"/>
    <w:rPr>
      <w:color w:val="0000FF"/>
      <w:u w:val="none"/>
      <w:lang w:val="fr-FR"/>
    </w:rPr>
  </w:style>
  <w:style w:type="numbering" w:customStyle="1" w:styleId="Normallist">
    <w:name w:val="Normal_list"/>
    <w:basedOn w:val="NoList"/>
    <w:rsid w:val="007C5C0A"/>
    <w:pPr>
      <w:numPr>
        <w:numId w:val="27"/>
      </w:numPr>
    </w:pPr>
  </w:style>
  <w:style w:type="paragraph" w:customStyle="1" w:styleId="NormalNonumber">
    <w:name w:val="Normal_No_number"/>
    <w:basedOn w:val="Normal-pool"/>
    <w:qFormat/>
    <w:rsid w:val="007C5C0A"/>
    <w:pPr>
      <w:spacing w:after="120"/>
      <w:ind w:left="1247"/>
    </w:pPr>
  </w:style>
  <w:style w:type="paragraph" w:customStyle="1" w:styleId="Normalnumber">
    <w:name w:val="Normal_number"/>
    <w:basedOn w:val="Normal"/>
    <w:link w:val="NormalnumberChar"/>
    <w:qFormat/>
    <w:rsid w:val="007C5C0A"/>
    <w:pPr>
      <w:numPr>
        <w:numId w:val="25"/>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7C5C0A"/>
    <w:pPr>
      <w:keepNext/>
      <w:keepLines/>
      <w:suppressAutoHyphens/>
      <w:spacing w:after="60"/>
      <w:ind w:left="1247"/>
    </w:pPr>
    <w:rPr>
      <w:b/>
      <w:bCs/>
    </w:rPr>
  </w:style>
  <w:style w:type="paragraph" w:styleId="TOC1">
    <w:name w:val="toc 1"/>
    <w:basedOn w:val="Normal"/>
    <w:next w:val="Normal"/>
    <w:autoRedefine/>
    <w:uiPriority w:val="39"/>
    <w:unhideWhenUsed/>
    <w:rsid w:val="007C5C0A"/>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7C5C0A"/>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7C5C0A"/>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7C5C0A"/>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7C5C0A"/>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7C5C0A"/>
    <w:rPr>
      <w:b/>
      <w:bCs/>
      <w:sz w:val="28"/>
      <w:szCs w:val="22"/>
    </w:rPr>
  </w:style>
  <w:style w:type="paragraph" w:customStyle="1" w:styleId="ZZAnxtitle">
    <w:name w:val="ZZ_Anx_title"/>
    <w:basedOn w:val="Normal-pool"/>
    <w:link w:val="ZZAnxtitleChar"/>
    <w:rsid w:val="007C5C0A"/>
    <w:pPr>
      <w:spacing w:before="360" w:after="120"/>
      <w:ind w:left="1247"/>
    </w:pPr>
    <w:rPr>
      <w:b/>
      <w:bCs/>
      <w:sz w:val="28"/>
      <w:szCs w:val="26"/>
    </w:rPr>
  </w:style>
  <w:style w:type="paragraph" w:styleId="NormalWeb">
    <w:name w:val="Normal (Web)"/>
    <w:basedOn w:val="Normal"/>
    <w:uiPriority w:val="99"/>
    <w:semiHidden/>
    <w:unhideWhenUsed/>
    <w:rsid w:val="0074554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5C0A"/>
    <w:pPr>
      <w:spacing w:before="40" w:after="40"/>
    </w:pPr>
    <w:rPr>
      <w:sz w:val="18"/>
    </w:rPr>
  </w:style>
  <w:style w:type="paragraph" w:customStyle="1" w:styleId="Footnote-Text">
    <w:name w:val="Footnote-Text"/>
    <w:basedOn w:val="Normal-pool"/>
    <w:rsid w:val="007C5C0A"/>
    <w:pPr>
      <w:spacing w:before="20" w:after="40"/>
      <w:ind w:left="1247"/>
    </w:pPr>
    <w:rPr>
      <w:sz w:val="18"/>
    </w:rPr>
  </w:style>
  <w:style w:type="paragraph" w:customStyle="1" w:styleId="AConvName">
    <w:name w:val="A_ConvName"/>
    <w:basedOn w:val="Normal-pool"/>
    <w:next w:val="Normal-pool"/>
    <w:rsid w:val="007C5C0A"/>
    <w:pPr>
      <w:tabs>
        <w:tab w:val="clear" w:pos="1247"/>
      </w:tabs>
      <w:spacing w:before="120" w:after="240"/>
    </w:pPr>
    <w:rPr>
      <w:rFonts w:ascii="Arial" w:hAnsi="Arial"/>
      <w:b/>
      <w:sz w:val="28"/>
    </w:rPr>
  </w:style>
  <w:style w:type="paragraph" w:customStyle="1" w:styleId="ASymbol">
    <w:name w:val="A_Symbol"/>
    <w:basedOn w:val="Normal-pool"/>
    <w:rsid w:val="007C5C0A"/>
    <w:pPr>
      <w:tabs>
        <w:tab w:val="clear" w:pos="1247"/>
      </w:tabs>
    </w:pPr>
  </w:style>
  <w:style w:type="paragraph" w:customStyle="1" w:styleId="AText">
    <w:name w:val="A_Text"/>
    <w:basedOn w:val="Normal-pool"/>
    <w:rsid w:val="007C5C0A"/>
    <w:pPr>
      <w:spacing w:before="120"/>
    </w:pPr>
  </w:style>
  <w:style w:type="paragraph" w:customStyle="1" w:styleId="ATwoLetters">
    <w:name w:val="A_TwoLetters"/>
    <w:basedOn w:val="Normal-pool"/>
    <w:next w:val="Normal-pool"/>
    <w:rsid w:val="007C5C0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C5C0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45545"/>
    <w:rPr>
      <w:rFonts w:ascii="Tahoma" w:hAnsi="Tahoma" w:cs="Tahoma"/>
      <w:sz w:val="16"/>
      <w:szCs w:val="16"/>
    </w:rPr>
  </w:style>
  <w:style w:type="character" w:customStyle="1" w:styleId="BalloonTextChar">
    <w:name w:val="Balloon Text Char"/>
    <w:basedOn w:val="DefaultParagraphFont"/>
    <w:link w:val="BalloonText"/>
    <w:rsid w:val="00745545"/>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7C5C0A"/>
    <w:rPr>
      <w:sz w:val="16"/>
      <w:szCs w:val="16"/>
      <w:lang w:val="fr-FR"/>
    </w:rPr>
  </w:style>
  <w:style w:type="paragraph" w:styleId="CommentText">
    <w:name w:val="annotation text"/>
    <w:basedOn w:val="Normal"/>
    <w:link w:val="CommentTextChar"/>
    <w:unhideWhenUsed/>
    <w:rsid w:val="007C5C0A"/>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7C5C0A"/>
    <w:rPr>
      <w:rFonts w:eastAsia="Times New Roman"/>
      <w:lang w:val="fr-FR" w:eastAsia="en-US"/>
    </w:rPr>
  </w:style>
  <w:style w:type="paragraph" w:styleId="CommentSubject">
    <w:name w:val="annotation subject"/>
    <w:basedOn w:val="CommentText"/>
    <w:next w:val="CommentText"/>
    <w:link w:val="CommentSubjectChar"/>
    <w:semiHidden/>
    <w:unhideWhenUsed/>
    <w:rsid w:val="007C5C0A"/>
    <w:rPr>
      <w:b/>
      <w:bCs/>
    </w:rPr>
  </w:style>
  <w:style w:type="character" w:customStyle="1" w:styleId="CommentSubjectChar">
    <w:name w:val="Comment Subject Char"/>
    <w:basedOn w:val="CommentTextChar"/>
    <w:link w:val="CommentSubject"/>
    <w:semiHidden/>
    <w:rsid w:val="007C5C0A"/>
    <w:rPr>
      <w:rFonts w:eastAsia="Times New Roman"/>
      <w:b/>
      <w:bCs/>
      <w:lang w:val="fr-FR" w:eastAsia="en-US"/>
    </w:rPr>
  </w:style>
  <w:style w:type="character" w:styleId="FollowedHyperlink">
    <w:name w:val="FollowedHyperlink"/>
    <w:uiPriority w:val="99"/>
    <w:semiHidden/>
    <w:rsid w:val="007C5C0A"/>
    <w:rPr>
      <w:color w:val="0000FF"/>
      <w:u w:val="none"/>
      <w:lang w:val="fr-FR"/>
    </w:rPr>
  </w:style>
  <w:style w:type="character" w:customStyle="1" w:styleId="FooterChar">
    <w:name w:val="Footer Char"/>
    <w:basedOn w:val="DefaultParagraphFont"/>
    <w:link w:val="Footer"/>
    <w:uiPriority w:val="99"/>
    <w:rsid w:val="007C5C0A"/>
    <w:rPr>
      <w:rFonts w:eastAsia="Times New Roman"/>
      <w:lang w:val="fr-FR" w:eastAsia="en-US"/>
    </w:rPr>
  </w:style>
  <w:style w:type="character" w:customStyle="1" w:styleId="HeaderChar">
    <w:name w:val="Header Char"/>
    <w:basedOn w:val="DefaultParagraphFont"/>
    <w:link w:val="Header"/>
    <w:uiPriority w:val="99"/>
    <w:semiHidden/>
    <w:rsid w:val="007C5C0A"/>
    <w:rPr>
      <w:rFonts w:eastAsia="Times New Roman"/>
      <w:lang w:val="fr-FR" w:eastAsia="en-US"/>
    </w:rPr>
  </w:style>
  <w:style w:type="character" w:customStyle="1" w:styleId="Heading1Char">
    <w:name w:val="Heading 1 Char"/>
    <w:basedOn w:val="DefaultParagraphFont"/>
    <w:link w:val="Heading1"/>
    <w:rsid w:val="007C5C0A"/>
    <w:rPr>
      <w:rFonts w:eastAsia="Times New Roman"/>
      <w:b/>
      <w:sz w:val="28"/>
      <w:szCs w:val="28"/>
      <w:lang w:val="fr-FR"/>
    </w:rPr>
  </w:style>
  <w:style w:type="character" w:customStyle="1" w:styleId="Heading2Char">
    <w:name w:val="Heading 2 Char"/>
    <w:basedOn w:val="DefaultParagraphFont"/>
    <w:link w:val="Heading2"/>
    <w:rsid w:val="007C5C0A"/>
    <w:rPr>
      <w:rFonts w:eastAsia="Times New Roman"/>
      <w:b/>
      <w:sz w:val="24"/>
      <w:szCs w:val="24"/>
      <w:lang w:val="fr-FR"/>
    </w:rPr>
  </w:style>
  <w:style w:type="character" w:customStyle="1" w:styleId="Heading3Char">
    <w:name w:val="Heading 3 Char"/>
    <w:basedOn w:val="DefaultParagraphFont"/>
    <w:link w:val="Heading3"/>
    <w:rsid w:val="007C5C0A"/>
    <w:rPr>
      <w:rFonts w:eastAsia="Times New Roman"/>
      <w:b/>
      <w:lang w:val="fr-FR"/>
    </w:rPr>
  </w:style>
  <w:style w:type="character" w:customStyle="1" w:styleId="Heading4Char">
    <w:name w:val="Heading 4 Char"/>
    <w:basedOn w:val="DefaultParagraphFont"/>
    <w:link w:val="Heading4"/>
    <w:rsid w:val="007C5C0A"/>
    <w:rPr>
      <w:rFonts w:eastAsia="Times New Roman"/>
      <w:b/>
      <w:lang w:val="fr-FR" w:eastAsia="en-US"/>
    </w:rPr>
  </w:style>
  <w:style w:type="character" w:customStyle="1" w:styleId="Heading5Char">
    <w:name w:val="Heading 5 Char"/>
    <w:basedOn w:val="DefaultParagraphFont"/>
    <w:link w:val="Heading5"/>
    <w:rsid w:val="007C5C0A"/>
    <w:rPr>
      <w:rFonts w:eastAsia="Times New Roman"/>
      <w:b/>
      <w:lang w:val="fr-FR"/>
    </w:rPr>
  </w:style>
  <w:style w:type="character" w:customStyle="1" w:styleId="Heading6Char">
    <w:name w:val="Heading 6 Char"/>
    <w:basedOn w:val="DefaultParagraphFont"/>
    <w:link w:val="Heading6"/>
    <w:rsid w:val="007C5C0A"/>
    <w:rPr>
      <w:rFonts w:eastAsia="Times New Roman"/>
      <w:bCs/>
      <w:sz w:val="24"/>
      <w:lang w:val="fr-FR"/>
    </w:rPr>
  </w:style>
  <w:style w:type="character" w:customStyle="1" w:styleId="Heading7Char">
    <w:name w:val="Heading 7 Char"/>
    <w:basedOn w:val="DefaultParagraphFont"/>
    <w:link w:val="Heading7"/>
    <w:rsid w:val="007C5C0A"/>
    <w:rPr>
      <w:rFonts w:eastAsia="Times New Roman"/>
      <w:b/>
      <w:snapToGrid w:val="0"/>
      <w:u w:val="single"/>
      <w:lang w:val="fr-FR"/>
    </w:rPr>
  </w:style>
  <w:style w:type="character" w:customStyle="1" w:styleId="Heading8Char">
    <w:name w:val="Heading 8 Char"/>
    <w:basedOn w:val="DefaultParagraphFont"/>
    <w:link w:val="Heading8"/>
    <w:rsid w:val="007C5C0A"/>
    <w:rPr>
      <w:rFonts w:eastAsia="Times New Roman"/>
      <w:b/>
      <w:snapToGrid w:val="0"/>
      <w:u w:val="single"/>
      <w:lang w:val="fr-FR"/>
    </w:rPr>
  </w:style>
  <w:style w:type="character" w:customStyle="1" w:styleId="Heading9Char">
    <w:name w:val="Heading 9 Char"/>
    <w:basedOn w:val="DefaultParagraphFont"/>
    <w:link w:val="Heading9"/>
    <w:rsid w:val="007C5C0A"/>
    <w:rPr>
      <w:rFonts w:eastAsia="Times New Roman"/>
      <w:snapToGrid w:val="0"/>
      <w:u w:val="single"/>
      <w:lang w:val="fr-FR" w:eastAsia="en-US"/>
    </w:rPr>
  </w:style>
  <w:style w:type="paragraph" w:styleId="ListParagraph">
    <w:name w:val="List Paragraph"/>
    <w:basedOn w:val="Normal"/>
    <w:uiPriority w:val="34"/>
    <w:semiHidden/>
    <w:qFormat/>
    <w:rsid w:val="00745545"/>
    <w:pPr>
      <w:ind w:left="720"/>
      <w:contextualSpacing/>
    </w:pPr>
  </w:style>
  <w:style w:type="paragraph" w:styleId="NoSpacing">
    <w:name w:val="No Spacing"/>
    <w:uiPriority w:val="1"/>
    <w:semiHidden/>
    <w:qFormat/>
    <w:rsid w:val="0074554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C5C0A"/>
    <w:rPr>
      <w:rFonts w:eastAsia="Times New Roman"/>
      <w:lang w:eastAsia="en-US"/>
    </w:rPr>
  </w:style>
  <w:style w:type="character" w:styleId="PlaceholderText">
    <w:name w:val="Placeholder Text"/>
    <w:basedOn w:val="DefaultParagraphFont"/>
    <w:uiPriority w:val="99"/>
    <w:semiHidden/>
    <w:rsid w:val="00745545"/>
    <w:rPr>
      <w:color w:val="808080"/>
      <w:lang w:val="fr-FR"/>
    </w:rPr>
  </w:style>
  <w:style w:type="table" w:styleId="TableGrid">
    <w:name w:val="Table Grid"/>
    <w:basedOn w:val="TableNormal"/>
    <w:rsid w:val="0074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5C0A"/>
    <w:pPr>
      <w:spacing w:before="120" w:after="240"/>
    </w:pPr>
    <w:rPr>
      <w:rFonts w:eastAsia="Times New Roman"/>
    </w:rPr>
  </w:style>
  <w:style w:type="character" w:customStyle="1" w:styleId="ALogoChar">
    <w:name w:val="A_Logo Char"/>
    <w:basedOn w:val="DefaultParagraphFont"/>
    <w:link w:val="ALogo"/>
    <w:rsid w:val="007C5C0A"/>
    <w:rPr>
      <w:rFonts w:eastAsia="Times New Roman"/>
      <w:lang w:val="fr-FR"/>
    </w:rPr>
  </w:style>
  <w:style w:type="paragraph" w:customStyle="1" w:styleId="ASpacer">
    <w:name w:val="A_Spacer"/>
    <w:basedOn w:val="Normal-pool"/>
    <w:link w:val="ASpacerChar"/>
    <w:qFormat/>
    <w:rsid w:val="007C5C0A"/>
    <w:rPr>
      <w:rFonts w:eastAsia="Times New Roman"/>
      <w:sz w:val="2"/>
    </w:rPr>
  </w:style>
  <w:style w:type="character" w:customStyle="1" w:styleId="ASpacerChar">
    <w:name w:val="A_Spacer Char"/>
    <w:basedOn w:val="DefaultParagraphFont"/>
    <w:link w:val="ASpacer"/>
    <w:rsid w:val="007C5C0A"/>
    <w:rPr>
      <w:rFonts w:eastAsia="Times New Roman"/>
      <w:sz w:val="2"/>
      <w:lang w:val="fr-FR"/>
    </w:rPr>
  </w:style>
  <w:style w:type="paragraph" w:customStyle="1" w:styleId="AATitle1">
    <w:name w:val="AA_Title1"/>
    <w:basedOn w:val="Normal-pool"/>
    <w:qFormat/>
    <w:rsid w:val="007C5C0A"/>
  </w:style>
  <w:style w:type="character" w:styleId="UnresolvedMention">
    <w:name w:val="Unresolved Mention"/>
    <w:basedOn w:val="DefaultParagraphFont"/>
    <w:uiPriority w:val="99"/>
    <w:semiHidden/>
    <w:rsid w:val="00745545"/>
    <w:rPr>
      <w:color w:val="605E5C"/>
      <w:shd w:val="clear" w:color="auto" w:fill="E1DFDD"/>
      <w:lang w:val="fr-FR"/>
    </w:rPr>
  </w:style>
  <w:style w:type="paragraph" w:customStyle="1" w:styleId="ANormal">
    <w:name w:val="A_Normal"/>
    <w:basedOn w:val="Normal-pool"/>
    <w:qFormat/>
    <w:rsid w:val="007C5C0A"/>
    <w:rPr>
      <w:rFonts w:eastAsia="Times New Roman"/>
    </w:rPr>
  </w:style>
  <w:style w:type="paragraph" w:customStyle="1" w:styleId="AText0">
    <w:name w:val="A_Text0"/>
    <w:basedOn w:val="AText"/>
    <w:next w:val="Normal-pool"/>
    <w:qFormat/>
    <w:rsid w:val="007C5C0A"/>
    <w:pPr>
      <w:spacing w:before="0" w:after="120"/>
    </w:pPr>
    <w:rPr>
      <w:rFonts w:eastAsia="Times New Roman"/>
    </w:rPr>
  </w:style>
  <w:style w:type="paragraph" w:styleId="Footer">
    <w:name w:val="footer"/>
    <w:basedOn w:val="Normal"/>
    <w:link w:val="FooterChar"/>
    <w:uiPriority w:val="99"/>
    <w:rsid w:val="007C5C0A"/>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745545"/>
    <w:rPr>
      <w:rFonts w:eastAsia="Times New Roman"/>
      <w:b/>
      <w:sz w:val="18"/>
      <w:lang w:val="fr-FR" w:eastAsia="en-US"/>
    </w:rPr>
  </w:style>
  <w:style w:type="paragraph" w:customStyle="1" w:styleId="Normal-pool">
    <w:name w:val="Normal-pool"/>
    <w:link w:val="Normal-poolChar"/>
    <w:qFormat/>
    <w:rsid w:val="007C5C0A"/>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7C5C0A"/>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7C5C0A"/>
    <w:pPr>
      <w:spacing w:before="60"/>
    </w:pPr>
    <w:rPr>
      <w:sz w:val="18"/>
    </w:rPr>
  </w:style>
  <w:style w:type="paragraph" w:styleId="Bibliography">
    <w:name w:val="Bibliography"/>
    <w:basedOn w:val="Normal"/>
    <w:next w:val="Normal"/>
    <w:uiPriority w:val="37"/>
    <w:semiHidden/>
    <w:rsid w:val="00745545"/>
  </w:style>
  <w:style w:type="paragraph" w:styleId="BlockText">
    <w:name w:val="Block Text"/>
    <w:basedOn w:val="Normal"/>
    <w:semiHidden/>
    <w:unhideWhenUsed/>
    <w:rsid w:val="0074554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45545"/>
    <w:pPr>
      <w:spacing w:after="120"/>
    </w:pPr>
  </w:style>
  <w:style w:type="character" w:customStyle="1" w:styleId="BodyTextChar">
    <w:name w:val="Body Text Char"/>
    <w:basedOn w:val="DefaultParagraphFont"/>
    <w:link w:val="BodyText"/>
    <w:semiHidden/>
    <w:rsid w:val="00745545"/>
    <w:rPr>
      <w:rFonts w:eastAsia="Times New Roman"/>
      <w:lang w:val="fr-FR" w:eastAsia="en-US"/>
    </w:rPr>
  </w:style>
  <w:style w:type="paragraph" w:styleId="BodyText2">
    <w:name w:val="Body Text 2"/>
    <w:basedOn w:val="Normal"/>
    <w:link w:val="BodyText2Char"/>
    <w:semiHidden/>
    <w:unhideWhenUsed/>
    <w:rsid w:val="00745545"/>
    <w:pPr>
      <w:spacing w:after="120" w:line="480" w:lineRule="auto"/>
    </w:pPr>
  </w:style>
  <w:style w:type="character" w:customStyle="1" w:styleId="BodyText2Char">
    <w:name w:val="Body Text 2 Char"/>
    <w:basedOn w:val="DefaultParagraphFont"/>
    <w:link w:val="BodyText2"/>
    <w:semiHidden/>
    <w:rsid w:val="00745545"/>
    <w:rPr>
      <w:rFonts w:eastAsia="Times New Roman"/>
      <w:lang w:val="fr-FR" w:eastAsia="en-US"/>
    </w:rPr>
  </w:style>
  <w:style w:type="paragraph" w:styleId="BodyText3">
    <w:name w:val="Body Text 3"/>
    <w:basedOn w:val="Normal"/>
    <w:link w:val="BodyText3Char"/>
    <w:semiHidden/>
    <w:unhideWhenUsed/>
    <w:rsid w:val="00745545"/>
    <w:pPr>
      <w:spacing w:after="120"/>
    </w:pPr>
    <w:rPr>
      <w:sz w:val="16"/>
      <w:szCs w:val="16"/>
    </w:rPr>
  </w:style>
  <w:style w:type="character" w:customStyle="1" w:styleId="BodyText3Char">
    <w:name w:val="Body Text 3 Char"/>
    <w:basedOn w:val="DefaultParagraphFont"/>
    <w:link w:val="BodyText3"/>
    <w:semiHidden/>
    <w:rsid w:val="00745545"/>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745545"/>
    <w:pPr>
      <w:spacing w:after="0"/>
      <w:ind w:firstLine="360"/>
    </w:pPr>
  </w:style>
  <w:style w:type="character" w:customStyle="1" w:styleId="BodyTextFirstIndentChar">
    <w:name w:val="Body Text First Indent Char"/>
    <w:basedOn w:val="BodyTextChar"/>
    <w:link w:val="BodyTextFirstIndent"/>
    <w:semiHidden/>
    <w:rsid w:val="00745545"/>
    <w:rPr>
      <w:rFonts w:eastAsia="Times New Roman"/>
      <w:lang w:val="fr-FR" w:eastAsia="en-US"/>
    </w:rPr>
  </w:style>
  <w:style w:type="paragraph" w:styleId="BodyTextIndent">
    <w:name w:val="Body Text Indent"/>
    <w:basedOn w:val="Normal"/>
    <w:link w:val="BodyTextIndentChar"/>
    <w:semiHidden/>
    <w:unhideWhenUsed/>
    <w:rsid w:val="00745545"/>
    <w:pPr>
      <w:spacing w:after="120"/>
      <w:ind w:left="283"/>
    </w:pPr>
  </w:style>
  <w:style w:type="character" w:customStyle="1" w:styleId="BodyTextIndentChar">
    <w:name w:val="Body Text Indent Char"/>
    <w:basedOn w:val="DefaultParagraphFont"/>
    <w:link w:val="BodyTextIndent"/>
    <w:semiHidden/>
    <w:rsid w:val="00745545"/>
    <w:rPr>
      <w:rFonts w:eastAsia="Times New Roman"/>
      <w:lang w:val="fr-FR" w:eastAsia="en-US"/>
    </w:rPr>
  </w:style>
  <w:style w:type="paragraph" w:styleId="BodyTextFirstIndent2">
    <w:name w:val="Body Text First Indent 2"/>
    <w:basedOn w:val="BodyTextIndent"/>
    <w:link w:val="BodyTextFirstIndent2Char"/>
    <w:semiHidden/>
    <w:unhideWhenUsed/>
    <w:rsid w:val="00745545"/>
    <w:pPr>
      <w:spacing w:after="0"/>
      <w:ind w:left="360" w:firstLine="360"/>
    </w:pPr>
  </w:style>
  <w:style w:type="character" w:customStyle="1" w:styleId="BodyTextFirstIndent2Char">
    <w:name w:val="Body Text First Indent 2 Char"/>
    <w:basedOn w:val="BodyTextIndentChar"/>
    <w:link w:val="BodyTextFirstIndent2"/>
    <w:semiHidden/>
    <w:rsid w:val="00745545"/>
    <w:rPr>
      <w:rFonts w:eastAsia="Times New Roman"/>
      <w:lang w:val="fr-FR" w:eastAsia="en-US"/>
    </w:rPr>
  </w:style>
  <w:style w:type="paragraph" w:styleId="BodyTextIndent2">
    <w:name w:val="Body Text Indent 2"/>
    <w:basedOn w:val="Normal"/>
    <w:link w:val="BodyTextIndent2Char"/>
    <w:semiHidden/>
    <w:unhideWhenUsed/>
    <w:rsid w:val="00745545"/>
    <w:pPr>
      <w:spacing w:after="120" w:line="480" w:lineRule="auto"/>
      <w:ind w:left="283"/>
    </w:pPr>
  </w:style>
  <w:style w:type="character" w:customStyle="1" w:styleId="BodyTextIndent2Char">
    <w:name w:val="Body Text Indent 2 Char"/>
    <w:basedOn w:val="DefaultParagraphFont"/>
    <w:link w:val="BodyTextIndent2"/>
    <w:semiHidden/>
    <w:rsid w:val="00745545"/>
    <w:rPr>
      <w:rFonts w:eastAsia="Times New Roman"/>
      <w:lang w:val="fr-FR" w:eastAsia="en-US"/>
    </w:rPr>
  </w:style>
  <w:style w:type="paragraph" w:styleId="BodyTextIndent3">
    <w:name w:val="Body Text Indent 3"/>
    <w:basedOn w:val="Normal"/>
    <w:link w:val="BodyTextIndent3Char"/>
    <w:semiHidden/>
    <w:unhideWhenUsed/>
    <w:rsid w:val="00745545"/>
    <w:pPr>
      <w:spacing w:after="120"/>
      <w:ind w:left="283"/>
    </w:pPr>
    <w:rPr>
      <w:sz w:val="16"/>
      <w:szCs w:val="16"/>
    </w:rPr>
  </w:style>
  <w:style w:type="character" w:customStyle="1" w:styleId="BodyTextIndent3Char">
    <w:name w:val="Body Text Indent 3 Char"/>
    <w:basedOn w:val="DefaultParagraphFont"/>
    <w:link w:val="BodyTextIndent3"/>
    <w:semiHidden/>
    <w:rsid w:val="00745545"/>
    <w:rPr>
      <w:rFonts w:eastAsia="Times New Roman"/>
      <w:sz w:val="16"/>
      <w:szCs w:val="16"/>
      <w:lang w:val="fr-FR" w:eastAsia="en-US"/>
    </w:rPr>
  </w:style>
  <w:style w:type="character" w:styleId="BookTitle">
    <w:name w:val="Book Title"/>
    <w:basedOn w:val="DefaultParagraphFont"/>
    <w:uiPriority w:val="33"/>
    <w:semiHidden/>
    <w:qFormat/>
    <w:rsid w:val="00745545"/>
    <w:rPr>
      <w:b/>
      <w:bCs/>
      <w:i/>
      <w:iCs/>
      <w:spacing w:val="5"/>
      <w:lang w:val="fr-FR"/>
    </w:rPr>
  </w:style>
  <w:style w:type="paragraph" w:styleId="Caption">
    <w:name w:val="caption"/>
    <w:basedOn w:val="Normal"/>
    <w:next w:val="Normal"/>
    <w:semiHidden/>
    <w:unhideWhenUsed/>
    <w:qFormat/>
    <w:rsid w:val="00745545"/>
    <w:pPr>
      <w:spacing w:after="200"/>
    </w:pPr>
    <w:rPr>
      <w:i/>
      <w:iCs/>
      <w:color w:val="1F497D" w:themeColor="text2"/>
      <w:sz w:val="18"/>
      <w:szCs w:val="18"/>
    </w:rPr>
  </w:style>
  <w:style w:type="paragraph" w:styleId="Closing">
    <w:name w:val="Closing"/>
    <w:basedOn w:val="Normal"/>
    <w:link w:val="ClosingChar"/>
    <w:semiHidden/>
    <w:unhideWhenUsed/>
    <w:rsid w:val="00745545"/>
    <w:pPr>
      <w:ind w:left="4252"/>
    </w:pPr>
  </w:style>
  <w:style w:type="character" w:customStyle="1" w:styleId="ClosingChar">
    <w:name w:val="Closing Char"/>
    <w:basedOn w:val="DefaultParagraphFont"/>
    <w:link w:val="Closing"/>
    <w:semiHidden/>
    <w:rsid w:val="00745545"/>
    <w:rPr>
      <w:rFonts w:eastAsia="Times New Roman"/>
      <w:lang w:val="fr-FR" w:eastAsia="en-US"/>
    </w:rPr>
  </w:style>
  <w:style w:type="table" w:styleId="ColorfulGrid">
    <w:name w:val="Colorful Grid"/>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4554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4554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4554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4554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4554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4554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4554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4554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4554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4554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4554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455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4554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4554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455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4554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455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4554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45545"/>
  </w:style>
  <w:style w:type="character" w:customStyle="1" w:styleId="DateChar">
    <w:name w:val="Date Char"/>
    <w:basedOn w:val="DefaultParagraphFont"/>
    <w:link w:val="Date"/>
    <w:semiHidden/>
    <w:rsid w:val="00745545"/>
    <w:rPr>
      <w:rFonts w:eastAsia="Times New Roman"/>
      <w:lang w:val="fr-FR" w:eastAsia="en-US"/>
    </w:rPr>
  </w:style>
  <w:style w:type="paragraph" w:styleId="DocumentMap">
    <w:name w:val="Document Map"/>
    <w:basedOn w:val="Normal"/>
    <w:link w:val="DocumentMapChar"/>
    <w:semiHidden/>
    <w:unhideWhenUsed/>
    <w:rsid w:val="00745545"/>
    <w:rPr>
      <w:rFonts w:ascii="Segoe UI" w:hAnsi="Segoe UI" w:cs="Segoe UI"/>
      <w:sz w:val="16"/>
      <w:szCs w:val="16"/>
    </w:rPr>
  </w:style>
  <w:style w:type="character" w:customStyle="1" w:styleId="DocumentMapChar">
    <w:name w:val="Document Map Char"/>
    <w:basedOn w:val="DefaultParagraphFont"/>
    <w:link w:val="DocumentMap"/>
    <w:semiHidden/>
    <w:rsid w:val="00745545"/>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745545"/>
  </w:style>
  <w:style w:type="character" w:customStyle="1" w:styleId="E-mailSignatureChar">
    <w:name w:val="E-mail Signature Char"/>
    <w:basedOn w:val="DefaultParagraphFont"/>
    <w:link w:val="E-mailSignature"/>
    <w:semiHidden/>
    <w:rsid w:val="00745545"/>
    <w:rPr>
      <w:rFonts w:eastAsia="Times New Roman"/>
      <w:lang w:val="fr-FR" w:eastAsia="en-US"/>
    </w:rPr>
  </w:style>
  <w:style w:type="character" w:styleId="Emphasis">
    <w:name w:val="Emphasis"/>
    <w:basedOn w:val="DefaultParagraphFont"/>
    <w:semiHidden/>
    <w:qFormat/>
    <w:rsid w:val="00745545"/>
    <w:rPr>
      <w:i/>
      <w:iCs/>
      <w:lang w:val="fr-FR"/>
    </w:rPr>
  </w:style>
  <w:style w:type="character" w:styleId="EndnoteReference">
    <w:name w:val="endnote reference"/>
    <w:basedOn w:val="DefaultParagraphFont"/>
    <w:semiHidden/>
    <w:unhideWhenUsed/>
    <w:rsid w:val="00745545"/>
    <w:rPr>
      <w:vertAlign w:val="superscript"/>
      <w:lang w:val="fr-FR"/>
    </w:rPr>
  </w:style>
  <w:style w:type="paragraph" w:styleId="EndnoteText">
    <w:name w:val="endnote text"/>
    <w:basedOn w:val="Normal"/>
    <w:link w:val="EndnoteTextChar"/>
    <w:semiHidden/>
    <w:unhideWhenUsed/>
    <w:rsid w:val="00745545"/>
  </w:style>
  <w:style w:type="character" w:customStyle="1" w:styleId="EndnoteTextChar">
    <w:name w:val="Endnote Text Char"/>
    <w:basedOn w:val="DefaultParagraphFont"/>
    <w:link w:val="EndnoteText"/>
    <w:semiHidden/>
    <w:rsid w:val="00745545"/>
    <w:rPr>
      <w:rFonts w:eastAsia="Times New Roman"/>
      <w:lang w:val="fr-FR" w:eastAsia="en-US"/>
    </w:rPr>
  </w:style>
  <w:style w:type="paragraph" w:styleId="EnvelopeAddress">
    <w:name w:val="envelope address"/>
    <w:basedOn w:val="Normal"/>
    <w:semiHidden/>
    <w:unhideWhenUsed/>
    <w:rsid w:val="007455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45545"/>
    <w:rPr>
      <w:rFonts w:asciiTheme="majorHAnsi" w:eastAsiaTheme="majorEastAsia" w:hAnsiTheme="majorHAnsi" w:cstheme="majorBidi"/>
    </w:rPr>
  </w:style>
  <w:style w:type="paragraph" w:styleId="FootnoteText">
    <w:name w:val="footnote text"/>
    <w:basedOn w:val="Normal"/>
    <w:link w:val="FootnoteTextChar"/>
    <w:semiHidden/>
    <w:rsid w:val="007C5C0A"/>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745545"/>
    <w:rPr>
      <w:rFonts w:eastAsia="Times New Roman"/>
      <w:sz w:val="18"/>
      <w:lang w:val="fr-FR" w:eastAsia="en-US"/>
    </w:rPr>
  </w:style>
  <w:style w:type="table" w:styleId="GridTable1Light">
    <w:name w:val="Grid Table 1 Light"/>
    <w:basedOn w:val="TableNormal"/>
    <w:uiPriority w:val="46"/>
    <w:rsid w:val="007455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455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4554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4554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4554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554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4554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455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4554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4554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4554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4554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4554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4554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455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455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455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455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455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455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455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455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455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455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455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455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455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455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45545"/>
    <w:rPr>
      <w:color w:val="2B579A"/>
      <w:shd w:val="clear" w:color="auto" w:fill="E1DFDD"/>
      <w:lang w:val="fr-FR"/>
    </w:rPr>
  </w:style>
  <w:style w:type="character" w:styleId="HTMLAcronym">
    <w:name w:val="HTML Acronym"/>
    <w:basedOn w:val="DefaultParagraphFont"/>
    <w:semiHidden/>
    <w:unhideWhenUsed/>
    <w:rsid w:val="00745545"/>
    <w:rPr>
      <w:lang w:val="fr-FR"/>
    </w:rPr>
  </w:style>
  <w:style w:type="paragraph" w:styleId="HTMLAddress">
    <w:name w:val="HTML Address"/>
    <w:basedOn w:val="Normal"/>
    <w:link w:val="HTMLAddressChar"/>
    <w:semiHidden/>
    <w:unhideWhenUsed/>
    <w:rsid w:val="00745545"/>
    <w:rPr>
      <w:i/>
      <w:iCs/>
    </w:rPr>
  </w:style>
  <w:style w:type="character" w:customStyle="1" w:styleId="HTMLAddressChar">
    <w:name w:val="HTML Address Char"/>
    <w:basedOn w:val="DefaultParagraphFont"/>
    <w:link w:val="HTMLAddress"/>
    <w:semiHidden/>
    <w:rsid w:val="00745545"/>
    <w:rPr>
      <w:rFonts w:eastAsia="Times New Roman"/>
      <w:i/>
      <w:iCs/>
      <w:lang w:val="fr-FR" w:eastAsia="en-US"/>
    </w:rPr>
  </w:style>
  <w:style w:type="character" w:styleId="HTMLCite">
    <w:name w:val="HTML Cite"/>
    <w:basedOn w:val="DefaultParagraphFont"/>
    <w:semiHidden/>
    <w:unhideWhenUsed/>
    <w:rsid w:val="00745545"/>
    <w:rPr>
      <w:i/>
      <w:iCs/>
      <w:lang w:val="fr-FR"/>
    </w:rPr>
  </w:style>
  <w:style w:type="character" w:styleId="HTMLCode">
    <w:name w:val="HTML Code"/>
    <w:basedOn w:val="DefaultParagraphFont"/>
    <w:semiHidden/>
    <w:unhideWhenUsed/>
    <w:rsid w:val="00745545"/>
    <w:rPr>
      <w:rFonts w:ascii="Consolas" w:hAnsi="Consolas"/>
      <w:sz w:val="20"/>
      <w:szCs w:val="20"/>
      <w:lang w:val="fr-FR"/>
    </w:rPr>
  </w:style>
  <w:style w:type="character" w:styleId="HTMLDefinition">
    <w:name w:val="HTML Definition"/>
    <w:basedOn w:val="DefaultParagraphFont"/>
    <w:semiHidden/>
    <w:unhideWhenUsed/>
    <w:rsid w:val="00745545"/>
    <w:rPr>
      <w:i/>
      <w:iCs/>
      <w:lang w:val="fr-FR"/>
    </w:rPr>
  </w:style>
  <w:style w:type="character" w:styleId="HTMLKeyboard">
    <w:name w:val="HTML Keyboard"/>
    <w:basedOn w:val="DefaultParagraphFont"/>
    <w:semiHidden/>
    <w:unhideWhenUsed/>
    <w:rsid w:val="00745545"/>
    <w:rPr>
      <w:rFonts w:ascii="Consolas" w:hAnsi="Consolas"/>
      <w:sz w:val="20"/>
      <w:szCs w:val="20"/>
      <w:lang w:val="fr-FR"/>
    </w:rPr>
  </w:style>
  <w:style w:type="paragraph" w:styleId="HTMLPreformatted">
    <w:name w:val="HTML Preformatted"/>
    <w:basedOn w:val="Normal"/>
    <w:link w:val="HTMLPreformattedChar"/>
    <w:semiHidden/>
    <w:unhideWhenUsed/>
    <w:rsid w:val="00745545"/>
    <w:rPr>
      <w:rFonts w:ascii="Consolas" w:hAnsi="Consolas"/>
    </w:rPr>
  </w:style>
  <w:style w:type="character" w:customStyle="1" w:styleId="HTMLPreformattedChar">
    <w:name w:val="HTML Preformatted Char"/>
    <w:basedOn w:val="DefaultParagraphFont"/>
    <w:link w:val="HTMLPreformatted"/>
    <w:semiHidden/>
    <w:rsid w:val="00745545"/>
    <w:rPr>
      <w:rFonts w:ascii="Consolas" w:eastAsia="Times New Roman" w:hAnsi="Consolas"/>
      <w:lang w:val="fr-FR" w:eastAsia="en-US"/>
    </w:rPr>
  </w:style>
  <w:style w:type="character" w:styleId="HTMLSample">
    <w:name w:val="HTML Sample"/>
    <w:basedOn w:val="DefaultParagraphFont"/>
    <w:semiHidden/>
    <w:unhideWhenUsed/>
    <w:rsid w:val="00745545"/>
    <w:rPr>
      <w:rFonts w:ascii="Consolas" w:hAnsi="Consolas"/>
      <w:sz w:val="24"/>
      <w:szCs w:val="24"/>
      <w:lang w:val="fr-FR"/>
    </w:rPr>
  </w:style>
  <w:style w:type="character" w:styleId="HTMLTypewriter">
    <w:name w:val="HTML Typewriter"/>
    <w:basedOn w:val="DefaultParagraphFont"/>
    <w:semiHidden/>
    <w:unhideWhenUsed/>
    <w:rsid w:val="00745545"/>
    <w:rPr>
      <w:rFonts w:ascii="Consolas" w:hAnsi="Consolas"/>
      <w:sz w:val="20"/>
      <w:szCs w:val="20"/>
      <w:lang w:val="fr-FR"/>
    </w:rPr>
  </w:style>
  <w:style w:type="character" w:styleId="HTMLVariable">
    <w:name w:val="HTML Variable"/>
    <w:basedOn w:val="DefaultParagraphFont"/>
    <w:semiHidden/>
    <w:unhideWhenUsed/>
    <w:rsid w:val="00745545"/>
    <w:rPr>
      <w:i/>
      <w:iCs/>
      <w:lang w:val="fr-FR"/>
    </w:rPr>
  </w:style>
  <w:style w:type="paragraph" w:styleId="Index1">
    <w:name w:val="index 1"/>
    <w:basedOn w:val="Normal"/>
    <w:next w:val="Normal"/>
    <w:autoRedefine/>
    <w:semiHidden/>
    <w:unhideWhenUsed/>
    <w:rsid w:val="00745545"/>
    <w:pPr>
      <w:tabs>
        <w:tab w:val="clear" w:pos="1247"/>
      </w:tabs>
      <w:ind w:left="200" w:hanging="200"/>
    </w:pPr>
  </w:style>
  <w:style w:type="paragraph" w:styleId="Index2">
    <w:name w:val="index 2"/>
    <w:basedOn w:val="Normal"/>
    <w:next w:val="Normal"/>
    <w:autoRedefine/>
    <w:semiHidden/>
    <w:unhideWhenUsed/>
    <w:rsid w:val="00745545"/>
    <w:pPr>
      <w:tabs>
        <w:tab w:val="clear" w:pos="1247"/>
      </w:tabs>
      <w:ind w:left="400" w:hanging="200"/>
    </w:pPr>
  </w:style>
  <w:style w:type="paragraph" w:styleId="Index3">
    <w:name w:val="index 3"/>
    <w:basedOn w:val="Normal"/>
    <w:next w:val="Normal"/>
    <w:autoRedefine/>
    <w:semiHidden/>
    <w:unhideWhenUsed/>
    <w:rsid w:val="00745545"/>
    <w:pPr>
      <w:tabs>
        <w:tab w:val="clear" w:pos="1247"/>
      </w:tabs>
      <w:ind w:left="600" w:hanging="200"/>
    </w:pPr>
  </w:style>
  <w:style w:type="paragraph" w:styleId="Index4">
    <w:name w:val="index 4"/>
    <w:basedOn w:val="Normal"/>
    <w:next w:val="Normal"/>
    <w:autoRedefine/>
    <w:semiHidden/>
    <w:unhideWhenUsed/>
    <w:rsid w:val="00745545"/>
    <w:pPr>
      <w:tabs>
        <w:tab w:val="clear" w:pos="1247"/>
      </w:tabs>
      <w:ind w:left="800" w:hanging="200"/>
    </w:pPr>
  </w:style>
  <w:style w:type="paragraph" w:styleId="Index5">
    <w:name w:val="index 5"/>
    <w:basedOn w:val="Normal"/>
    <w:next w:val="Normal"/>
    <w:autoRedefine/>
    <w:semiHidden/>
    <w:unhideWhenUsed/>
    <w:rsid w:val="00745545"/>
    <w:pPr>
      <w:tabs>
        <w:tab w:val="clear" w:pos="1247"/>
      </w:tabs>
      <w:ind w:left="1000" w:hanging="200"/>
    </w:pPr>
  </w:style>
  <w:style w:type="paragraph" w:styleId="Index6">
    <w:name w:val="index 6"/>
    <w:basedOn w:val="Normal"/>
    <w:next w:val="Normal"/>
    <w:autoRedefine/>
    <w:semiHidden/>
    <w:unhideWhenUsed/>
    <w:rsid w:val="00745545"/>
    <w:pPr>
      <w:tabs>
        <w:tab w:val="clear" w:pos="1247"/>
      </w:tabs>
      <w:ind w:left="1200" w:hanging="200"/>
    </w:pPr>
  </w:style>
  <w:style w:type="paragraph" w:styleId="Index7">
    <w:name w:val="index 7"/>
    <w:basedOn w:val="Normal"/>
    <w:next w:val="Normal"/>
    <w:autoRedefine/>
    <w:semiHidden/>
    <w:unhideWhenUsed/>
    <w:rsid w:val="00745545"/>
    <w:pPr>
      <w:tabs>
        <w:tab w:val="clear" w:pos="1247"/>
      </w:tabs>
      <w:ind w:left="1400" w:hanging="200"/>
    </w:pPr>
  </w:style>
  <w:style w:type="paragraph" w:styleId="Index8">
    <w:name w:val="index 8"/>
    <w:basedOn w:val="Normal"/>
    <w:next w:val="Normal"/>
    <w:autoRedefine/>
    <w:semiHidden/>
    <w:unhideWhenUsed/>
    <w:rsid w:val="00745545"/>
    <w:pPr>
      <w:tabs>
        <w:tab w:val="clear" w:pos="1247"/>
      </w:tabs>
      <w:ind w:left="1600" w:hanging="200"/>
    </w:pPr>
  </w:style>
  <w:style w:type="paragraph" w:styleId="Index9">
    <w:name w:val="index 9"/>
    <w:basedOn w:val="Normal"/>
    <w:next w:val="Normal"/>
    <w:autoRedefine/>
    <w:semiHidden/>
    <w:unhideWhenUsed/>
    <w:rsid w:val="00745545"/>
    <w:pPr>
      <w:tabs>
        <w:tab w:val="clear" w:pos="1247"/>
      </w:tabs>
      <w:ind w:left="1800" w:hanging="200"/>
    </w:pPr>
  </w:style>
  <w:style w:type="paragraph" w:styleId="IndexHeading">
    <w:name w:val="index heading"/>
    <w:basedOn w:val="Normal"/>
    <w:next w:val="Index1"/>
    <w:semiHidden/>
    <w:unhideWhenUsed/>
    <w:rsid w:val="0074554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45545"/>
    <w:rPr>
      <w:i/>
      <w:iCs/>
      <w:color w:val="4F81BD" w:themeColor="accent1"/>
      <w:lang w:val="fr-FR"/>
    </w:rPr>
  </w:style>
  <w:style w:type="paragraph" w:styleId="IntenseQuote">
    <w:name w:val="Intense Quote"/>
    <w:basedOn w:val="Normal"/>
    <w:next w:val="Normal"/>
    <w:link w:val="IntenseQuoteChar"/>
    <w:uiPriority w:val="30"/>
    <w:semiHidden/>
    <w:qFormat/>
    <w:rsid w:val="0074554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45545"/>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745545"/>
    <w:rPr>
      <w:b/>
      <w:bCs/>
      <w:smallCaps/>
      <w:color w:val="4F81BD" w:themeColor="accent1"/>
      <w:spacing w:val="5"/>
      <w:lang w:val="fr-FR"/>
    </w:rPr>
  </w:style>
  <w:style w:type="table" w:styleId="LightGrid">
    <w:name w:val="Light Grid"/>
    <w:basedOn w:val="TableNormal"/>
    <w:uiPriority w:val="62"/>
    <w:semiHidden/>
    <w:unhideWhenUsed/>
    <w:rsid w:val="007455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455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4554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455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4554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4554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4554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455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455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4554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455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4554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4554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4554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455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4554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4554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4554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4554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455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4554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45545"/>
    <w:rPr>
      <w:lang w:val="fr-FR"/>
    </w:rPr>
  </w:style>
  <w:style w:type="paragraph" w:styleId="List">
    <w:name w:val="List"/>
    <w:basedOn w:val="Normal"/>
    <w:semiHidden/>
    <w:unhideWhenUsed/>
    <w:rsid w:val="00745545"/>
    <w:pPr>
      <w:ind w:left="283" w:hanging="283"/>
      <w:contextualSpacing/>
    </w:pPr>
  </w:style>
  <w:style w:type="paragraph" w:styleId="List2">
    <w:name w:val="List 2"/>
    <w:basedOn w:val="Normal"/>
    <w:semiHidden/>
    <w:unhideWhenUsed/>
    <w:rsid w:val="00745545"/>
    <w:pPr>
      <w:ind w:left="566" w:hanging="283"/>
      <w:contextualSpacing/>
    </w:pPr>
  </w:style>
  <w:style w:type="paragraph" w:styleId="List3">
    <w:name w:val="List 3"/>
    <w:basedOn w:val="Normal"/>
    <w:semiHidden/>
    <w:unhideWhenUsed/>
    <w:rsid w:val="00745545"/>
    <w:pPr>
      <w:ind w:left="849" w:hanging="283"/>
      <w:contextualSpacing/>
    </w:pPr>
  </w:style>
  <w:style w:type="paragraph" w:styleId="List4">
    <w:name w:val="List 4"/>
    <w:basedOn w:val="Normal"/>
    <w:semiHidden/>
    <w:unhideWhenUsed/>
    <w:rsid w:val="00745545"/>
    <w:pPr>
      <w:ind w:left="1132" w:hanging="283"/>
      <w:contextualSpacing/>
    </w:pPr>
  </w:style>
  <w:style w:type="paragraph" w:styleId="List5">
    <w:name w:val="List 5"/>
    <w:basedOn w:val="Normal"/>
    <w:semiHidden/>
    <w:unhideWhenUsed/>
    <w:rsid w:val="00745545"/>
    <w:pPr>
      <w:ind w:left="1415" w:hanging="283"/>
      <w:contextualSpacing/>
    </w:pPr>
  </w:style>
  <w:style w:type="paragraph" w:styleId="ListBullet">
    <w:name w:val="List Bullet"/>
    <w:basedOn w:val="Normal"/>
    <w:semiHidden/>
    <w:rsid w:val="00745545"/>
    <w:pPr>
      <w:numPr>
        <w:numId w:val="5"/>
      </w:numPr>
      <w:contextualSpacing/>
    </w:pPr>
  </w:style>
  <w:style w:type="paragraph" w:styleId="ListBullet2">
    <w:name w:val="List Bullet 2"/>
    <w:basedOn w:val="Normal"/>
    <w:semiHidden/>
    <w:unhideWhenUsed/>
    <w:rsid w:val="00745545"/>
    <w:pPr>
      <w:numPr>
        <w:numId w:val="6"/>
      </w:numPr>
      <w:contextualSpacing/>
    </w:pPr>
  </w:style>
  <w:style w:type="paragraph" w:styleId="ListBullet3">
    <w:name w:val="List Bullet 3"/>
    <w:basedOn w:val="Normal"/>
    <w:semiHidden/>
    <w:unhideWhenUsed/>
    <w:rsid w:val="00745545"/>
    <w:pPr>
      <w:numPr>
        <w:numId w:val="7"/>
      </w:numPr>
      <w:contextualSpacing/>
    </w:pPr>
  </w:style>
  <w:style w:type="paragraph" w:styleId="ListBullet4">
    <w:name w:val="List Bullet 4"/>
    <w:basedOn w:val="Normal"/>
    <w:semiHidden/>
    <w:unhideWhenUsed/>
    <w:rsid w:val="00745545"/>
    <w:pPr>
      <w:numPr>
        <w:numId w:val="8"/>
      </w:numPr>
      <w:contextualSpacing/>
    </w:pPr>
  </w:style>
  <w:style w:type="paragraph" w:styleId="ListBullet5">
    <w:name w:val="List Bullet 5"/>
    <w:basedOn w:val="Normal"/>
    <w:semiHidden/>
    <w:unhideWhenUsed/>
    <w:rsid w:val="00745545"/>
    <w:pPr>
      <w:numPr>
        <w:numId w:val="9"/>
      </w:numPr>
      <w:contextualSpacing/>
    </w:pPr>
  </w:style>
  <w:style w:type="paragraph" w:styleId="ListContinue">
    <w:name w:val="List Continue"/>
    <w:basedOn w:val="Normal"/>
    <w:semiHidden/>
    <w:unhideWhenUsed/>
    <w:rsid w:val="00745545"/>
    <w:pPr>
      <w:spacing w:after="120"/>
      <w:ind w:left="283"/>
      <w:contextualSpacing/>
    </w:pPr>
  </w:style>
  <w:style w:type="paragraph" w:styleId="ListContinue2">
    <w:name w:val="List Continue 2"/>
    <w:basedOn w:val="Normal"/>
    <w:semiHidden/>
    <w:unhideWhenUsed/>
    <w:rsid w:val="00745545"/>
    <w:pPr>
      <w:spacing w:after="120"/>
      <w:ind w:left="566"/>
      <w:contextualSpacing/>
    </w:pPr>
  </w:style>
  <w:style w:type="paragraph" w:styleId="ListContinue3">
    <w:name w:val="List Continue 3"/>
    <w:basedOn w:val="Normal"/>
    <w:semiHidden/>
    <w:rsid w:val="00745545"/>
    <w:pPr>
      <w:spacing w:after="120"/>
      <w:ind w:left="849"/>
      <w:contextualSpacing/>
    </w:pPr>
  </w:style>
  <w:style w:type="paragraph" w:styleId="ListContinue4">
    <w:name w:val="List Continue 4"/>
    <w:basedOn w:val="Normal"/>
    <w:semiHidden/>
    <w:rsid w:val="00745545"/>
    <w:pPr>
      <w:spacing w:after="120"/>
      <w:ind w:left="1132"/>
      <w:contextualSpacing/>
    </w:pPr>
  </w:style>
  <w:style w:type="paragraph" w:styleId="ListContinue5">
    <w:name w:val="List Continue 5"/>
    <w:basedOn w:val="Normal"/>
    <w:semiHidden/>
    <w:rsid w:val="00745545"/>
    <w:pPr>
      <w:spacing w:after="120"/>
      <w:ind w:left="1415"/>
      <w:contextualSpacing/>
    </w:pPr>
  </w:style>
  <w:style w:type="paragraph" w:styleId="ListNumber">
    <w:name w:val="List Number"/>
    <w:basedOn w:val="Normal"/>
    <w:semiHidden/>
    <w:rsid w:val="007C5C0A"/>
    <w:pPr>
      <w:numPr>
        <w:numId w:val="10"/>
      </w:numPr>
      <w:contextualSpacing/>
    </w:pPr>
  </w:style>
  <w:style w:type="paragraph" w:styleId="ListNumber2">
    <w:name w:val="List Number 2"/>
    <w:basedOn w:val="Normal"/>
    <w:semiHidden/>
    <w:unhideWhenUsed/>
    <w:rsid w:val="00745545"/>
    <w:pPr>
      <w:numPr>
        <w:numId w:val="11"/>
      </w:numPr>
      <w:contextualSpacing/>
    </w:pPr>
  </w:style>
  <w:style w:type="paragraph" w:styleId="ListNumber3">
    <w:name w:val="List Number 3"/>
    <w:basedOn w:val="Normal"/>
    <w:semiHidden/>
    <w:unhideWhenUsed/>
    <w:rsid w:val="00745545"/>
    <w:pPr>
      <w:numPr>
        <w:numId w:val="12"/>
      </w:numPr>
      <w:contextualSpacing/>
    </w:pPr>
  </w:style>
  <w:style w:type="paragraph" w:styleId="ListNumber4">
    <w:name w:val="List Number 4"/>
    <w:basedOn w:val="Normal"/>
    <w:semiHidden/>
    <w:unhideWhenUsed/>
    <w:rsid w:val="00745545"/>
    <w:pPr>
      <w:numPr>
        <w:numId w:val="13"/>
      </w:numPr>
      <w:contextualSpacing/>
    </w:pPr>
  </w:style>
  <w:style w:type="paragraph" w:styleId="ListNumber5">
    <w:name w:val="List Number 5"/>
    <w:basedOn w:val="Normal"/>
    <w:semiHidden/>
    <w:unhideWhenUsed/>
    <w:rsid w:val="00745545"/>
    <w:pPr>
      <w:numPr>
        <w:numId w:val="14"/>
      </w:numPr>
      <w:contextualSpacing/>
    </w:pPr>
  </w:style>
  <w:style w:type="table" w:styleId="ListTable1Light">
    <w:name w:val="List Table 1 Light"/>
    <w:basedOn w:val="TableNormal"/>
    <w:uiPriority w:val="46"/>
    <w:rsid w:val="007455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4554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4554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4554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4554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4554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4554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455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4554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4554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4554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4554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4554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4554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455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4554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4554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4554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4554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4554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4554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455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554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4554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554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554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4554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554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554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554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4554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4554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4554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4554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4554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4554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4554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4554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4554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4554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4554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4554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4554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745545"/>
    <w:rPr>
      <w:rFonts w:ascii="Consolas" w:eastAsia="Times New Roman" w:hAnsi="Consolas"/>
      <w:lang w:val="fr-FR" w:eastAsia="en-US"/>
    </w:rPr>
  </w:style>
  <w:style w:type="table" w:styleId="MediumGrid1">
    <w:name w:val="Medium Grid 1"/>
    <w:basedOn w:val="TableNormal"/>
    <w:uiPriority w:val="67"/>
    <w:semiHidden/>
    <w:unhideWhenUsed/>
    <w:rsid w:val="007455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4554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4554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4554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4554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4554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4554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4554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4554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4554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4554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455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4554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4554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455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4554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4554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4554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4554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4554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4554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45545"/>
    <w:rPr>
      <w:color w:val="2B579A"/>
      <w:shd w:val="clear" w:color="auto" w:fill="E1DFDD"/>
      <w:lang w:val="fr-FR"/>
    </w:rPr>
  </w:style>
  <w:style w:type="paragraph" w:styleId="MessageHeader">
    <w:name w:val="Message Header"/>
    <w:basedOn w:val="Normal"/>
    <w:link w:val="MessageHeaderChar"/>
    <w:semiHidden/>
    <w:rsid w:val="0074554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45545"/>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745545"/>
    <w:pPr>
      <w:ind w:left="720"/>
    </w:pPr>
  </w:style>
  <w:style w:type="paragraph" w:styleId="NoteHeading">
    <w:name w:val="Note Heading"/>
    <w:basedOn w:val="Normal"/>
    <w:next w:val="Normal"/>
    <w:link w:val="NoteHeadingChar"/>
    <w:semiHidden/>
    <w:unhideWhenUsed/>
    <w:rsid w:val="00745545"/>
  </w:style>
  <w:style w:type="character" w:customStyle="1" w:styleId="NoteHeadingChar">
    <w:name w:val="Note Heading Char"/>
    <w:basedOn w:val="DefaultParagraphFont"/>
    <w:link w:val="NoteHeading"/>
    <w:semiHidden/>
    <w:rsid w:val="00745545"/>
    <w:rPr>
      <w:rFonts w:eastAsia="Times New Roman"/>
      <w:lang w:val="fr-FR" w:eastAsia="en-US"/>
    </w:rPr>
  </w:style>
  <w:style w:type="table" w:styleId="PlainTable1">
    <w:name w:val="Plain Table 1"/>
    <w:basedOn w:val="TableNormal"/>
    <w:uiPriority w:val="41"/>
    <w:rsid w:val="007455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55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4554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455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455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45545"/>
    <w:rPr>
      <w:rFonts w:ascii="Consolas" w:hAnsi="Consolas"/>
      <w:sz w:val="21"/>
      <w:szCs w:val="21"/>
    </w:rPr>
  </w:style>
  <w:style w:type="character" w:customStyle="1" w:styleId="PlainTextChar">
    <w:name w:val="Plain Text Char"/>
    <w:basedOn w:val="DefaultParagraphFont"/>
    <w:link w:val="PlainText"/>
    <w:semiHidden/>
    <w:rsid w:val="00745545"/>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7455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45545"/>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745545"/>
  </w:style>
  <w:style w:type="character" w:customStyle="1" w:styleId="SalutationChar">
    <w:name w:val="Salutation Char"/>
    <w:basedOn w:val="DefaultParagraphFont"/>
    <w:link w:val="Salutation"/>
    <w:semiHidden/>
    <w:rsid w:val="00745545"/>
    <w:rPr>
      <w:rFonts w:eastAsia="Times New Roman"/>
      <w:lang w:val="fr-FR" w:eastAsia="en-US"/>
    </w:rPr>
  </w:style>
  <w:style w:type="paragraph" w:styleId="Signature">
    <w:name w:val="Signature"/>
    <w:basedOn w:val="Normal"/>
    <w:link w:val="SignatureChar"/>
    <w:semiHidden/>
    <w:unhideWhenUsed/>
    <w:rsid w:val="00745545"/>
    <w:pPr>
      <w:ind w:left="4252"/>
    </w:pPr>
  </w:style>
  <w:style w:type="character" w:customStyle="1" w:styleId="SignatureChar">
    <w:name w:val="Signature Char"/>
    <w:basedOn w:val="DefaultParagraphFont"/>
    <w:link w:val="Signature"/>
    <w:semiHidden/>
    <w:rsid w:val="00745545"/>
    <w:rPr>
      <w:rFonts w:eastAsia="Times New Roman"/>
      <w:lang w:val="fr-FR" w:eastAsia="en-US"/>
    </w:rPr>
  </w:style>
  <w:style w:type="character" w:styleId="SmartHyperlink">
    <w:name w:val="Smart Hyperlink"/>
    <w:basedOn w:val="DefaultParagraphFont"/>
    <w:uiPriority w:val="99"/>
    <w:semiHidden/>
    <w:rsid w:val="00745545"/>
    <w:rPr>
      <w:u w:val="dotted"/>
      <w:lang w:val="fr-FR"/>
    </w:rPr>
  </w:style>
  <w:style w:type="character" w:styleId="SmartLink">
    <w:name w:val="Smart Link"/>
    <w:basedOn w:val="DefaultParagraphFont"/>
    <w:uiPriority w:val="99"/>
    <w:semiHidden/>
    <w:unhideWhenUsed/>
    <w:rsid w:val="00745545"/>
    <w:rPr>
      <w:color w:val="0000FF"/>
      <w:u w:val="single"/>
      <w:shd w:val="clear" w:color="auto" w:fill="F3F2F1"/>
      <w:lang w:val="fr-FR"/>
    </w:rPr>
  </w:style>
  <w:style w:type="character" w:styleId="Strong">
    <w:name w:val="Strong"/>
    <w:basedOn w:val="DefaultParagraphFont"/>
    <w:semiHidden/>
    <w:qFormat/>
    <w:rsid w:val="00745545"/>
    <w:rPr>
      <w:b/>
      <w:bCs/>
      <w:lang w:val="fr-FR"/>
    </w:rPr>
  </w:style>
  <w:style w:type="paragraph" w:styleId="Subtitle">
    <w:name w:val="Subtitle"/>
    <w:basedOn w:val="Normal"/>
    <w:next w:val="Normal"/>
    <w:link w:val="SubtitleChar"/>
    <w:semiHidden/>
    <w:qFormat/>
    <w:rsid w:val="007455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45545"/>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745545"/>
    <w:rPr>
      <w:i/>
      <w:iCs/>
      <w:color w:val="404040" w:themeColor="text1" w:themeTint="BF"/>
      <w:lang w:val="fr-FR"/>
    </w:rPr>
  </w:style>
  <w:style w:type="character" w:styleId="SubtleReference">
    <w:name w:val="Subtle Reference"/>
    <w:basedOn w:val="DefaultParagraphFont"/>
    <w:uiPriority w:val="31"/>
    <w:semiHidden/>
    <w:qFormat/>
    <w:rsid w:val="00745545"/>
    <w:rPr>
      <w:smallCaps/>
      <w:color w:val="5A5A5A" w:themeColor="text1" w:themeTint="A5"/>
      <w:lang w:val="fr-FR"/>
    </w:rPr>
  </w:style>
  <w:style w:type="table" w:styleId="Table3Deffects1">
    <w:name w:val="Table 3D effects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455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45545"/>
    <w:pPr>
      <w:tabs>
        <w:tab w:val="clear" w:pos="1247"/>
      </w:tabs>
      <w:ind w:left="200" w:hanging="200"/>
    </w:pPr>
  </w:style>
  <w:style w:type="table" w:styleId="TableProfessional">
    <w:name w:val="Table Professional"/>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455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45545"/>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74554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4554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titleChar">
    <w:name w:val="ZZ_Anx_title Char"/>
    <w:link w:val="ZZAnxtitle"/>
    <w:rsid w:val="007A5982"/>
    <w:rPr>
      <w:b/>
      <w:bCs/>
      <w:sz w:val="28"/>
      <w:szCs w:val="26"/>
    </w:rPr>
  </w:style>
  <w:style w:type="character" w:customStyle="1" w:styleId="Normal-poolChar">
    <w:name w:val="Normal-pool Char"/>
    <w:link w:val="Normal-pool"/>
    <w:locked/>
    <w:rsid w:val="007A5982"/>
  </w:style>
  <w:style w:type="character" w:customStyle="1" w:styleId="CH2Char">
    <w:name w:val="CH2 Char"/>
    <w:link w:val="CH2"/>
    <w:rsid w:val="007A5982"/>
    <w:rPr>
      <w:b/>
      <w:sz w:val="24"/>
      <w:szCs w:val="24"/>
    </w:rPr>
  </w:style>
  <w:style w:type="table" w:customStyle="1" w:styleId="TableGrid10">
    <w:name w:val="Table Grid1"/>
    <w:basedOn w:val="TableNormal"/>
    <w:next w:val="TableGrid"/>
    <w:rsid w:val="007A598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7A598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7A598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BBTitleChar">
    <w:name w:val="BB_Title Char"/>
    <w:link w:val="BBTitle"/>
    <w:rsid w:val="007A5982"/>
    <w:rPr>
      <w:b/>
      <w:sz w:val="28"/>
      <w:szCs w:val="28"/>
    </w:rPr>
  </w:style>
  <w:style w:type="paragraph" w:styleId="Revision">
    <w:name w:val="Revision"/>
    <w:hidden/>
    <w:uiPriority w:val="99"/>
    <w:semiHidden/>
    <w:rsid w:val="004A2065"/>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786100a8-bbaa-48b6-aa10-6d2082f346b4"/>
    <ds:schemaRef ds:uri="822da31b-d518-49e2-88cd-1351ccd720a8"/>
  </ds:schemaRefs>
</ds:datastoreItem>
</file>

<file path=customXml/itemProps2.xml><?xml version="1.0" encoding="utf-8"?>
<ds:datastoreItem xmlns:ds="http://schemas.openxmlformats.org/officeDocument/2006/customXml" ds:itemID="{1746739D-97B4-4E4F-BE67-68E4A3387A7A}"/>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4</Pages>
  <Words>1437</Words>
  <Characters>8192</Characters>
  <Application>Microsoft Office Word</Application>
  <DocSecurity>0</DocSecurity>
  <PresentationFormat/>
  <Lines>68</Lines>
  <Paragraphs>19</Paragraphs>
  <ScaleCrop>false</ScaleCrop>
  <Manager/>
  <Company/>
  <LinksUpToDate>false</LinksUpToDate>
  <CharactersWithSpaces>9610</CharactersWithSpaces>
  <SharedDoc>false</SharedDoc>
  <HyperlinkBase/>
  <HLinks>
    <vt:vector size="6" baseType="variant">
      <vt:variant>
        <vt:i4>7471202</vt:i4>
      </vt:variant>
      <vt:variant>
        <vt:i4>0</vt:i4>
      </vt:variant>
      <vt:variant>
        <vt:i4>0</vt:i4>
      </vt:variant>
      <vt:variant>
        <vt:i4>5</vt:i4>
      </vt:variant>
      <vt:variant>
        <vt:lpwstr>https://conferences.unite.un.org/eluna/bitext/9e138c95-d63a-4c6d-98c9-6b8329e8d936/file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My Linh Doan</cp:lastModifiedBy>
  <cp:revision>4</cp:revision>
  <cp:lastPrinted>2025-12-15T07:24:00Z</cp:lastPrinted>
  <dcterms:created xsi:type="dcterms:W3CDTF">2025-12-15T07:24:00Z</dcterms:created>
  <dcterms:modified xsi:type="dcterms:W3CDTF">2026-03-17T08:40:00Z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