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F046E6" w:rsidRPr="00337EEA" w14:paraId="56E91783" w14:textId="77777777" w:rsidTr="00F046E6">
        <w:trPr>
          <w:trHeight w:val="850"/>
        </w:trPr>
        <w:tc>
          <w:tcPr>
            <w:tcW w:w="1559" w:type="dxa"/>
          </w:tcPr>
          <w:p w14:paraId="34F2ADCF" w14:textId="1E389A33" w:rsidR="00F046E6" w:rsidRPr="00337EEA" w:rsidRDefault="00F046E6" w:rsidP="00F046E6">
            <w:pPr>
              <w:pStyle w:val="AUnitedNations"/>
              <w:rPr>
                <w:rFonts w:eastAsiaTheme="minorEastAsia"/>
              </w:rPr>
            </w:pPr>
            <w:r w:rsidRPr="00337EEA">
              <w:rPr>
                <w:rFonts w:eastAsiaTheme="minorEastAsia"/>
              </w:rPr>
              <w:t xml:space="preserve">UNITED </w:t>
            </w:r>
            <w:r w:rsidRPr="00337EEA">
              <w:rPr>
                <w:rFonts w:eastAsiaTheme="minorEastAsia"/>
              </w:rPr>
              <w:br/>
              <w:t>NATIONS</w:t>
            </w:r>
          </w:p>
        </w:tc>
        <w:tc>
          <w:tcPr>
            <w:tcW w:w="6520" w:type="dxa"/>
          </w:tcPr>
          <w:p w14:paraId="5D02A5AE" w14:textId="285F6248" w:rsidR="00F046E6" w:rsidRPr="00337EEA" w:rsidRDefault="00F046E6" w:rsidP="00F046E6">
            <w:pPr>
              <w:pStyle w:val="Normal-pool"/>
              <w:rPr>
                <w:rFonts w:eastAsiaTheme="minorEastAsia"/>
              </w:rPr>
            </w:pPr>
            <w:r w:rsidRPr="00337EEA">
              <w:rPr>
                <w:rFonts w:eastAsiaTheme="minorEastAsia"/>
                <w:noProof/>
              </w:rPr>
              <w:drawing>
                <wp:anchor distT="0" distB="0" distL="114300" distR="114300" simplePos="0" relativeHeight="251658240" behindDoc="0" locked="0" layoutInCell="1" allowOverlap="1" wp14:anchorId="6E4A1B3A" wp14:editId="251FBF72">
                  <wp:simplePos x="0" y="0"/>
                  <wp:positionH relativeFrom="column">
                    <wp:posOffset>-635</wp:posOffset>
                  </wp:positionH>
                  <wp:positionV relativeFrom="paragraph">
                    <wp:posOffset>3175</wp:posOffset>
                  </wp:positionV>
                  <wp:extent cx="1269153" cy="573559"/>
                  <wp:effectExtent l="0" t="0" r="7620" b="0"/>
                  <wp:wrapNone/>
                  <wp:docPr id="551864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6421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99AE8FD" w14:textId="77777777" w:rsidR="00F046E6" w:rsidRPr="00337EEA" w:rsidRDefault="00F046E6" w:rsidP="00F046E6">
            <w:pPr>
              <w:pStyle w:val="Normal-pool"/>
              <w:rPr>
                <w:rFonts w:eastAsiaTheme="minorEastAsia"/>
              </w:rPr>
            </w:pPr>
          </w:p>
        </w:tc>
      </w:tr>
    </w:tbl>
    <w:p w14:paraId="27217A04" w14:textId="77777777" w:rsidR="006533B3" w:rsidRPr="00337EEA" w:rsidRDefault="006533B3" w:rsidP="00F046E6">
      <w:pPr>
        <w:pStyle w:val="ASpacer"/>
        <w:rPr>
          <w:rFonts w:eastAsiaTheme="minorEastAsia"/>
        </w:rPr>
      </w:pPr>
    </w:p>
    <w:tbl>
      <w:tblPr>
        <w:tblW w:w="9496" w:type="dxa"/>
        <w:tblLook w:val="0000" w:firstRow="0" w:lastRow="0" w:firstColumn="0" w:lastColumn="0" w:noHBand="0" w:noVBand="0"/>
      </w:tblPr>
      <w:tblGrid>
        <w:gridCol w:w="6378"/>
        <w:gridCol w:w="3118"/>
      </w:tblGrid>
      <w:tr w:rsidR="00F046E6" w:rsidRPr="00337EEA" w14:paraId="0E4B7116" w14:textId="77777777" w:rsidTr="00F046E6">
        <w:trPr>
          <w:trHeight w:val="340"/>
        </w:trPr>
        <w:tc>
          <w:tcPr>
            <w:tcW w:w="3358" w:type="pct"/>
            <w:vAlign w:val="bottom"/>
          </w:tcPr>
          <w:p w14:paraId="1AF3DE12" w14:textId="77777777" w:rsidR="00F046E6" w:rsidRPr="00337EEA" w:rsidRDefault="00F046E6" w:rsidP="00F046E6">
            <w:pPr>
              <w:pStyle w:val="Normal-pool"/>
              <w:rPr>
                <w:rFonts w:eastAsiaTheme="minorEastAsia"/>
              </w:rPr>
            </w:pPr>
          </w:p>
        </w:tc>
        <w:tc>
          <w:tcPr>
            <w:tcW w:w="1642" w:type="pct"/>
            <w:noWrap/>
            <w:vAlign w:val="bottom"/>
          </w:tcPr>
          <w:p w14:paraId="189B0640" w14:textId="460333DD" w:rsidR="00F046E6" w:rsidRPr="00337EEA" w:rsidRDefault="00F046E6" w:rsidP="00F046E6">
            <w:pPr>
              <w:pStyle w:val="ASymbol"/>
            </w:pPr>
            <w:r w:rsidRPr="00337EEA">
              <w:rPr>
                <w:b/>
                <w:sz w:val="28"/>
              </w:rPr>
              <w:t>UNEP</w:t>
            </w:r>
            <w:r w:rsidRPr="00337EEA">
              <w:t>/MC/COP.</w:t>
            </w:r>
            <w:bookmarkStart w:id="0" w:name="Symbol1A"/>
            <w:r w:rsidRPr="00337EEA">
              <w:t>6</w:t>
            </w:r>
            <w:bookmarkStart w:id="1" w:name="Symbol1B"/>
            <w:bookmarkEnd w:id="0"/>
            <w:r w:rsidR="0066792B" w:rsidRPr="00337EEA">
              <w:t>/Dec.3</w:t>
            </w:r>
            <w:bookmarkEnd w:id="1"/>
          </w:p>
        </w:tc>
      </w:tr>
    </w:tbl>
    <w:p w14:paraId="599DACD8" w14:textId="77777777" w:rsidR="00F046E6" w:rsidRPr="00337EEA" w:rsidRDefault="00F046E6" w:rsidP="00F046E6">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046E6" w:rsidRPr="00337EEA" w14:paraId="5CE7ADE5" w14:textId="77777777" w:rsidTr="00F046E6">
        <w:trPr>
          <w:trHeight w:val="2098"/>
        </w:trPr>
        <w:tc>
          <w:tcPr>
            <w:tcW w:w="3685" w:type="dxa"/>
          </w:tcPr>
          <w:p w14:paraId="487BE66A" w14:textId="3434ADC1" w:rsidR="00F046E6" w:rsidRPr="00337EEA" w:rsidRDefault="00F046E6" w:rsidP="00F046E6">
            <w:pPr>
              <w:pStyle w:val="ALogo"/>
              <w:rPr>
                <w:rFonts w:eastAsiaTheme="minorEastAsia"/>
              </w:rPr>
            </w:pPr>
            <w:r w:rsidRPr="00337EEA">
              <w:rPr>
                <w:rFonts w:eastAsiaTheme="minorEastAsia"/>
                <w:noProof/>
              </w:rPr>
              <w:drawing>
                <wp:inline distT="0" distB="0" distL="0" distR="0" wp14:anchorId="63FAA2EC" wp14:editId="6CF43455">
                  <wp:extent cx="2202815" cy="1028700"/>
                  <wp:effectExtent l="0" t="0" r="6985" b="0"/>
                  <wp:docPr id="658641647" name="Picture 2"/>
                  <wp:cNvGraphicFramePr/>
                  <a:graphic xmlns:a="http://schemas.openxmlformats.org/drawingml/2006/main">
                    <a:graphicData uri="http://schemas.openxmlformats.org/drawingml/2006/picture">
                      <pic:pic xmlns:pic="http://schemas.openxmlformats.org/drawingml/2006/picture">
                        <pic:nvPicPr>
                          <pic:cNvPr id="65864164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337EEA">
              <w:rPr>
                <w:rFonts w:eastAsiaTheme="minorEastAsia"/>
              </w:rPr>
              <w:t xml:space="preserve"> </w:t>
            </w:r>
          </w:p>
          <w:p w14:paraId="4CF87299" w14:textId="0C703A5E" w:rsidR="00F046E6" w:rsidRPr="00337EEA" w:rsidRDefault="00F046E6" w:rsidP="00F046E6">
            <w:pPr>
              <w:pStyle w:val="ALogo"/>
              <w:rPr>
                <w:rFonts w:eastAsiaTheme="minorEastAsia"/>
              </w:rPr>
            </w:pPr>
          </w:p>
        </w:tc>
        <w:tc>
          <w:tcPr>
            <w:tcW w:w="2693" w:type="dxa"/>
          </w:tcPr>
          <w:p w14:paraId="72513FA8" w14:textId="77777777" w:rsidR="00F046E6" w:rsidRPr="00337EEA" w:rsidRDefault="00F046E6" w:rsidP="00F046E6">
            <w:pPr>
              <w:pStyle w:val="Normal-pool"/>
              <w:rPr>
                <w:rFonts w:eastAsiaTheme="minorEastAsia"/>
              </w:rPr>
            </w:pPr>
          </w:p>
        </w:tc>
        <w:tc>
          <w:tcPr>
            <w:tcW w:w="3118" w:type="dxa"/>
          </w:tcPr>
          <w:p w14:paraId="6BFF8B1D" w14:textId="31E98757" w:rsidR="00F046E6" w:rsidRPr="00337EEA" w:rsidRDefault="00F046E6" w:rsidP="00F046E6">
            <w:pPr>
              <w:pStyle w:val="AText"/>
              <w:rPr>
                <w:rFonts w:eastAsiaTheme="minorEastAsia"/>
              </w:rPr>
            </w:pPr>
            <w:r w:rsidRPr="00337EEA">
              <w:rPr>
                <w:rFonts w:eastAsiaTheme="minorEastAsia"/>
              </w:rPr>
              <w:t xml:space="preserve">Distr.: </w:t>
            </w:r>
            <w:bookmarkStart w:id="2" w:name="Distribution"/>
            <w:r w:rsidR="0066792B" w:rsidRPr="00337EEA">
              <w:rPr>
                <w:rFonts w:eastAsiaTheme="minorEastAsia"/>
              </w:rPr>
              <w:t>General</w:t>
            </w:r>
            <w:bookmarkEnd w:id="2"/>
            <w:r w:rsidRPr="00337EEA">
              <w:rPr>
                <w:rFonts w:eastAsiaTheme="minorEastAsia"/>
              </w:rPr>
              <w:t xml:space="preserve"> </w:t>
            </w:r>
          </w:p>
          <w:p w14:paraId="38863257" w14:textId="5F943DB3" w:rsidR="00F046E6" w:rsidRPr="00337EEA" w:rsidRDefault="0066792B" w:rsidP="00F046E6">
            <w:pPr>
              <w:pStyle w:val="AText0"/>
              <w:rPr>
                <w:rFonts w:eastAsiaTheme="minorEastAsia"/>
              </w:rPr>
            </w:pPr>
            <w:bookmarkStart w:id="3" w:name="DistributionDate"/>
            <w:r w:rsidRPr="00337EEA">
              <w:rPr>
                <w:rFonts w:eastAsiaTheme="minorEastAsia"/>
              </w:rPr>
              <w:t>2</w:t>
            </w:r>
            <w:r w:rsidR="004A2065" w:rsidRPr="00337EEA">
              <w:rPr>
                <w:rFonts w:eastAsiaTheme="minorEastAsia"/>
              </w:rPr>
              <w:t>4</w:t>
            </w:r>
            <w:r w:rsidRPr="00337EEA">
              <w:rPr>
                <w:rFonts w:eastAsiaTheme="minorEastAsia"/>
              </w:rPr>
              <w:t xml:space="preserve"> November 2025</w:t>
            </w:r>
            <w:bookmarkEnd w:id="3"/>
            <w:r w:rsidR="00F046E6" w:rsidRPr="00337EEA">
              <w:rPr>
                <w:rFonts w:eastAsiaTheme="minorEastAsia"/>
              </w:rPr>
              <w:t xml:space="preserve"> </w:t>
            </w:r>
          </w:p>
          <w:p w14:paraId="3203F556" w14:textId="601067BA" w:rsidR="00F046E6" w:rsidRPr="00337EEA" w:rsidRDefault="00F046E6" w:rsidP="00F046E6">
            <w:pPr>
              <w:pStyle w:val="AText"/>
              <w:rPr>
                <w:rFonts w:eastAsiaTheme="minorEastAsia"/>
              </w:rPr>
            </w:pPr>
            <w:bookmarkStart w:id="4" w:name="DistributionLang"/>
            <w:r w:rsidRPr="00337EEA">
              <w:rPr>
                <w:rFonts w:eastAsiaTheme="minorEastAsia"/>
              </w:rPr>
              <w:t>Original: English</w:t>
            </w:r>
            <w:bookmarkEnd w:id="4"/>
          </w:p>
        </w:tc>
      </w:tr>
    </w:tbl>
    <w:p w14:paraId="2FF1186E" w14:textId="77777777" w:rsidR="00F046E6" w:rsidRPr="00337EEA" w:rsidRDefault="00F046E6" w:rsidP="00F046E6">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046E6" w:rsidRPr="00337EEA" w14:paraId="0EE158BE" w14:textId="77777777" w:rsidTr="00F046E6">
        <w:trPr>
          <w:trHeight w:val="57"/>
        </w:trPr>
        <w:tc>
          <w:tcPr>
            <w:tcW w:w="5301" w:type="dxa"/>
          </w:tcPr>
          <w:p w14:paraId="268D7837" w14:textId="77777777" w:rsidR="00F046E6" w:rsidRPr="00337EEA" w:rsidRDefault="00F046E6" w:rsidP="00F046E6">
            <w:pPr>
              <w:pStyle w:val="AATitle"/>
              <w:rPr>
                <w:rFonts w:eastAsiaTheme="minorEastAsia"/>
              </w:rPr>
            </w:pPr>
            <w:bookmarkStart w:id="5" w:name="CorNot1Text"/>
            <w:r w:rsidRPr="00337EEA">
              <w:rPr>
                <w:rFonts w:eastAsiaTheme="minorEastAsia"/>
              </w:rPr>
              <w:t xml:space="preserve">Conference of the Parties to the </w:t>
            </w:r>
            <w:r w:rsidRPr="00337EEA">
              <w:rPr>
                <w:rFonts w:eastAsiaTheme="minorEastAsia"/>
              </w:rPr>
              <w:br/>
              <w:t xml:space="preserve">Minamata Convention on Mercury </w:t>
            </w:r>
          </w:p>
          <w:p w14:paraId="51238DDE" w14:textId="3C055544" w:rsidR="00F046E6" w:rsidRPr="00337EEA" w:rsidRDefault="00F046E6" w:rsidP="00F046E6">
            <w:pPr>
              <w:pStyle w:val="AATitle"/>
              <w:rPr>
                <w:rFonts w:eastAsiaTheme="minorEastAsia"/>
              </w:rPr>
            </w:pPr>
            <w:r w:rsidRPr="00337EEA">
              <w:rPr>
                <w:rFonts w:eastAsiaTheme="minorEastAsia"/>
              </w:rPr>
              <w:t>Sixth meeting</w:t>
            </w:r>
            <w:bookmarkEnd w:id="5"/>
            <w:r w:rsidRPr="00337EEA">
              <w:rPr>
                <w:rFonts w:eastAsiaTheme="minorEastAsia"/>
              </w:rPr>
              <w:t xml:space="preserve"> </w:t>
            </w:r>
          </w:p>
          <w:p w14:paraId="007BE6A9" w14:textId="33A4F702" w:rsidR="00F046E6" w:rsidRPr="00337EEA" w:rsidRDefault="00F046E6" w:rsidP="00E95FA7">
            <w:pPr>
              <w:pStyle w:val="AATitle1"/>
              <w:rPr>
                <w:rFonts w:eastAsiaTheme="minorEastAsia"/>
              </w:rPr>
            </w:pPr>
            <w:bookmarkStart w:id="6" w:name="CorNot1VenueDate"/>
            <w:r w:rsidRPr="00337EEA">
              <w:rPr>
                <w:rFonts w:eastAsiaTheme="minorEastAsia"/>
              </w:rPr>
              <w:t>Geneva, 3–7 November 2025</w:t>
            </w:r>
            <w:bookmarkEnd w:id="6"/>
            <w:r w:rsidRPr="00337EEA">
              <w:rPr>
                <w:rFonts w:eastAsiaTheme="minorEastAsia"/>
              </w:rPr>
              <w:t xml:space="preserve"> </w:t>
            </w:r>
          </w:p>
        </w:tc>
        <w:tc>
          <w:tcPr>
            <w:tcW w:w="4195" w:type="dxa"/>
          </w:tcPr>
          <w:p w14:paraId="2C4C86EF" w14:textId="77777777" w:rsidR="00F046E6" w:rsidRPr="00337EEA" w:rsidRDefault="00F046E6" w:rsidP="00F046E6">
            <w:pPr>
              <w:pStyle w:val="Normal-pool"/>
              <w:rPr>
                <w:rFonts w:eastAsiaTheme="minorEastAsia"/>
              </w:rPr>
            </w:pPr>
          </w:p>
        </w:tc>
      </w:tr>
    </w:tbl>
    <w:p w14:paraId="3B1BC5D4" w14:textId="5C0E82B4" w:rsidR="007A5982" w:rsidRPr="00337EEA" w:rsidRDefault="007A5982" w:rsidP="007A5982">
      <w:pPr>
        <w:pStyle w:val="BBTitle"/>
      </w:pPr>
      <w:r w:rsidRPr="00337EEA">
        <w:t>Decisions adopted by the Conference of the Parties to the Minamata Convention on Mercury at its sixth meeting</w:t>
      </w:r>
    </w:p>
    <w:p w14:paraId="3381279D" w14:textId="77777777" w:rsidR="007A5982" w:rsidRPr="00337EEA" w:rsidRDefault="007A5982" w:rsidP="007A5982">
      <w:pPr>
        <w:pStyle w:val="CH2"/>
        <w:rPr>
          <w:rFonts w:asciiTheme="majorBidi" w:hAnsiTheme="majorBidi" w:cstheme="majorBidi"/>
        </w:rPr>
      </w:pPr>
      <w:r w:rsidRPr="00337EEA">
        <w:tab/>
      </w:r>
      <w:r w:rsidRPr="00337EEA">
        <w:tab/>
      </w:r>
      <w:bookmarkStart w:id="7" w:name="_Toc213853060"/>
      <w:r w:rsidRPr="00337EEA">
        <w:rPr>
          <w:rFonts w:asciiTheme="majorBidi" w:hAnsiTheme="majorBidi" w:cstheme="majorBidi"/>
        </w:rPr>
        <w:t>Decision MC-6/3: Amendments to annex A</w:t>
      </w:r>
      <w:bookmarkEnd w:id="7"/>
      <w:r w:rsidRPr="00337EEA">
        <w:rPr>
          <w:rFonts w:asciiTheme="majorBidi" w:hAnsiTheme="majorBidi" w:cstheme="majorBidi"/>
        </w:rPr>
        <w:t xml:space="preserve"> </w:t>
      </w:r>
    </w:p>
    <w:p w14:paraId="7CD98474" w14:textId="77777777" w:rsidR="007A5982" w:rsidRPr="00337EEA" w:rsidRDefault="007A5982" w:rsidP="00795EA9">
      <w:pPr>
        <w:pStyle w:val="NormalNonumber"/>
        <w:tabs>
          <w:tab w:val="clear" w:pos="1247"/>
          <w:tab w:val="clear" w:pos="1871"/>
          <w:tab w:val="clear" w:pos="2495"/>
          <w:tab w:val="clear" w:pos="3119"/>
          <w:tab w:val="clear" w:pos="3742"/>
          <w:tab w:val="clear" w:pos="4366"/>
          <w:tab w:val="clear" w:pos="4990"/>
        </w:tabs>
        <w:ind w:firstLine="624"/>
        <w:rPr>
          <w:i/>
          <w:iCs/>
        </w:rPr>
      </w:pPr>
      <w:r w:rsidRPr="00337EEA">
        <w:rPr>
          <w:i/>
          <w:iCs/>
        </w:rPr>
        <w:t>The Conference of the Parties,</w:t>
      </w:r>
    </w:p>
    <w:p w14:paraId="3FBB4EDA" w14:textId="6DBE99B0" w:rsidR="007A5982" w:rsidRPr="00337EEA" w:rsidRDefault="007A5982" w:rsidP="00795EA9">
      <w:pPr>
        <w:pStyle w:val="NormalNonumber"/>
        <w:tabs>
          <w:tab w:val="clear" w:pos="1247"/>
          <w:tab w:val="clear" w:pos="1871"/>
          <w:tab w:val="clear" w:pos="2495"/>
          <w:tab w:val="clear" w:pos="3119"/>
          <w:tab w:val="clear" w:pos="3742"/>
          <w:tab w:val="clear" w:pos="4366"/>
          <w:tab w:val="clear" w:pos="4990"/>
        </w:tabs>
        <w:ind w:firstLine="624"/>
        <w:rPr>
          <w:rFonts w:asciiTheme="majorBidi" w:hAnsiTheme="majorBidi" w:cstheme="majorBidi"/>
        </w:rPr>
      </w:pPr>
      <w:r w:rsidRPr="00337EEA">
        <w:rPr>
          <w:rFonts w:asciiTheme="majorBidi" w:hAnsiTheme="majorBidi" w:cstheme="majorBidi"/>
          <w:i/>
          <w:iCs/>
        </w:rPr>
        <w:t xml:space="preserve">Having considered </w:t>
      </w:r>
      <w:r w:rsidRPr="00337EEA">
        <w:rPr>
          <w:rFonts w:asciiTheme="majorBidi" w:hAnsiTheme="majorBidi" w:cstheme="majorBidi"/>
        </w:rPr>
        <w:t xml:space="preserve">the proposal to amend annex A </w:t>
      </w:r>
      <w:r w:rsidR="00CC5FC7" w:rsidRPr="00337EEA">
        <w:rPr>
          <w:rFonts w:asciiTheme="majorBidi" w:hAnsiTheme="majorBidi" w:cstheme="majorBidi"/>
        </w:rPr>
        <w:t xml:space="preserve">to the Minamata Convention on Mercury </w:t>
      </w:r>
      <w:r w:rsidRPr="00337EEA">
        <w:rPr>
          <w:rFonts w:asciiTheme="majorBidi" w:hAnsiTheme="majorBidi" w:cstheme="majorBidi"/>
        </w:rPr>
        <w:t>as contained in document UNEP/MC/COP.6/6,</w:t>
      </w:r>
    </w:p>
    <w:p w14:paraId="0FCCCCA7" w14:textId="77777777" w:rsidR="007A5982" w:rsidRPr="00337EEA" w:rsidRDefault="007A5982" w:rsidP="007E31D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pPr>
      <w:r w:rsidRPr="00337EEA">
        <w:rPr>
          <w:i/>
          <w:iCs/>
        </w:rPr>
        <w:t xml:space="preserve">Decides </w:t>
      </w:r>
      <w:r w:rsidRPr="00337EEA">
        <w:t>to amend part I of annex A to the Convention as set out in the following table:</w:t>
      </w:r>
      <w:r w:rsidRPr="00337EEA">
        <w:rPr>
          <w:vertAlign w:val="superscript"/>
        </w:rPr>
        <w:footnoteReference w:id="2"/>
      </w:r>
    </w:p>
    <w:tbl>
      <w:tblPr>
        <w:tblStyle w:val="TableGrid10"/>
        <w:tblW w:w="8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9"/>
        <w:gridCol w:w="2598"/>
      </w:tblGrid>
      <w:tr w:rsidR="00E126C8" w:rsidRPr="00E126C8" w14:paraId="14BCB6ED" w14:textId="77777777" w:rsidTr="00FD4EE0">
        <w:trPr>
          <w:trHeight w:val="57"/>
          <w:tblHeader/>
          <w:jc w:val="right"/>
        </w:trPr>
        <w:tc>
          <w:tcPr>
            <w:tcW w:w="5709" w:type="dxa"/>
            <w:vAlign w:val="bottom"/>
          </w:tcPr>
          <w:p w14:paraId="76445838" w14:textId="77777777" w:rsidR="00E126C8" w:rsidRPr="00E126C8" w:rsidRDefault="00E126C8" w:rsidP="00FD4EE0">
            <w:pPr>
              <w:spacing w:before="40" w:after="40"/>
              <w:rPr>
                <w:i/>
                <w:iCs/>
                <w:sz w:val="18"/>
                <w:szCs w:val="18"/>
              </w:rPr>
            </w:pPr>
            <w:r w:rsidRPr="00E126C8">
              <w:rPr>
                <w:i/>
                <w:iCs/>
                <w:sz w:val="18"/>
                <w:szCs w:val="18"/>
              </w:rPr>
              <w:t>Mercury-added products</w:t>
            </w:r>
          </w:p>
        </w:tc>
        <w:tc>
          <w:tcPr>
            <w:tcW w:w="2598" w:type="dxa"/>
            <w:vAlign w:val="bottom"/>
          </w:tcPr>
          <w:p w14:paraId="36F94AF0" w14:textId="77777777" w:rsidR="00E126C8" w:rsidRPr="00E126C8" w:rsidRDefault="00E126C8" w:rsidP="00FD4EE0">
            <w:pPr>
              <w:spacing w:before="40" w:after="40"/>
              <w:rPr>
                <w:i/>
                <w:iCs/>
                <w:sz w:val="18"/>
                <w:szCs w:val="18"/>
              </w:rPr>
            </w:pPr>
            <w:r w:rsidRPr="00E126C8">
              <w:rPr>
                <w:i/>
                <w:iCs/>
                <w:sz w:val="18"/>
                <w:szCs w:val="18"/>
              </w:rPr>
              <w:t>Date after which the manufacture, import or export of the product shall not be allowed (phase-out date)</w:t>
            </w:r>
          </w:p>
        </w:tc>
      </w:tr>
      <w:tr w:rsidR="00E126C8" w:rsidRPr="00E126C8" w14:paraId="37FF7D48" w14:textId="77777777" w:rsidTr="00FD4EE0">
        <w:trPr>
          <w:trHeight w:val="57"/>
          <w:jc w:val="right"/>
        </w:trPr>
        <w:tc>
          <w:tcPr>
            <w:tcW w:w="5709" w:type="dxa"/>
          </w:tcPr>
          <w:p w14:paraId="26C25E7E" w14:textId="77777777" w:rsidR="00E126C8" w:rsidRPr="00E126C8" w:rsidRDefault="00E126C8" w:rsidP="00FD4EE0">
            <w:pPr>
              <w:spacing w:before="40" w:after="40"/>
              <w:rPr>
                <w:sz w:val="18"/>
                <w:szCs w:val="18"/>
              </w:rPr>
            </w:pPr>
            <w:r w:rsidRPr="00E126C8">
              <w:rPr>
                <w:sz w:val="18"/>
                <w:szCs w:val="18"/>
              </w:rPr>
              <w:t>Batteries, except for button zinc silver oxide batteries with a mercury content &lt; 2% and button zinc air batteries with a mercury content &lt; 2%</w:t>
            </w:r>
          </w:p>
        </w:tc>
        <w:tc>
          <w:tcPr>
            <w:tcW w:w="2598" w:type="dxa"/>
          </w:tcPr>
          <w:p w14:paraId="09AFCAB0" w14:textId="77777777" w:rsidR="00E126C8" w:rsidRPr="00E126C8" w:rsidRDefault="00E126C8" w:rsidP="00FD4EE0">
            <w:pPr>
              <w:spacing w:before="40" w:after="40"/>
              <w:rPr>
                <w:sz w:val="18"/>
                <w:szCs w:val="18"/>
              </w:rPr>
            </w:pPr>
            <w:r w:rsidRPr="00E126C8">
              <w:rPr>
                <w:sz w:val="18"/>
                <w:szCs w:val="18"/>
              </w:rPr>
              <w:t>2020</w:t>
            </w:r>
          </w:p>
        </w:tc>
      </w:tr>
      <w:tr w:rsidR="00E126C8" w:rsidRPr="00E126C8" w14:paraId="1A903BF7" w14:textId="77777777" w:rsidTr="00FD4EE0">
        <w:trPr>
          <w:trHeight w:val="57"/>
          <w:jc w:val="right"/>
        </w:trPr>
        <w:tc>
          <w:tcPr>
            <w:tcW w:w="5709" w:type="dxa"/>
          </w:tcPr>
          <w:p w14:paraId="5F760799" w14:textId="77777777" w:rsidR="00E126C8" w:rsidRPr="00E126C8" w:rsidRDefault="00E126C8" w:rsidP="00FD4EE0">
            <w:pPr>
              <w:spacing w:before="40" w:after="40"/>
              <w:rPr>
                <w:sz w:val="18"/>
                <w:szCs w:val="18"/>
              </w:rPr>
            </w:pPr>
            <w:r w:rsidRPr="00E126C8">
              <w:rPr>
                <w:sz w:val="18"/>
                <w:szCs w:val="18"/>
              </w:rPr>
              <w:t>Button zinc silver oxide batteries with a mercury content &lt; 2% and button zinc air batteries with a mercury content &lt; 2%</w:t>
            </w:r>
          </w:p>
        </w:tc>
        <w:tc>
          <w:tcPr>
            <w:tcW w:w="2598" w:type="dxa"/>
          </w:tcPr>
          <w:p w14:paraId="4E0E6D9F"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26C06FD1" w14:textId="77777777" w:rsidTr="00FD4EE0">
        <w:trPr>
          <w:trHeight w:val="57"/>
          <w:jc w:val="right"/>
        </w:trPr>
        <w:tc>
          <w:tcPr>
            <w:tcW w:w="5709" w:type="dxa"/>
          </w:tcPr>
          <w:p w14:paraId="2A5925FC" w14:textId="77777777" w:rsidR="00E126C8" w:rsidRPr="00E126C8" w:rsidRDefault="00E126C8" w:rsidP="00FD4EE0">
            <w:pPr>
              <w:spacing w:before="40" w:after="40"/>
              <w:rPr>
                <w:sz w:val="18"/>
                <w:szCs w:val="18"/>
              </w:rPr>
            </w:pPr>
            <w:r w:rsidRPr="00E126C8">
              <w:rPr>
                <w:sz w:val="18"/>
                <w:szCs w:val="18"/>
              </w:rPr>
              <w:t>Switches and relays, except very high accuracy capacitance and loss measurement bridges and high frequency radio frequency switches and relays in monitoring and control instruments with a maximum mercury content of 20 mg per bridge, switch or relay</w:t>
            </w:r>
          </w:p>
        </w:tc>
        <w:tc>
          <w:tcPr>
            <w:tcW w:w="2598" w:type="dxa"/>
          </w:tcPr>
          <w:p w14:paraId="3912F151" w14:textId="77777777" w:rsidR="00E126C8" w:rsidRPr="00E126C8" w:rsidRDefault="00E126C8" w:rsidP="00FD4EE0">
            <w:pPr>
              <w:spacing w:before="40" w:after="40"/>
              <w:rPr>
                <w:sz w:val="18"/>
                <w:szCs w:val="18"/>
              </w:rPr>
            </w:pPr>
            <w:r w:rsidRPr="00E126C8">
              <w:rPr>
                <w:sz w:val="18"/>
                <w:szCs w:val="18"/>
              </w:rPr>
              <w:t>2020</w:t>
            </w:r>
          </w:p>
        </w:tc>
      </w:tr>
      <w:tr w:rsidR="00E126C8" w:rsidRPr="00E126C8" w14:paraId="1DC6775B" w14:textId="77777777" w:rsidTr="00FD4EE0">
        <w:trPr>
          <w:trHeight w:val="57"/>
          <w:jc w:val="right"/>
        </w:trPr>
        <w:tc>
          <w:tcPr>
            <w:tcW w:w="5709" w:type="dxa"/>
          </w:tcPr>
          <w:p w14:paraId="3F8E7207" w14:textId="77777777" w:rsidR="00E126C8" w:rsidRPr="00E126C8" w:rsidRDefault="00E126C8" w:rsidP="00FD4EE0">
            <w:pPr>
              <w:spacing w:before="40" w:after="40"/>
              <w:rPr>
                <w:sz w:val="18"/>
                <w:szCs w:val="18"/>
              </w:rPr>
            </w:pPr>
            <w:r w:rsidRPr="00E126C8">
              <w:rPr>
                <w:sz w:val="18"/>
                <w:szCs w:val="18"/>
              </w:rPr>
              <w:t>Very high accuracy capacitance and loss measurement bridges and high frequency radio frequency switches and relays in monitoring and control instruments with a maximum mercury content of 20 mg per bridge switch or relay, except those used for research and development purposes</w:t>
            </w:r>
          </w:p>
        </w:tc>
        <w:tc>
          <w:tcPr>
            <w:tcW w:w="2598" w:type="dxa"/>
          </w:tcPr>
          <w:p w14:paraId="56B94CDC"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32AED25D" w14:textId="77777777" w:rsidTr="00FD4EE0">
        <w:trPr>
          <w:trHeight w:val="57"/>
          <w:jc w:val="right"/>
        </w:trPr>
        <w:tc>
          <w:tcPr>
            <w:tcW w:w="5709" w:type="dxa"/>
          </w:tcPr>
          <w:p w14:paraId="61DD92F5" w14:textId="77777777" w:rsidR="00E126C8" w:rsidRPr="00E126C8" w:rsidRDefault="00E126C8" w:rsidP="00FD4EE0">
            <w:pPr>
              <w:spacing w:before="40" w:after="40"/>
              <w:rPr>
                <w:sz w:val="18"/>
                <w:szCs w:val="18"/>
              </w:rPr>
            </w:pPr>
            <w:r w:rsidRPr="00E126C8">
              <w:rPr>
                <w:sz w:val="18"/>
                <w:szCs w:val="18"/>
              </w:rPr>
              <w:t>Compact fluorescent lamps (CFLs) for general lighting purposes that are ≤ 30 watts with a mercury content exceeding 5 mg per lamp burner</w:t>
            </w:r>
          </w:p>
        </w:tc>
        <w:tc>
          <w:tcPr>
            <w:tcW w:w="2598" w:type="dxa"/>
          </w:tcPr>
          <w:p w14:paraId="0C5BA3FD" w14:textId="77777777" w:rsidR="00E126C8" w:rsidRPr="00E126C8" w:rsidRDefault="00E126C8" w:rsidP="00FD4EE0">
            <w:pPr>
              <w:spacing w:before="40" w:after="40"/>
              <w:rPr>
                <w:sz w:val="18"/>
                <w:szCs w:val="18"/>
              </w:rPr>
            </w:pPr>
            <w:r w:rsidRPr="00E126C8">
              <w:rPr>
                <w:sz w:val="18"/>
                <w:szCs w:val="18"/>
              </w:rPr>
              <w:t>2020</w:t>
            </w:r>
          </w:p>
        </w:tc>
      </w:tr>
      <w:tr w:rsidR="00E126C8" w:rsidRPr="00E126C8" w14:paraId="42114436" w14:textId="77777777" w:rsidTr="00FD4EE0">
        <w:trPr>
          <w:trHeight w:val="57"/>
          <w:jc w:val="right"/>
        </w:trPr>
        <w:tc>
          <w:tcPr>
            <w:tcW w:w="5709" w:type="dxa"/>
          </w:tcPr>
          <w:p w14:paraId="77C90F20" w14:textId="77777777" w:rsidR="00E126C8" w:rsidRPr="00E126C8" w:rsidRDefault="00E126C8" w:rsidP="00FD4EE0">
            <w:pPr>
              <w:spacing w:before="40" w:after="40"/>
              <w:rPr>
                <w:sz w:val="18"/>
                <w:szCs w:val="18"/>
              </w:rPr>
            </w:pPr>
            <w:r w:rsidRPr="00E126C8">
              <w:rPr>
                <w:sz w:val="18"/>
                <w:szCs w:val="18"/>
              </w:rPr>
              <w:t>Compact fluorescent lamps (CFLs) for general lighting purposes that are &gt; 30 watts</w:t>
            </w:r>
          </w:p>
        </w:tc>
        <w:tc>
          <w:tcPr>
            <w:tcW w:w="2598" w:type="dxa"/>
          </w:tcPr>
          <w:p w14:paraId="77563A8E" w14:textId="77777777" w:rsidR="00E126C8" w:rsidRPr="00E126C8" w:rsidRDefault="00E126C8" w:rsidP="00FD4EE0">
            <w:pPr>
              <w:spacing w:before="40" w:after="40"/>
              <w:rPr>
                <w:sz w:val="18"/>
                <w:szCs w:val="18"/>
              </w:rPr>
            </w:pPr>
            <w:r w:rsidRPr="00E126C8">
              <w:rPr>
                <w:sz w:val="18"/>
                <w:szCs w:val="18"/>
              </w:rPr>
              <w:t>2026</w:t>
            </w:r>
          </w:p>
        </w:tc>
      </w:tr>
      <w:tr w:rsidR="00E126C8" w:rsidRPr="00E126C8" w14:paraId="6093FC0A" w14:textId="77777777" w:rsidTr="00FD4EE0">
        <w:trPr>
          <w:trHeight w:val="57"/>
          <w:jc w:val="right"/>
        </w:trPr>
        <w:tc>
          <w:tcPr>
            <w:tcW w:w="5709" w:type="dxa"/>
          </w:tcPr>
          <w:p w14:paraId="2B729161" w14:textId="77777777" w:rsidR="00E126C8" w:rsidRPr="00E126C8" w:rsidRDefault="00E126C8" w:rsidP="00FD4EE0">
            <w:pPr>
              <w:spacing w:before="40" w:after="40"/>
              <w:rPr>
                <w:sz w:val="18"/>
                <w:szCs w:val="18"/>
              </w:rPr>
            </w:pPr>
            <w:r w:rsidRPr="00E126C8">
              <w:rPr>
                <w:sz w:val="18"/>
                <w:szCs w:val="18"/>
              </w:rPr>
              <w:t>Compact fluorescent lamps with an integrated ballast (</w:t>
            </w:r>
            <w:proofErr w:type="spellStart"/>
            <w:r w:rsidRPr="00E126C8">
              <w:rPr>
                <w:sz w:val="18"/>
                <w:szCs w:val="18"/>
              </w:rPr>
              <w:t>CFL.i</w:t>
            </w:r>
            <w:proofErr w:type="spellEnd"/>
            <w:r w:rsidRPr="00E126C8">
              <w:rPr>
                <w:sz w:val="18"/>
                <w:szCs w:val="18"/>
              </w:rPr>
              <w:t>) for general lighting purposes that are ≤ 30 watts with a mercury content not exceeding 5 mg per lamp burner</w:t>
            </w:r>
          </w:p>
        </w:tc>
        <w:tc>
          <w:tcPr>
            <w:tcW w:w="2598" w:type="dxa"/>
          </w:tcPr>
          <w:p w14:paraId="653FEDD5"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27790366" w14:textId="77777777" w:rsidTr="00FD4EE0">
        <w:trPr>
          <w:trHeight w:val="57"/>
          <w:jc w:val="right"/>
        </w:trPr>
        <w:tc>
          <w:tcPr>
            <w:tcW w:w="5709" w:type="dxa"/>
          </w:tcPr>
          <w:p w14:paraId="2838E88C" w14:textId="77777777" w:rsidR="00E126C8" w:rsidRPr="00E126C8" w:rsidRDefault="00E126C8" w:rsidP="00FD4EE0">
            <w:pPr>
              <w:spacing w:before="40" w:after="40"/>
              <w:rPr>
                <w:sz w:val="18"/>
                <w:szCs w:val="18"/>
              </w:rPr>
            </w:pPr>
            <w:r w:rsidRPr="00E126C8">
              <w:rPr>
                <w:sz w:val="18"/>
                <w:szCs w:val="18"/>
              </w:rPr>
              <w:lastRenderedPageBreak/>
              <w:t>Compact fluorescent lamps with a non-integrated ballast (CFL.ni) for general lighting purposes that are ≤ 30 watts with a mercury content not exceeding 5 mg per lamp burner</w:t>
            </w:r>
          </w:p>
        </w:tc>
        <w:tc>
          <w:tcPr>
            <w:tcW w:w="2598" w:type="dxa"/>
          </w:tcPr>
          <w:p w14:paraId="2A3DFF54" w14:textId="77777777" w:rsidR="00E126C8" w:rsidRPr="00E126C8" w:rsidRDefault="00E126C8" w:rsidP="00FD4EE0">
            <w:pPr>
              <w:spacing w:before="40" w:after="40"/>
              <w:rPr>
                <w:sz w:val="18"/>
                <w:szCs w:val="18"/>
              </w:rPr>
            </w:pPr>
            <w:r w:rsidRPr="00E126C8">
              <w:rPr>
                <w:sz w:val="18"/>
                <w:szCs w:val="18"/>
              </w:rPr>
              <w:t>2026</w:t>
            </w:r>
          </w:p>
        </w:tc>
      </w:tr>
      <w:tr w:rsidR="00E126C8" w:rsidRPr="00E126C8" w14:paraId="586E092D" w14:textId="77777777" w:rsidTr="00FD4EE0">
        <w:trPr>
          <w:trHeight w:val="57"/>
          <w:jc w:val="right"/>
        </w:trPr>
        <w:tc>
          <w:tcPr>
            <w:tcW w:w="5709" w:type="dxa"/>
          </w:tcPr>
          <w:p w14:paraId="68841746" w14:textId="77777777" w:rsidR="00E126C8" w:rsidRPr="00E126C8" w:rsidRDefault="00E126C8" w:rsidP="00FD4EE0">
            <w:pPr>
              <w:spacing w:before="40" w:after="40"/>
              <w:rPr>
                <w:sz w:val="18"/>
                <w:szCs w:val="18"/>
              </w:rPr>
            </w:pPr>
            <w:r w:rsidRPr="00E126C8">
              <w:rPr>
                <w:sz w:val="18"/>
                <w:szCs w:val="18"/>
              </w:rPr>
              <w:t>Linear fluorescent lamps (LFLs) for general lighting purposes:</w:t>
            </w:r>
          </w:p>
          <w:p w14:paraId="2E7DD39D" w14:textId="77777777" w:rsidR="00E126C8" w:rsidRPr="00E126C8" w:rsidRDefault="00E126C8" w:rsidP="00E126C8">
            <w:pPr>
              <w:keepNext/>
              <w:keepLines/>
              <w:numPr>
                <w:ilvl w:val="0"/>
                <w:numId w:val="17"/>
              </w:numPr>
              <w:tabs>
                <w:tab w:val="clear" w:pos="1247"/>
                <w:tab w:val="clear" w:pos="1814"/>
                <w:tab w:val="clear" w:pos="2381"/>
                <w:tab w:val="clear" w:pos="2948"/>
                <w:tab w:val="clear" w:pos="3515"/>
              </w:tabs>
              <w:spacing w:before="40" w:after="40"/>
              <w:rPr>
                <w:sz w:val="18"/>
                <w:szCs w:val="18"/>
              </w:rPr>
            </w:pPr>
            <w:r w:rsidRPr="00E126C8">
              <w:rPr>
                <w:sz w:val="18"/>
                <w:szCs w:val="18"/>
              </w:rPr>
              <w:t>Triband phosphor &lt; 60 watts with a mercury content exceeding 5 mg per lamp;</w:t>
            </w:r>
          </w:p>
          <w:p w14:paraId="2C2BF931" w14:textId="77777777" w:rsidR="00E126C8" w:rsidRPr="00E126C8" w:rsidRDefault="00E126C8" w:rsidP="00E126C8">
            <w:pPr>
              <w:keepNext/>
              <w:keepLines/>
              <w:numPr>
                <w:ilvl w:val="0"/>
                <w:numId w:val="17"/>
              </w:numPr>
              <w:tabs>
                <w:tab w:val="clear" w:pos="1247"/>
                <w:tab w:val="clear" w:pos="1814"/>
                <w:tab w:val="clear" w:pos="2381"/>
                <w:tab w:val="clear" w:pos="2948"/>
                <w:tab w:val="clear" w:pos="3515"/>
              </w:tabs>
              <w:spacing w:before="40" w:after="40"/>
              <w:rPr>
                <w:sz w:val="18"/>
                <w:szCs w:val="18"/>
              </w:rPr>
            </w:pPr>
            <w:proofErr w:type="spellStart"/>
            <w:r w:rsidRPr="00E126C8">
              <w:rPr>
                <w:sz w:val="18"/>
                <w:szCs w:val="18"/>
              </w:rPr>
              <w:t>Halophosphate</w:t>
            </w:r>
            <w:proofErr w:type="spellEnd"/>
            <w:r w:rsidRPr="00E126C8">
              <w:rPr>
                <w:sz w:val="18"/>
                <w:szCs w:val="18"/>
              </w:rPr>
              <w:t xml:space="preserve"> phosphor ≤ 40 watts with a mercury content exceeding 10 mg per lamp </w:t>
            </w:r>
          </w:p>
        </w:tc>
        <w:tc>
          <w:tcPr>
            <w:tcW w:w="2598" w:type="dxa"/>
          </w:tcPr>
          <w:p w14:paraId="2E038765" w14:textId="77777777" w:rsidR="00E126C8" w:rsidRPr="00E126C8" w:rsidRDefault="00E126C8" w:rsidP="00FD4EE0">
            <w:pPr>
              <w:keepNext/>
              <w:keepLines/>
              <w:spacing w:before="40" w:after="40"/>
              <w:rPr>
                <w:sz w:val="18"/>
                <w:szCs w:val="18"/>
              </w:rPr>
            </w:pPr>
            <w:r w:rsidRPr="00E126C8">
              <w:rPr>
                <w:sz w:val="18"/>
                <w:szCs w:val="18"/>
              </w:rPr>
              <w:t>2020</w:t>
            </w:r>
          </w:p>
        </w:tc>
      </w:tr>
      <w:tr w:rsidR="00E126C8" w:rsidRPr="00E126C8" w14:paraId="67FA8DDA" w14:textId="77777777" w:rsidTr="00FD4EE0">
        <w:trPr>
          <w:trHeight w:val="57"/>
          <w:jc w:val="right"/>
        </w:trPr>
        <w:tc>
          <w:tcPr>
            <w:tcW w:w="5709" w:type="dxa"/>
          </w:tcPr>
          <w:p w14:paraId="1062FB3C" w14:textId="77777777" w:rsidR="00E126C8" w:rsidRPr="00E126C8" w:rsidRDefault="00E126C8" w:rsidP="00FD4EE0">
            <w:pPr>
              <w:spacing w:before="40" w:after="40"/>
              <w:rPr>
                <w:sz w:val="18"/>
                <w:szCs w:val="18"/>
              </w:rPr>
            </w:pPr>
            <w:r w:rsidRPr="00E126C8">
              <w:rPr>
                <w:sz w:val="18"/>
                <w:szCs w:val="18"/>
              </w:rPr>
              <w:t>Linear fluorescent lamps (LFLs) for general lighting purposes:</w:t>
            </w:r>
          </w:p>
          <w:p w14:paraId="404CF840" w14:textId="77777777" w:rsidR="00E126C8" w:rsidRPr="00E126C8" w:rsidRDefault="00E126C8" w:rsidP="00E126C8">
            <w:pPr>
              <w:numPr>
                <w:ilvl w:val="0"/>
                <w:numId w:val="20"/>
              </w:numPr>
              <w:tabs>
                <w:tab w:val="clear" w:pos="1814"/>
                <w:tab w:val="clear" w:pos="2381"/>
                <w:tab w:val="clear" w:pos="2948"/>
                <w:tab w:val="clear" w:pos="3515"/>
              </w:tabs>
              <w:spacing w:before="40" w:after="40"/>
              <w:rPr>
                <w:sz w:val="18"/>
                <w:szCs w:val="18"/>
              </w:rPr>
            </w:pPr>
            <w:proofErr w:type="spellStart"/>
            <w:r w:rsidRPr="00E126C8">
              <w:rPr>
                <w:sz w:val="18"/>
                <w:szCs w:val="18"/>
              </w:rPr>
              <w:t>Halophosphate</w:t>
            </w:r>
            <w:proofErr w:type="spellEnd"/>
            <w:r w:rsidRPr="00E126C8">
              <w:rPr>
                <w:sz w:val="18"/>
                <w:szCs w:val="18"/>
              </w:rPr>
              <w:t xml:space="preserve"> phosphor ≤ 40 watts with a mercury content not exceeding 10 mg per lamp </w:t>
            </w:r>
          </w:p>
          <w:p w14:paraId="63DC85B7" w14:textId="77777777" w:rsidR="00E126C8" w:rsidRPr="00E126C8" w:rsidRDefault="00E126C8" w:rsidP="00E126C8">
            <w:pPr>
              <w:numPr>
                <w:ilvl w:val="0"/>
                <w:numId w:val="20"/>
              </w:numPr>
              <w:tabs>
                <w:tab w:val="clear" w:pos="1814"/>
                <w:tab w:val="clear" w:pos="2381"/>
                <w:tab w:val="clear" w:pos="2948"/>
                <w:tab w:val="clear" w:pos="3515"/>
              </w:tabs>
              <w:spacing w:before="40" w:after="40"/>
              <w:rPr>
                <w:sz w:val="18"/>
                <w:szCs w:val="18"/>
              </w:rPr>
            </w:pPr>
            <w:proofErr w:type="spellStart"/>
            <w:r w:rsidRPr="00E126C8">
              <w:rPr>
                <w:sz w:val="18"/>
                <w:szCs w:val="18"/>
              </w:rPr>
              <w:t>Halophosphate</w:t>
            </w:r>
            <w:proofErr w:type="spellEnd"/>
            <w:r w:rsidRPr="00E126C8">
              <w:rPr>
                <w:sz w:val="18"/>
                <w:szCs w:val="18"/>
              </w:rPr>
              <w:t xml:space="preserve"> phosphor &gt; 40 watts</w:t>
            </w:r>
          </w:p>
        </w:tc>
        <w:tc>
          <w:tcPr>
            <w:tcW w:w="2598" w:type="dxa"/>
          </w:tcPr>
          <w:p w14:paraId="1E02AED9" w14:textId="77777777" w:rsidR="00E126C8" w:rsidRPr="00E126C8" w:rsidRDefault="00E126C8" w:rsidP="00FD4EE0">
            <w:pPr>
              <w:spacing w:before="40" w:after="40"/>
              <w:rPr>
                <w:sz w:val="18"/>
                <w:szCs w:val="18"/>
              </w:rPr>
            </w:pPr>
            <w:r w:rsidRPr="00E126C8">
              <w:rPr>
                <w:sz w:val="18"/>
                <w:szCs w:val="18"/>
              </w:rPr>
              <w:t>2026</w:t>
            </w:r>
          </w:p>
        </w:tc>
      </w:tr>
      <w:tr w:rsidR="00E126C8" w:rsidRPr="00E126C8" w14:paraId="7912FEFC" w14:textId="77777777" w:rsidTr="00FD4EE0">
        <w:trPr>
          <w:trHeight w:val="57"/>
          <w:jc w:val="right"/>
        </w:trPr>
        <w:tc>
          <w:tcPr>
            <w:tcW w:w="5709" w:type="dxa"/>
          </w:tcPr>
          <w:p w14:paraId="1220C7EE" w14:textId="77777777" w:rsidR="00E126C8" w:rsidRPr="00E126C8" w:rsidRDefault="00E126C8" w:rsidP="00FD4EE0">
            <w:pPr>
              <w:spacing w:before="40" w:after="40"/>
              <w:rPr>
                <w:sz w:val="18"/>
                <w:szCs w:val="18"/>
              </w:rPr>
            </w:pPr>
            <w:r w:rsidRPr="00E126C8">
              <w:rPr>
                <w:sz w:val="18"/>
                <w:szCs w:val="18"/>
              </w:rPr>
              <w:t>Linear fluorescent lamps (LFLs) for general lighting purposes:</w:t>
            </w:r>
          </w:p>
          <w:p w14:paraId="0EA29FE0" w14:textId="77777777" w:rsidR="00E126C8" w:rsidRPr="00E126C8" w:rsidRDefault="00E126C8" w:rsidP="00E126C8">
            <w:pPr>
              <w:numPr>
                <w:ilvl w:val="0"/>
                <w:numId w:val="19"/>
              </w:numPr>
              <w:tabs>
                <w:tab w:val="clear" w:pos="1814"/>
                <w:tab w:val="clear" w:pos="2381"/>
                <w:tab w:val="clear" w:pos="2948"/>
                <w:tab w:val="clear" w:pos="3515"/>
              </w:tabs>
              <w:spacing w:before="40" w:after="40"/>
              <w:rPr>
                <w:sz w:val="18"/>
                <w:szCs w:val="18"/>
              </w:rPr>
            </w:pPr>
            <w:r w:rsidRPr="00E126C8">
              <w:rPr>
                <w:sz w:val="18"/>
                <w:szCs w:val="18"/>
              </w:rPr>
              <w:t>Triband phosphor &lt; 60 watts with a mercury content not exceeding 5 mg/lamp</w:t>
            </w:r>
          </w:p>
          <w:p w14:paraId="0FDC0083" w14:textId="77777777" w:rsidR="00E126C8" w:rsidRPr="00E126C8" w:rsidRDefault="00E126C8" w:rsidP="00E126C8">
            <w:pPr>
              <w:numPr>
                <w:ilvl w:val="0"/>
                <w:numId w:val="19"/>
              </w:numPr>
              <w:tabs>
                <w:tab w:val="clear" w:pos="1814"/>
                <w:tab w:val="clear" w:pos="2381"/>
                <w:tab w:val="clear" w:pos="2948"/>
                <w:tab w:val="clear" w:pos="3515"/>
              </w:tabs>
              <w:spacing w:before="40" w:after="40"/>
              <w:rPr>
                <w:sz w:val="18"/>
                <w:szCs w:val="18"/>
              </w:rPr>
            </w:pPr>
            <w:r w:rsidRPr="00E126C8">
              <w:rPr>
                <w:sz w:val="18"/>
                <w:szCs w:val="18"/>
              </w:rPr>
              <w:t>Triband phosphor ≥ 60 watts with a mercury content not exceeding 5 mg per lamp</w:t>
            </w:r>
          </w:p>
          <w:p w14:paraId="060C548C" w14:textId="77777777" w:rsidR="00E126C8" w:rsidRPr="00E126C8" w:rsidRDefault="00E126C8" w:rsidP="00E126C8">
            <w:pPr>
              <w:numPr>
                <w:ilvl w:val="0"/>
                <w:numId w:val="19"/>
              </w:numPr>
              <w:tabs>
                <w:tab w:val="clear" w:pos="1814"/>
                <w:tab w:val="clear" w:pos="2381"/>
                <w:tab w:val="clear" w:pos="2948"/>
                <w:tab w:val="clear" w:pos="3515"/>
              </w:tabs>
              <w:spacing w:before="40" w:after="40"/>
              <w:rPr>
                <w:sz w:val="18"/>
                <w:szCs w:val="18"/>
              </w:rPr>
            </w:pPr>
            <w:r w:rsidRPr="00E126C8">
              <w:rPr>
                <w:sz w:val="18"/>
                <w:szCs w:val="18"/>
              </w:rPr>
              <w:t>Triband phosphor ≥ 60 watts with a mercury content exceeding 5 mg per lamp</w:t>
            </w:r>
          </w:p>
        </w:tc>
        <w:tc>
          <w:tcPr>
            <w:tcW w:w="2598" w:type="dxa"/>
          </w:tcPr>
          <w:p w14:paraId="22141FC1" w14:textId="77777777" w:rsidR="00E126C8" w:rsidRPr="00E126C8" w:rsidRDefault="00E126C8" w:rsidP="00FD4EE0">
            <w:pPr>
              <w:spacing w:before="40" w:after="40"/>
              <w:rPr>
                <w:sz w:val="18"/>
                <w:szCs w:val="18"/>
              </w:rPr>
            </w:pPr>
            <w:r w:rsidRPr="00E126C8">
              <w:rPr>
                <w:sz w:val="18"/>
                <w:szCs w:val="18"/>
              </w:rPr>
              <w:t>2027</w:t>
            </w:r>
          </w:p>
        </w:tc>
      </w:tr>
      <w:tr w:rsidR="00E126C8" w:rsidRPr="00E126C8" w14:paraId="16AF4FB8" w14:textId="77777777" w:rsidTr="00FD4EE0">
        <w:trPr>
          <w:trHeight w:val="57"/>
          <w:jc w:val="right"/>
        </w:trPr>
        <w:tc>
          <w:tcPr>
            <w:tcW w:w="5709" w:type="dxa"/>
          </w:tcPr>
          <w:p w14:paraId="68CCFB83" w14:textId="77777777" w:rsidR="00E126C8" w:rsidRPr="00E126C8" w:rsidRDefault="00E126C8" w:rsidP="00FD4EE0">
            <w:pPr>
              <w:spacing w:before="40" w:after="40"/>
              <w:rPr>
                <w:sz w:val="18"/>
                <w:szCs w:val="18"/>
              </w:rPr>
            </w:pPr>
            <w:r w:rsidRPr="00E126C8">
              <w:rPr>
                <w:sz w:val="18"/>
                <w:szCs w:val="18"/>
              </w:rPr>
              <w:t>Non-linear fluorescent lamps (NFLs) (e.g., U-bend and circular) for general lighting purposes:</w:t>
            </w:r>
          </w:p>
          <w:p w14:paraId="1AD9B512" w14:textId="77777777" w:rsidR="00E126C8" w:rsidRPr="00E126C8" w:rsidRDefault="00E126C8" w:rsidP="00E126C8">
            <w:pPr>
              <w:numPr>
                <w:ilvl w:val="0"/>
                <w:numId w:val="18"/>
              </w:numPr>
              <w:tabs>
                <w:tab w:val="clear" w:pos="1814"/>
                <w:tab w:val="clear" w:pos="2381"/>
                <w:tab w:val="clear" w:pos="2948"/>
                <w:tab w:val="clear" w:pos="3515"/>
              </w:tabs>
              <w:spacing w:before="40" w:after="40"/>
              <w:ind w:left="318" w:hanging="318"/>
              <w:rPr>
                <w:sz w:val="18"/>
                <w:szCs w:val="18"/>
              </w:rPr>
            </w:pPr>
            <w:r w:rsidRPr="00E126C8">
              <w:rPr>
                <w:sz w:val="18"/>
                <w:szCs w:val="18"/>
              </w:rPr>
              <w:t>Triband phosphor, all wattages</w:t>
            </w:r>
          </w:p>
        </w:tc>
        <w:tc>
          <w:tcPr>
            <w:tcW w:w="2598" w:type="dxa"/>
          </w:tcPr>
          <w:p w14:paraId="2D043D45" w14:textId="77777777" w:rsidR="00E126C8" w:rsidRPr="00E126C8" w:rsidRDefault="00E126C8" w:rsidP="00FD4EE0">
            <w:pPr>
              <w:spacing w:before="40" w:after="40"/>
              <w:rPr>
                <w:sz w:val="18"/>
                <w:szCs w:val="18"/>
              </w:rPr>
            </w:pPr>
            <w:r w:rsidRPr="00E126C8">
              <w:rPr>
                <w:sz w:val="18"/>
                <w:szCs w:val="18"/>
              </w:rPr>
              <w:t>2027</w:t>
            </w:r>
          </w:p>
        </w:tc>
      </w:tr>
      <w:tr w:rsidR="00E126C8" w:rsidRPr="00E126C8" w14:paraId="7F84A18D" w14:textId="77777777" w:rsidTr="00FD4EE0">
        <w:trPr>
          <w:trHeight w:val="57"/>
          <w:jc w:val="right"/>
        </w:trPr>
        <w:tc>
          <w:tcPr>
            <w:tcW w:w="5709" w:type="dxa"/>
          </w:tcPr>
          <w:p w14:paraId="5E91FC8A" w14:textId="77777777" w:rsidR="00E126C8" w:rsidRPr="00E126C8" w:rsidRDefault="00E126C8" w:rsidP="00E126C8">
            <w:pPr>
              <w:numPr>
                <w:ilvl w:val="0"/>
                <w:numId w:val="18"/>
              </w:numPr>
              <w:tabs>
                <w:tab w:val="clear" w:pos="1814"/>
                <w:tab w:val="clear" w:pos="2381"/>
                <w:tab w:val="clear" w:pos="2948"/>
                <w:tab w:val="clear" w:pos="3515"/>
              </w:tabs>
              <w:spacing w:before="40" w:after="40"/>
              <w:ind w:left="318" w:hanging="318"/>
              <w:rPr>
                <w:sz w:val="18"/>
                <w:szCs w:val="18"/>
              </w:rPr>
            </w:pPr>
            <w:proofErr w:type="spellStart"/>
            <w:r w:rsidRPr="00E126C8">
              <w:rPr>
                <w:sz w:val="18"/>
                <w:szCs w:val="18"/>
              </w:rPr>
              <w:t>Halophosphate</w:t>
            </w:r>
            <w:proofErr w:type="spellEnd"/>
            <w:r w:rsidRPr="00E126C8">
              <w:rPr>
                <w:sz w:val="18"/>
                <w:szCs w:val="18"/>
              </w:rPr>
              <w:t xml:space="preserve"> phosphor, all wattages</w:t>
            </w:r>
          </w:p>
        </w:tc>
        <w:tc>
          <w:tcPr>
            <w:tcW w:w="2598" w:type="dxa"/>
          </w:tcPr>
          <w:p w14:paraId="21922AE7" w14:textId="77777777" w:rsidR="00E126C8" w:rsidRPr="00E126C8" w:rsidRDefault="00E126C8" w:rsidP="00FD4EE0">
            <w:pPr>
              <w:spacing w:before="40" w:after="40"/>
              <w:rPr>
                <w:sz w:val="18"/>
                <w:szCs w:val="18"/>
              </w:rPr>
            </w:pPr>
            <w:r w:rsidRPr="00E126C8">
              <w:rPr>
                <w:sz w:val="18"/>
                <w:szCs w:val="18"/>
              </w:rPr>
              <w:t>2026</w:t>
            </w:r>
          </w:p>
        </w:tc>
      </w:tr>
      <w:tr w:rsidR="00E126C8" w:rsidRPr="00E126C8" w14:paraId="0E841AC5" w14:textId="77777777" w:rsidTr="00FD4EE0">
        <w:trPr>
          <w:trHeight w:val="57"/>
          <w:jc w:val="right"/>
        </w:trPr>
        <w:tc>
          <w:tcPr>
            <w:tcW w:w="5709" w:type="dxa"/>
          </w:tcPr>
          <w:p w14:paraId="1E36A2EC" w14:textId="77777777" w:rsidR="00E126C8" w:rsidRPr="00E126C8" w:rsidRDefault="00E126C8" w:rsidP="00FD4EE0">
            <w:pPr>
              <w:spacing w:before="40" w:after="40"/>
              <w:rPr>
                <w:sz w:val="18"/>
                <w:szCs w:val="18"/>
              </w:rPr>
            </w:pPr>
            <w:r w:rsidRPr="00E126C8">
              <w:rPr>
                <w:sz w:val="18"/>
                <w:szCs w:val="18"/>
              </w:rPr>
              <w:t xml:space="preserve">High pressure mercury vapour lamps (HPMV) for general lighting purposes </w:t>
            </w:r>
          </w:p>
        </w:tc>
        <w:tc>
          <w:tcPr>
            <w:tcW w:w="2598" w:type="dxa"/>
          </w:tcPr>
          <w:p w14:paraId="31150596" w14:textId="77777777" w:rsidR="00E126C8" w:rsidRPr="00E126C8" w:rsidRDefault="00E126C8" w:rsidP="00FD4EE0">
            <w:pPr>
              <w:spacing w:before="40" w:after="40"/>
              <w:rPr>
                <w:sz w:val="18"/>
                <w:szCs w:val="18"/>
              </w:rPr>
            </w:pPr>
            <w:r w:rsidRPr="00E126C8">
              <w:rPr>
                <w:sz w:val="18"/>
                <w:szCs w:val="18"/>
              </w:rPr>
              <w:t>2020</w:t>
            </w:r>
          </w:p>
        </w:tc>
      </w:tr>
      <w:tr w:rsidR="00E126C8" w:rsidRPr="00E126C8" w14:paraId="4BCAE7C4" w14:textId="77777777" w:rsidTr="00FD4EE0">
        <w:trPr>
          <w:trHeight w:val="57"/>
          <w:jc w:val="right"/>
        </w:trPr>
        <w:tc>
          <w:tcPr>
            <w:tcW w:w="5709" w:type="dxa"/>
          </w:tcPr>
          <w:p w14:paraId="7D03B1C8" w14:textId="77777777" w:rsidR="00E126C8" w:rsidRPr="00E126C8" w:rsidRDefault="00E126C8" w:rsidP="00FD4EE0">
            <w:pPr>
              <w:spacing w:before="40" w:after="40"/>
              <w:rPr>
                <w:sz w:val="18"/>
                <w:szCs w:val="18"/>
              </w:rPr>
            </w:pPr>
            <w:r w:rsidRPr="00E126C8">
              <w:rPr>
                <w:sz w:val="18"/>
                <w:szCs w:val="18"/>
              </w:rPr>
              <w:t xml:space="preserve">Mercury in cold cathode fluorescent lamps and external electrode fluorescent lamps (CCFL and EEFL) for electronic displays: </w:t>
            </w:r>
          </w:p>
          <w:p w14:paraId="11C84B08" w14:textId="77777777" w:rsidR="00E126C8" w:rsidRPr="00E126C8" w:rsidRDefault="00E126C8" w:rsidP="00E126C8">
            <w:pPr>
              <w:numPr>
                <w:ilvl w:val="0"/>
                <w:numId w:val="21"/>
              </w:numPr>
              <w:tabs>
                <w:tab w:val="clear" w:pos="1247"/>
                <w:tab w:val="clear" w:pos="1814"/>
                <w:tab w:val="clear" w:pos="2381"/>
                <w:tab w:val="clear" w:pos="2948"/>
                <w:tab w:val="clear" w:pos="3515"/>
              </w:tabs>
              <w:spacing w:before="40" w:after="40"/>
              <w:rPr>
                <w:sz w:val="18"/>
                <w:szCs w:val="18"/>
              </w:rPr>
            </w:pPr>
            <w:r w:rsidRPr="00E126C8">
              <w:rPr>
                <w:sz w:val="18"/>
                <w:szCs w:val="18"/>
              </w:rPr>
              <w:t>Short length (≤ 500 mm) with mercury content exceeding 3.5 mg per lamp</w:t>
            </w:r>
          </w:p>
          <w:p w14:paraId="4BF331AB" w14:textId="77777777" w:rsidR="00E126C8" w:rsidRPr="00E126C8" w:rsidRDefault="00E126C8" w:rsidP="00E126C8">
            <w:pPr>
              <w:numPr>
                <w:ilvl w:val="0"/>
                <w:numId w:val="21"/>
              </w:numPr>
              <w:tabs>
                <w:tab w:val="clear" w:pos="1247"/>
                <w:tab w:val="clear" w:pos="1814"/>
                <w:tab w:val="clear" w:pos="2381"/>
                <w:tab w:val="clear" w:pos="2948"/>
                <w:tab w:val="clear" w:pos="3515"/>
              </w:tabs>
              <w:spacing w:before="40" w:after="40"/>
              <w:rPr>
                <w:sz w:val="18"/>
                <w:szCs w:val="18"/>
              </w:rPr>
            </w:pPr>
            <w:r w:rsidRPr="00E126C8">
              <w:rPr>
                <w:sz w:val="18"/>
                <w:szCs w:val="18"/>
              </w:rPr>
              <w:t>Medium length (&gt; 500 mm and ≤ 1,500 mm) with mercury content exceeding 5 mg per lamp</w:t>
            </w:r>
          </w:p>
          <w:p w14:paraId="4BC55D10" w14:textId="77777777" w:rsidR="00E126C8" w:rsidRPr="00E126C8" w:rsidRDefault="00E126C8" w:rsidP="00E126C8">
            <w:pPr>
              <w:numPr>
                <w:ilvl w:val="0"/>
                <w:numId w:val="21"/>
              </w:numPr>
              <w:tabs>
                <w:tab w:val="clear" w:pos="1247"/>
                <w:tab w:val="clear" w:pos="1814"/>
                <w:tab w:val="clear" w:pos="2381"/>
                <w:tab w:val="clear" w:pos="2948"/>
                <w:tab w:val="clear" w:pos="3515"/>
              </w:tabs>
              <w:spacing w:before="40" w:after="40"/>
              <w:rPr>
                <w:sz w:val="18"/>
                <w:szCs w:val="18"/>
              </w:rPr>
            </w:pPr>
            <w:r w:rsidRPr="00E126C8">
              <w:rPr>
                <w:sz w:val="18"/>
                <w:szCs w:val="18"/>
              </w:rPr>
              <w:t>Long length (&gt; 1,500 mm) with mercury content exceeding 13 mg per lamp</w:t>
            </w:r>
          </w:p>
        </w:tc>
        <w:tc>
          <w:tcPr>
            <w:tcW w:w="2598" w:type="dxa"/>
          </w:tcPr>
          <w:p w14:paraId="6D9016E3" w14:textId="77777777" w:rsidR="00E126C8" w:rsidRPr="00E126C8" w:rsidRDefault="00E126C8" w:rsidP="00FD4EE0">
            <w:pPr>
              <w:spacing w:before="40" w:after="40"/>
              <w:rPr>
                <w:sz w:val="18"/>
                <w:szCs w:val="18"/>
              </w:rPr>
            </w:pPr>
            <w:r w:rsidRPr="00E126C8">
              <w:rPr>
                <w:sz w:val="18"/>
                <w:szCs w:val="18"/>
              </w:rPr>
              <w:t>2020</w:t>
            </w:r>
          </w:p>
        </w:tc>
      </w:tr>
      <w:tr w:rsidR="00E126C8" w:rsidRPr="00E126C8" w14:paraId="02266827" w14:textId="77777777" w:rsidTr="00FD4EE0">
        <w:trPr>
          <w:trHeight w:val="57"/>
          <w:jc w:val="right"/>
        </w:trPr>
        <w:tc>
          <w:tcPr>
            <w:tcW w:w="5709" w:type="dxa"/>
          </w:tcPr>
          <w:p w14:paraId="422A3A39" w14:textId="77777777" w:rsidR="00E126C8" w:rsidRPr="00E126C8" w:rsidRDefault="00E126C8" w:rsidP="00FD4EE0">
            <w:pPr>
              <w:spacing w:before="40" w:after="40"/>
              <w:rPr>
                <w:sz w:val="18"/>
                <w:szCs w:val="18"/>
              </w:rPr>
            </w:pPr>
            <w:r w:rsidRPr="00E126C8">
              <w:rPr>
                <w:sz w:val="18"/>
                <w:szCs w:val="18"/>
              </w:rPr>
              <w:t>Cold cathode fluorescent lamps (CCFL) and external electrode fluorescent lamps (EEFL) of all lengths for electronic displays, not included in the listing directly above</w:t>
            </w:r>
          </w:p>
        </w:tc>
        <w:tc>
          <w:tcPr>
            <w:tcW w:w="2598" w:type="dxa"/>
          </w:tcPr>
          <w:p w14:paraId="69086563"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118EDA80" w14:textId="77777777" w:rsidTr="00FD4EE0">
        <w:trPr>
          <w:trHeight w:val="57"/>
          <w:jc w:val="right"/>
        </w:trPr>
        <w:tc>
          <w:tcPr>
            <w:tcW w:w="5709" w:type="dxa"/>
          </w:tcPr>
          <w:p w14:paraId="167643D6" w14:textId="77777777" w:rsidR="00E126C8" w:rsidRPr="00E126C8" w:rsidRDefault="00E126C8" w:rsidP="00FD4EE0">
            <w:pPr>
              <w:spacing w:before="40" w:after="40"/>
              <w:rPr>
                <w:sz w:val="18"/>
                <w:szCs w:val="18"/>
              </w:rPr>
            </w:pPr>
            <w:r w:rsidRPr="00E126C8">
              <w:rPr>
                <w:sz w:val="18"/>
                <w:szCs w:val="18"/>
              </w:rPr>
              <w:t>Cosmetics (with mercury content above 1ppm), including skin lightening soaps and creams, and not including eye area cosmetics where mercury is used as a preservative and no effective and safe substitute preservatives are available</w:t>
            </w:r>
            <w:r w:rsidRPr="00E126C8">
              <w:rPr>
                <w:sz w:val="18"/>
                <w:szCs w:val="18"/>
                <w:vertAlign w:val="superscript"/>
              </w:rPr>
              <w:t>1/</w:t>
            </w:r>
          </w:p>
        </w:tc>
        <w:tc>
          <w:tcPr>
            <w:tcW w:w="2598" w:type="dxa"/>
          </w:tcPr>
          <w:p w14:paraId="52152DE7" w14:textId="77777777" w:rsidR="00E126C8" w:rsidRPr="00E126C8" w:rsidRDefault="00E126C8" w:rsidP="00FD4EE0">
            <w:pPr>
              <w:keepNext/>
              <w:keepLines/>
              <w:spacing w:before="40" w:after="40"/>
              <w:rPr>
                <w:sz w:val="18"/>
                <w:szCs w:val="18"/>
              </w:rPr>
            </w:pPr>
            <w:r w:rsidRPr="00E126C8">
              <w:rPr>
                <w:sz w:val="18"/>
                <w:szCs w:val="18"/>
              </w:rPr>
              <w:t>2020</w:t>
            </w:r>
          </w:p>
        </w:tc>
      </w:tr>
      <w:tr w:rsidR="00E126C8" w:rsidRPr="00E126C8" w14:paraId="15B599C0" w14:textId="77777777" w:rsidTr="00FD4EE0">
        <w:trPr>
          <w:trHeight w:val="57"/>
          <w:jc w:val="right"/>
        </w:trPr>
        <w:tc>
          <w:tcPr>
            <w:tcW w:w="5709" w:type="dxa"/>
          </w:tcPr>
          <w:p w14:paraId="30612356" w14:textId="77777777" w:rsidR="00E126C8" w:rsidRPr="00E126C8" w:rsidRDefault="00E126C8" w:rsidP="00FD4EE0">
            <w:pPr>
              <w:spacing w:before="40" w:after="40"/>
              <w:rPr>
                <w:sz w:val="18"/>
                <w:szCs w:val="18"/>
              </w:rPr>
            </w:pPr>
            <w:r w:rsidRPr="00E126C8">
              <w:rPr>
                <w:sz w:val="18"/>
                <w:szCs w:val="18"/>
              </w:rPr>
              <w:t>Cosmetics, including skin-lightening soaps and creams, and not including eye area cosmetics where mercury is used as a preservative and no effective and safe substitute preservatives are available</w:t>
            </w:r>
            <w:r w:rsidRPr="00E126C8">
              <w:rPr>
                <w:sz w:val="18"/>
                <w:szCs w:val="18"/>
                <w:vertAlign w:val="superscript"/>
              </w:rPr>
              <w:t>1/</w:t>
            </w:r>
          </w:p>
        </w:tc>
        <w:tc>
          <w:tcPr>
            <w:tcW w:w="2598" w:type="dxa"/>
          </w:tcPr>
          <w:p w14:paraId="199574FC"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79B69F44" w14:textId="77777777" w:rsidTr="00FD4EE0">
        <w:trPr>
          <w:trHeight w:val="57"/>
          <w:jc w:val="right"/>
        </w:trPr>
        <w:tc>
          <w:tcPr>
            <w:tcW w:w="5709" w:type="dxa"/>
          </w:tcPr>
          <w:p w14:paraId="72D8290C" w14:textId="77777777" w:rsidR="00E126C8" w:rsidRPr="00E126C8" w:rsidRDefault="00E126C8" w:rsidP="00FD4EE0">
            <w:pPr>
              <w:spacing w:before="40" w:after="40"/>
              <w:rPr>
                <w:sz w:val="18"/>
                <w:szCs w:val="18"/>
              </w:rPr>
            </w:pPr>
            <w:r w:rsidRPr="00E126C8">
              <w:rPr>
                <w:sz w:val="18"/>
                <w:szCs w:val="18"/>
              </w:rPr>
              <w:t xml:space="preserve">Pesticides, biocides and topical antiseptics </w:t>
            </w:r>
          </w:p>
        </w:tc>
        <w:tc>
          <w:tcPr>
            <w:tcW w:w="2598" w:type="dxa"/>
          </w:tcPr>
          <w:p w14:paraId="69ABAA71" w14:textId="77777777" w:rsidR="00E126C8" w:rsidRPr="00E126C8" w:rsidRDefault="00E126C8" w:rsidP="00FD4EE0">
            <w:pPr>
              <w:spacing w:before="40" w:after="40"/>
              <w:rPr>
                <w:sz w:val="18"/>
                <w:szCs w:val="18"/>
              </w:rPr>
            </w:pPr>
            <w:r w:rsidRPr="00E126C8">
              <w:rPr>
                <w:sz w:val="18"/>
                <w:szCs w:val="18"/>
              </w:rPr>
              <w:t>2020</w:t>
            </w:r>
          </w:p>
        </w:tc>
      </w:tr>
      <w:tr w:rsidR="00E126C8" w:rsidRPr="00E126C8" w14:paraId="0C290A73" w14:textId="77777777" w:rsidTr="00FD4EE0">
        <w:trPr>
          <w:trHeight w:val="57"/>
          <w:jc w:val="right"/>
        </w:trPr>
        <w:tc>
          <w:tcPr>
            <w:tcW w:w="5709" w:type="dxa"/>
          </w:tcPr>
          <w:p w14:paraId="6E08FB52" w14:textId="77777777" w:rsidR="00E126C8" w:rsidRPr="00E126C8" w:rsidRDefault="00E126C8" w:rsidP="00FD4EE0">
            <w:pPr>
              <w:spacing w:before="40" w:after="40"/>
              <w:rPr>
                <w:sz w:val="18"/>
                <w:szCs w:val="18"/>
              </w:rPr>
            </w:pPr>
            <w:r w:rsidRPr="00E126C8">
              <w:rPr>
                <w:sz w:val="18"/>
                <w:szCs w:val="18"/>
              </w:rPr>
              <w:t>The following non-electronic measuring devices except non</w:t>
            </w:r>
            <w:r w:rsidRPr="00E126C8">
              <w:rPr>
                <w:sz w:val="18"/>
                <w:szCs w:val="18"/>
              </w:rPr>
              <w:noBreakHyphen/>
              <w:t>electronic measuring devices installed in large-scale equipment or those used for high precision measurement, where no suitable mercury</w:t>
            </w:r>
            <w:r w:rsidRPr="00E126C8">
              <w:rPr>
                <w:sz w:val="18"/>
                <w:szCs w:val="18"/>
              </w:rPr>
              <w:noBreakHyphen/>
              <w:t>free alternative is available:</w:t>
            </w:r>
          </w:p>
          <w:p w14:paraId="699E704C" w14:textId="77777777" w:rsidR="00E126C8" w:rsidRPr="00E126C8" w:rsidRDefault="00E126C8" w:rsidP="00E126C8">
            <w:pPr>
              <w:numPr>
                <w:ilvl w:val="0"/>
                <w:numId w:val="22"/>
              </w:numPr>
              <w:tabs>
                <w:tab w:val="clear" w:pos="1247"/>
                <w:tab w:val="clear" w:pos="1814"/>
                <w:tab w:val="clear" w:pos="2381"/>
                <w:tab w:val="clear" w:pos="2948"/>
                <w:tab w:val="clear" w:pos="3515"/>
              </w:tabs>
              <w:spacing w:before="40" w:after="40"/>
              <w:rPr>
                <w:sz w:val="18"/>
                <w:szCs w:val="18"/>
              </w:rPr>
            </w:pPr>
            <w:r w:rsidRPr="00E126C8">
              <w:rPr>
                <w:sz w:val="18"/>
                <w:szCs w:val="18"/>
              </w:rPr>
              <w:t>Barometers;</w:t>
            </w:r>
          </w:p>
          <w:p w14:paraId="7E470905" w14:textId="77777777" w:rsidR="00E126C8" w:rsidRPr="00E126C8" w:rsidRDefault="00E126C8" w:rsidP="00E126C8">
            <w:pPr>
              <w:numPr>
                <w:ilvl w:val="0"/>
                <w:numId w:val="22"/>
              </w:numPr>
              <w:tabs>
                <w:tab w:val="clear" w:pos="1247"/>
                <w:tab w:val="clear" w:pos="1814"/>
                <w:tab w:val="clear" w:pos="2381"/>
                <w:tab w:val="clear" w:pos="2948"/>
                <w:tab w:val="clear" w:pos="3515"/>
              </w:tabs>
              <w:spacing w:before="40" w:after="40"/>
              <w:rPr>
                <w:sz w:val="18"/>
                <w:szCs w:val="18"/>
              </w:rPr>
            </w:pPr>
            <w:r w:rsidRPr="00E126C8">
              <w:rPr>
                <w:sz w:val="18"/>
                <w:szCs w:val="18"/>
              </w:rPr>
              <w:t>Hygrometers;</w:t>
            </w:r>
          </w:p>
          <w:p w14:paraId="0631F6DC" w14:textId="77777777" w:rsidR="00E126C8" w:rsidRPr="00E126C8" w:rsidRDefault="00E126C8" w:rsidP="00E126C8">
            <w:pPr>
              <w:numPr>
                <w:ilvl w:val="0"/>
                <w:numId w:val="22"/>
              </w:numPr>
              <w:tabs>
                <w:tab w:val="clear" w:pos="1247"/>
                <w:tab w:val="clear" w:pos="1814"/>
                <w:tab w:val="clear" w:pos="2381"/>
                <w:tab w:val="clear" w:pos="2948"/>
                <w:tab w:val="clear" w:pos="3515"/>
              </w:tabs>
              <w:spacing w:before="40" w:after="40"/>
              <w:rPr>
                <w:sz w:val="18"/>
                <w:szCs w:val="18"/>
              </w:rPr>
            </w:pPr>
            <w:r w:rsidRPr="00E126C8">
              <w:rPr>
                <w:sz w:val="18"/>
                <w:szCs w:val="18"/>
              </w:rPr>
              <w:t>Manometers;</w:t>
            </w:r>
          </w:p>
          <w:p w14:paraId="45D81B15" w14:textId="77777777" w:rsidR="00E126C8" w:rsidRPr="00E126C8" w:rsidRDefault="00E126C8" w:rsidP="00E126C8">
            <w:pPr>
              <w:numPr>
                <w:ilvl w:val="0"/>
                <w:numId w:val="22"/>
              </w:numPr>
              <w:tabs>
                <w:tab w:val="clear" w:pos="1247"/>
                <w:tab w:val="clear" w:pos="1814"/>
                <w:tab w:val="clear" w:pos="2381"/>
                <w:tab w:val="clear" w:pos="2948"/>
                <w:tab w:val="clear" w:pos="3515"/>
              </w:tabs>
              <w:spacing w:before="40" w:after="40"/>
              <w:rPr>
                <w:sz w:val="18"/>
                <w:szCs w:val="18"/>
              </w:rPr>
            </w:pPr>
            <w:r w:rsidRPr="00E126C8">
              <w:rPr>
                <w:sz w:val="18"/>
                <w:szCs w:val="18"/>
              </w:rPr>
              <w:t>Thermometers;</w:t>
            </w:r>
          </w:p>
          <w:p w14:paraId="0E93C135" w14:textId="77777777" w:rsidR="00E126C8" w:rsidRPr="00E126C8" w:rsidRDefault="00E126C8" w:rsidP="00E126C8">
            <w:pPr>
              <w:numPr>
                <w:ilvl w:val="0"/>
                <w:numId w:val="22"/>
              </w:numPr>
              <w:tabs>
                <w:tab w:val="clear" w:pos="1247"/>
                <w:tab w:val="clear" w:pos="1814"/>
                <w:tab w:val="clear" w:pos="2381"/>
                <w:tab w:val="clear" w:pos="2948"/>
                <w:tab w:val="clear" w:pos="3515"/>
              </w:tabs>
              <w:spacing w:before="40" w:after="40"/>
              <w:rPr>
                <w:sz w:val="18"/>
                <w:szCs w:val="18"/>
              </w:rPr>
            </w:pPr>
            <w:r w:rsidRPr="00E126C8">
              <w:rPr>
                <w:sz w:val="18"/>
                <w:szCs w:val="18"/>
              </w:rPr>
              <w:t>Sphygmomanometers.</w:t>
            </w:r>
          </w:p>
        </w:tc>
        <w:tc>
          <w:tcPr>
            <w:tcW w:w="2598" w:type="dxa"/>
          </w:tcPr>
          <w:p w14:paraId="5567DA28" w14:textId="77777777" w:rsidR="00E126C8" w:rsidRPr="00E126C8" w:rsidRDefault="00E126C8" w:rsidP="00FD4EE0">
            <w:pPr>
              <w:spacing w:before="40" w:after="40"/>
              <w:rPr>
                <w:sz w:val="18"/>
                <w:szCs w:val="18"/>
              </w:rPr>
            </w:pPr>
            <w:r w:rsidRPr="00E126C8">
              <w:rPr>
                <w:sz w:val="18"/>
                <w:szCs w:val="18"/>
              </w:rPr>
              <w:t>2020</w:t>
            </w:r>
          </w:p>
        </w:tc>
      </w:tr>
      <w:tr w:rsidR="00E126C8" w:rsidRPr="00E126C8" w14:paraId="26ADF7A9" w14:textId="77777777" w:rsidTr="00FD4EE0">
        <w:trPr>
          <w:trHeight w:val="57"/>
          <w:jc w:val="right"/>
        </w:trPr>
        <w:tc>
          <w:tcPr>
            <w:tcW w:w="5709" w:type="dxa"/>
          </w:tcPr>
          <w:p w14:paraId="1D82900F" w14:textId="77777777" w:rsidR="00E126C8" w:rsidRPr="00E126C8" w:rsidRDefault="00E126C8" w:rsidP="00FD4EE0">
            <w:pPr>
              <w:spacing w:before="40" w:after="40"/>
              <w:rPr>
                <w:sz w:val="18"/>
                <w:szCs w:val="18"/>
              </w:rPr>
            </w:pPr>
            <w:r w:rsidRPr="00E126C8">
              <w:rPr>
                <w:sz w:val="18"/>
                <w:szCs w:val="18"/>
              </w:rPr>
              <w:t xml:space="preserve">Strain gauges to be used in plethysmographs; </w:t>
            </w:r>
          </w:p>
        </w:tc>
        <w:tc>
          <w:tcPr>
            <w:tcW w:w="2598" w:type="dxa"/>
          </w:tcPr>
          <w:p w14:paraId="34DD3E5B"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3513E4FE" w14:textId="77777777" w:rsidTr="00FD4EE0">
        <w:trPr>
          <w:trHeight w:val="57"/>
          <w:jc w:val="right"/>
        </w:trPr>
        <w:tc>
          <w:tcPr>
            <w:tcW w:w="5709" w:type="dxa"/>
          </w:tcPr>
          <w:p w14:paraId="7B02D69F" w14:textId="77777777" w:rsidR="00E126C8" w:rsidRPr="00E126C8" w:rsidRDefault="00E126C8" w:rsidP="00FD4EE0">
            <w:pPr>
              <w:spacing w:before="40" w:after="40"/>
              <w:rPr>
                <w:sz w:val="18"/>
                <w:szCs w:val="18"/>
              </w:rPr>
            </w:pPr>
            <w:r w:rsidRPr="00E126C8">
              <w:rPr>
                <w:sz w:val="18"/>
                <w:szCs w:val="18"/>
              </w:rPr>
              <w:t>The following electrical and electronic measuring devices,</w:t>
            </w:r>
            <w:r w:rsidRPr="00E126C8">
              <w:rPr>
                <w:color w:val="FF0000"/>
                <w:sz w:val="18"/>
                <w:szCs w:val="18"/>
              </w:rPr>
              <w:t xml:space="preserve"> </w:t>
            </w:r>
            <w:r w:rsidRPr="00E126C8">
              <w:rPr>
                <w:sz w:val="18"/>
                <w:szCs w:val="18"/>
              </w:rPr>
              <w:t>except those installed in large-scale equipment or those used for high precision measurement, where no suitable mercury</w:t>
            </w:r>
            <w:r w:rsidRPr="00E126C8">
              <w:rPr>
                <w:sz w:val="18"/>
                <w:szCs w:val="18"/>
              </w:rPr>
              <w:noBreakHyphen/>
              <w:t>free alternative is available:</w:t>
            </w:r>
          </w:p>
          <w:p w14:paraId="36F095DC" w14:textId="77777777" w:rsidR="00E126C8" w:rsidRPr="00E126C8" w:rsidRDefault="00E126C8" w:rsidP="00E126C8">
            <w:pPr>
              <w:keepNext/>
              <w:keepLines/>
              <w:numPr>
                <w:ilvl w:val="0"/>
                <w:numId w:val="23"/>
              </w:numPr>
              <w:tabs>
                <w:tab w:val="clear" w:pos="1247"/>
                <w:tab w:val="clear" w:pos="1814"/>
                <w:tab w:val="clear" w:pos="2381"/>
                <w:tab w:val="clear" w:pos="2948"/>
                <w:tab w:val="clear" w:pos="3515"/>
              </w:tabs>
              <w:spacing w:before="60" w:after="40"/>
              <w:ind w:left="357" w:hanging="357"/>
              <w:rPr>
                <w:sz w:val="18"/>
                <w:szCs w:val="18"/>
              </w:rPr>
            </w:pPr>
            <w:r w:rsidRPr="00E126C8">
              <w:rPr>
                <w:sz w:val="18"/>
                <w:szCs w:val="18"/>
              </w:rPr>
              <w:lastRenderedPageBreak/>
              <w:t>Melt pressure transducers, melt pressure transmitters and melt pressure sensors</w:t>
            </w:r>
          </w:p>
        </w:tc>
        <w:tc>
          <w:tcPr>
            <w:tcW w:w="2598" w:type="dxa"/>
          </w:tcPr>
          <w:p w14:paraId="46B1FBC1" w14:textId="77777777" w:rsidR="00E126C8" w:rsidRPr="00E126C8" w:rsidRDefault="00E126C8" w:rsidP="00FD4EE0">
            <w:pPr>
              <w:spacing w:before="40" w:after="40"/>
              <w:rPr>
                <w:sz w:val="18"/>
                <w:szCs w:val="18"/>
              </w:rPr>
            </w:pPr>
            <w:r w:rsidRPr="00E126C8">
              <w:rPr>
                <w:sz w:val="18"/>
                <w:szCs w:val="18"/>
              </w:rPr>
              <w:lastRenderedPageBreak/>
              <w:t>2025</w:t>
            </w:r>
          </w:p>
        </w:tc>
      </w:tr>
      <w:tr w:rsidR="00E126C8" w:rsidRPr="00E126C8" w14:paraId="0D8CE92E" w14:textId="77777777" w:rsidTr="00FD4EE0">
        <w:trPr>
          <w:trHeight w:val="57"/>
          <w:jc w:val="right"/>
        </w:trPr>
        <w:tc>
          <w:tcPr>
            <w:tcW w:w="5709" w:type="dxa"/>
          </w:tcPr>
          <w:p w14:paraId="5744C1DC" w14:textId="77777777" w:rsidR="00E126C8" w:rsidRPr="00E126C8" w:rsidRDefault="00E126C8" w:rsidP="00FD4EE0">
            <w:pPr>
              <w:spacing w:before="40" w:after="40"/>
              <w:rPr>
                <w:sz w:val="18"/>
                <w:szCs w:val="18"/>
              </w:rPr>
            </w:pPr>
            <w:r w:rsidRPr="00E126C8">
              <w:rPr>
                <w:color w:val="000000"/>
                <w:sz w:val="18"/>
                <w:szCs w:val="18"/>
              </w:rPr>
              <w:t>Mercury vacuum pumps</w:t>
            </w:r>
          </w:p>
        </w:tc>
        <w:tc>
          <w:tcPr>
            <w:tcW w:w="2598" w:type="dxa"/>
          </w:tcPr>
          <w:p w14:paraId="03CDE9BF"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5C4C533F" w14:textId="77777777" w:rsidTr="00FD4EE0">
        <w:trPr>
          <w:trHeight w:val="57"/>
          <w:jc w:val="right"/>
        </w:trPr>
        <w:tc>
          <w:tcPr>
            <w:tcW w:w="5709" w:type="dxa"/>
          </w:tcPr>
          <w:p w14:paraId="71DA444D" w14:textId="77777777" w:rsidR="00E126C8" w:rsidRPr="00E126C8" w:rsidRDefault="00E126C8" w:rsidP="00FD4EE0">
            <w:pPr>
              <w:spacing w:before="40" w:after="40"/>
              <w:rPr>
                <w:sz w:val="18"/>
                <w:szCs w:val="18"/>
              </w:rPr>
            </w:pPr>
            <w:r w:rsidRPr="00E126C8">
              <w:rPr>
                <w:sz w:val="18"/>
                <w:szCs w:val="18"/>
              </w:rPr>
              <w:t>Tyre balancers and wheel weights</w:t>
            </w:r>
          </w:p>
        </w:tc>
        <w:tc>
          <w:tcPr>
            <w:tcW w:w="2598" w:type="dxa"/>
          </w:tcPr>
          <w:p w14:paraId="5D7B3FD2"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3134FED5" w14:textId="77777777" w:rsidTr="00FD4EE0">
        <w:trPr>
          <w:trHeight w:val="57"/>
          <w:jc w:val="right"/>
        </w:trPr>
        <w:tc>
          <w:tcPr>
            <w:tcW w:w="5709" w:type="dxa"/>
          </w:tcPr>
          <w:p w14:paraId="772290AB" w14:textId="77777777" w:rsidR="00E126C8" w:rsidRPr="00E126C8" w:rsidRDefault="00E126C8" w:rsidP="00FD4EE0">
            <w:pPr>
              <w:spacing w:before="40" w:after="40"/>
              <w:rPr>
                <w:sz w:val="18"/>
                <w:szCs w:val="18"/>
              </w:rPr>
            </w:pPr>
            <w:r w:rsidRPr="00E126C8">
              <w:rPr>
                <w:sz w:val="18"/>
                <w:szCs w:val="18"/>
              </w:rPr>
              <w:t>Photographic film and paper</w:t>
            </w:r>
          </w:p>
        </w:tc>
        <w:tc>
          <w:tcPr>
            <w:tcW w:w="2598" w:type="dxa"/>
          </w:tcPr>
          <w:p w14:paraId="0414E8D6"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4A7616C3" w14:textId="77777777" w:rsidTr="00FD4EE0">
        <w:trPr>
          <w:trHeight w:val="336"/>
          <w:jc w:val="right"/>
        </w:trPr>
        <w:tc>
          <w:tcPr>
            <w:tcW w:w="5709" w:type="dxa"/>
          </w:tcPr>
          <w:p w14:paraId="592107D8" w14:textId="77777777" w:rsidR="00E126C8" w:rsidRPr="00E126C8" w:rsidRDefault="00E126C8" w:rsidP="00FD4EE0">
            <w:pPr>
              <w:spacing w:before="40" w:after="40"/>
              <w:rPr>
                <w:sz w:val="18"/>
                <w:szCs w:val="18"/>
              </w:rPr>
            </w:pPr>
            <w:r w:rsidRPr="00E126C8">
              <w:rPr>
                <w:sz w:val="18"/>
                <w:szCs w:val="18"/>
              </w:rPr>
              <w:t>Propellant for satellites and spacecraft</w:t>
            </w:r>
          </w:p>
        </w:tc>
        <w:tc>
          <w:tcPr>
            <w:tcW w:w="2598" w:type="dxa"/>
          </w:tcPr>
          <w:p w14:paraId="6336DAD5" w14:textId="77777777" w:rsidR="00E126C8" w:rsidRPr="00E126C8" w:rsidRDefault="00E126C8" w:rsidP="00FD4EE0">
            <w:pPr>
              <w:spacing w:before="40" w:after="40"/>
              <w:rPr>
                <w:sz w:val="18"/>
                <w:szCs w:val="18"/>
              </w:rPr>
            </w:pPr>
            <w:r w:rsidRPr="00E126C8">
              <w:rPr>
                <w:sz w:val="18"/>
                <w:szCs w:val="18"/>
              </w:rPr>
              <w:t>2025</w:t>
            </w:r>
          </w:p>
        </w:tc>
      </w:tr>
      <w:tr w:rsidR="00E126C8" w:rsidRPr="00E126C8" w14:paraId="4346B50F" w14:textId="77777777" w:rsidTr="00FD4EE0">
        <w:trPr>
          <w:trHeight w:val="604"/>
          <w:jc w:val="right"/>
        </w:trPr>
        <w:tc>
          <w:tcPr>
            <w:tcW w:w="5709" w:type="dxa"/>
            <w:shd w:val="clear" w:color="auto" w:fill="D9D9D9"/>
          </w:tcPr>
          <w:p w14:paraId="2F541A92" w14:textId="77777777" w:rsidR="00E126C8" w:rsidRPr="00E126C8" w:rsidRDefault="00E126C8" w:rsidP="00FD4EE0">
            <w:pPr>
              <w:spacing w:before="40" w:after="40"/>
              <w:rPr>
                <w:sz w:val="18"/>
                <w:szCs w:val="18"/>
              </w:rPr>
            </w:pPr>
            <w:r w:rsidRPr="00E126C8">
              <w:rPr>
                <w:sz w:val="18"/>
                <w:szCs w:val="18"/>
              </w:rPr>
              <w:t>Dental amalgam, except for when its use is considered necessary by the dental practitioner based on the needs of the patient</w:t>
            </w:r>
          </w:p>
        </w:tc>
        <w:tc>
          <w:tcPr>
            <w:tcW w:w="2598" w:type="dxa"/>
            <w:shd w:val="clear" w:color="auto" w:fill="D9D9D9"/>
          </w:tcPr>
          <w:p w14:paraId="488C23D0" w14:textId="77777777" w:rsidR="00E126C8" w:rsidRPr="00E126C8" w:rsidRDefault="00E126C8" w:rsidP="00FD4EE0">
            <w:pPr>
              <w:spacing w:before="40" w:after="40"/>
              <w:rPr>
                <w:sz w:val="18"/>
                <w:szCs w:val="18"/>
              </w:rPr>
            </w:pPr>
            <w:r w:rsidRPr="00E126C8">
              <w:rPr>
                <w:sz w:val="18"/>
                <w:szCs w:val="18"/>
              </w:rPr>
              <w:t>2034</w:t>
            </w:r>
          </w:p>
        </w:tc>
      </w:tr>
    </w:tbl>
    <w:p w14:paraId="70396EF6" w14:textId="45933E12" w:rsidR="007A5982" w:rsidRPr="00337EEA" w:rsidRDefault="00F715A5" w:rsidP="00D62786">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after="120"/>
        <w:ind w:left="1247"/>
        <w:rPr>
          <w:sz w:val="18"/>
          <w:szCs w:val="18"/>
        </w:rPr>
      </w:pPr>
      <w:r w:rsidRPr="00337EEA">
        <w:rPr>
          <w:sz w:val="18"/>
          <w:szCs w:val="18"/>
          <w:vertAlign w:val="superscript"/>
        </w:rPr>
        <w:tab/>
      </w:r>
      <w:r w:rsidR="007A5982" w:rsidRPr="00337EEA">
        <w:rPr>
          <w:sz w:val="18"/>
          <w:szCs w:val="18"/>
          <w:vertAlign w:val="superscript"/>
        </w:rPr>
        <w:t>1/</w:t>
      </w:r>
      <w:r w:rsidR="007A5982" w:rsidRPr="00337EEA">
        <w:rPr>
          <w:sz w:val="18"/>
          <w:szCs w:val="18"/>
        </w:rPr>
        <w:t xml:space="preserve"> The intention is not to cover cosmetics, soaps or creams with trace contaminants of mercury.</w:t>
      </w:r>
    </w:p>
    <w:p w14:paraId="6662CCAD" w14:textId="48A74618" w:rsidR="007A5982" w:rsidRPr="00337EEA" w:rsidRDefault="00102962" w:rsidP="009F5A4A">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47" w:firstLine="624"/>
        <w:rPr>
          <w:rFonts w:asciiTheme="majorBidi" w:hAnsiTheme="majorBidi" w:cstheme="majorBidi"/>
          <w:iCs/>
        </w:rPr>
      </w:pPr>
      <w:r w:rsidRPr="00337EEA">
        <w:rPr>
          <w:rFonts w:asciiTheme="majorBidi" w:hAnsiTheme="majorBidi" w:cstheme="majorBidi"/>
          <w:i/>
        </w:rPr>
        <w:t>Also d</w:t>
      </w:r>
      <w:r w:rsidR="007A5982" w:rsidRPr="00337EEA">
        <w:rPr>
          <w:rFonts w:asciiTheme="majorBidi" w:hAnsiTheme="majorBidi" w:cstheme="majorBidi"/>
          <w:i/>
        </w:rPr>
        <w:t>ecides</w:t>
      </w:r>
      <w:r w:rsidR="007A5982" w:rsidRPr="00337EEA">
        <w:rPr>
          <w:rFonts w:asciiTheme="majorBidi" w:hAnsiTheme="majorBidi" w:cstheme="majorBidi"/>
          <w:iCs/>
        </w:rPr>
        <w:t xml:space="preserve"> to undertake</w:t>
      </w:r>
      <w:r w:rsidR="0042589E" w:rsidRPr="00337EEA">
        <w:rPr>
          <w:rFonts w:asciiTheme="majorBidi" w:hAnsiTheme="majorBidi" w:cstheme="majorBidi"/>
          <w:iCs/>
        </w:rPr>
        <w:t>,</w:t>
      </w:r>
      <w:r w:rsidR="007A5982" w:rsidRPr="00337EEA">
        <w:rPr>
          <w:rFonts w:asciiTheme="majorBidi" w:hAnsiTheme="majorBidi" w:cstheme="majorBidi"/>
          <w:iCs/>
        </w:rPr>
        <w:t xml:space="preserve"> at its twelfth meeting</w:t>
      </w:r>
      <w:r w:rsidR="0042589E" w:rsidRPr="00337EEA">
        <w:rPr>
          <w:rFonts w:asciiTheme="majorBidi" w:hAnsiTheme="majorBidi" w:cstheme="majorBidi"/>
          <w:iCs/>
        </w:rPr>
        <w:t>,</w:t>
      </w:r>
      <w:r w:rsidR="007A5982" w:rsidRPr="00337EEA">
        <w:rPr>
          <w:rFonts w:asciiTheme="majorBidi" w:hAnsiTheme="majorBidi" w:cstheme="majorBidi"/>
          <w:iCs/>
        </w:rPr>
        <w:t xml:space="preserve"> a review o</w:t>
      </w:r>
      <w:r w:rsidR="0042589E" w:rsidRPr="00337EEA">
        <w:rPr>
          <w:rFonts w:asciiTheme="majorBidi" w:hAnsiTheme="majorBidi" w:cstheme="majorBidi"/>
          <w:iCs/>
        </w:rPr>
        <w:t>f</w:t>
      </w:r>
      <w:r w:rsidR="007A5982" w:rsidRPr="00337EEA">
        <w:rPr>
          <w:rFonts w:asciiTheme="majorBidi" w:hAnsiTheme="majorBidi" w:cstheme="majorBidi"/>
          <w:iCs/>
        </w:rPr>
        <w:t xml:space="preserve"> the need for the exception to use dental amalgam considered in part I of annex A to the Convention</w:t>
      </w:r>
      <w:r w:rsidR="00CA1CFE" w:rsidRPr="00337EEA">
        <w:rPr>
          <w:rFonts w:asciiTheme="majorBidi" w:hAnsiTheme="majorBidi" w:cstheme="majorBidi"/>
          <w:iCs/>
        </w:rPr>
        <w:t>;</w:t>
      </w:r>
    </w:p>
    <w:p w14:paraId="7752E5AE" w14:textId="2784032C" w:rsidR="007A5982" w:rsidRPr="00337EEA" w:rsidRDefault="00D715DD" w:rsidP="007E31D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iCs/>
        </w:rPr>
      </w:pPr>
      <w:r w:rsidRPr="00337EEA">
        <w:rPr>
          <w:rFonts w:asciiTheme="majorBidi" w:hAnsiTheme="majorBidi" w:cstheme="majorBidi"/>
          <w:i/>
          <w:iCs/>
        </w:rPr>
        <w:t xml:space="preserve">Further </w:t>
      </w:r>
      <w:r w:rsidR="00A55CCF" w:rsidRPr="00337EEA">
        <w:rPr>
          <w:rFonts w:asciiTheme="majorBidi" w:hAnsiTheme="majorBidi" w:cstheme="majorBidi"/>
          <w:i/>
          <w:iCs/>
        </w:rPr>
        <w:t>d</w:t>
      </w:r>
      <w:r w:rsidR="007A5982" w:rsidRPr="00337EEA">
        <w:rPr>
          <w:rFonts w:asciiTheme="majorBidi" w:hAnsiTheme="majorBidi" w:cstheme="majorBidi"/>
          <w:i/>
          <w:iCs/>
        </w:rPr>
        <w:t xml:space="preserve">ecides </w:t>
      </w:r>
      <w:r w:rsidR="007A5982" w:rsidRPr="00337EEA">
        <w:rPr>
          <w:rFonts w:asciiTheme="majorBidi" w:hAnsiTheme="majorBidi" w:cstheme="majorBidi"/>
        </w:rPr>
        <w:t>to amend part II of annex A to the Convention as set out in the following table</w:t>
      </w:r>
      <w:r w:rsidR="008245FF" w:rsidRPr="00337EEA">
        <w:rPr>
          <w:rFonts w:asciiTheme="majorBidi" w:hAnsiTheme="majorBidi" w:cstheme="majorBidi"/>
        </w:rPr>
        <w:t>:</w:t>
      </w:r>
      <w:r w:rsidR="007A5982" w:rsidRPr="00337EEA">
        <w:rPr>
          <w:rFonts w:asciiTheme="majorBidi" w:hAnsiTheme="majorBidi" w:cstheme="majorBidi"/>
          <w:vertAlign w:val="superscript"/>
        </w:rPr>
        <w:footnoteReference w:id="3"/>
      </w:r>
    </w:p>
    <w:tbl>
      <w:tblPr>
        <w:tblW w:w="83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09"/>
        <w:gridCol w:w="5798"/>
      </w:tblGrid>
      <w:tr w:rsidR="0016431F" w:rsidRPr="0016431F" w14:paraId="1262E0CB" w14:textId="77777777" w:rsidTr="00FD4EE0">
        <w:trPr>
          <w:trHeight w:val="57"/>
          <w:tblHeader/>
          <w:jc w:val="right"/>
        </w:trPr>
        <w:tc>
          <w:tcPr>
            <w:tcW w:w="2509" w:type="dxa"/>
            <w:tcBorders>
              <w:bottom w:val="single" w:sz="4" w:space="0" w:color="auto"/>
            </w:tcBorders>
            <w:vAlign w:val="bottom"/>
          </w:tcPr>
          <w:p w14:paraId="1C5CED18" w14:textId="77777777" w:rsidR="0016431F" w:rsidRPr="0016431F"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rPr>
            </w:pPr>
            <w:r w:rsidRPr="0016431F">
              <w:rPr>
                <w:rFonts w:asciiTheme="majorBidi" w:hAnsiTheme="majorBidi" w:cstheme="majorBidi"/>
                <w:i/>
                <w:iCs/>
                <w:sz w:val="18"/>
                <w:szCs w:val="18"/>
              </w:rPr>
              <w:t>Mercury-added products</w:t>
            </w:r>
          </w:p>
        </w:tc>
        <w:tc>
          <w:tcPr>
            <w:tcW w:w="5798" w:type="dxa"/>
            <w:vAlign w:val="bottom"/>
          </w:tcPr>
          <w:p w14:paraId="34008108" w14:textId="77777777" w:rsidR="0016431F" w:rsidRPr="0016431F"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rPr>
            </w:pPr>
            <w:r w:rsidRPr="0016431F">
              <w:rPr>
                <w:rFonts w:asciiTheme="majorBidi" w:hAnsiTheme="majorBidi" w:cstheme="majorBidi"/>
                <w:i/>
                <w:iCs/>
                <w:sz w:val="18"/>
                <w:szCs w:val="18"/>
              </w:rPr>
              <w:t xml:space="preserve">Provisions </w:t>
            </w:r>
          </w:p>
        </w:tc>
      </w:tr>
      <w:tr w:rsidR="0016431F" w:rsidRPr="0016431F" w14:paraId="5EE20D83" w14:textId="77777777" w:rsidTr="00FD4EE0">
        <w:trPr>
          <w:trHeight w:val="57"/>
          <w:jc w:val="right"/>
        </w:trPr>
        <w:tc>
          <w:tcPr>
            <w:tcW w:w="2509" w:type="dxa"/>
            <w:vMerge w:val="restart"/>
            <w:tcBorders>
              <w:top w:val="single" w:sz="4" w:space="0" w:color="auto"/>
              <w:bottom w:val="nil"/>
            </w:tcBorders>
          </w:tcPr>
          <w:p w14:paraId="76569583" w14:textId="77777777" w:rsidR="0016431F" w:rsidRPr="0016431F"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b/>
                <w:bCs/>
                <w:sz w:val="18"/>
                <w:szCs w:val="18"/>
              </w:rPr>
            </w:pPr>
            <w:r w:rsidRPr="0016431F">
              <w:rPr>
                <w:rFonts w:asciiTheme="majorBidi" w:hAnsiTheme="majorBidi" w:cstheme="majorBidi"/>
                <w:sz w:val="18"/>
                <w:szCs w:val="18"/>
              </w:rPr>
              <w:t>Dental amalgam</w:t>
            </w:r>
          </w:p>
        </w:tc>
        <w:tc>
          <w:tcPr>
            <w:tcW w:w="5798" w:type="dxa"/>
            <w:tcBorders>
              <w:bottom w:val="nil"/>
            </w:tcBorders>
          </w:tcPr>
          <w:p w14:paraId="72B2A8E7" w14:textId="77777777" w:rsidR="0016431F" w:rsidRPr="0016431F"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16431F">
              <w:rPr>
                <w:rFonts w:asciiTheme="majorBidi" w:hAnsiTheme="majorBidi" w:cstheme="majorBidi"/>
                <w:sz w:val="18"/>
                <w:szCs w:val="18"/>
              </w:rPr>
              <w:t xml:space="preserve">Measures to be taken by a Party to phase down the use of dental amalgam shall take into account the Party’s domestic circumstances and relevant international guidance and shall include two or more </w:t>
            </w:r>
            <w:r w:rsidRPr="0016431F" w:rsidDel="004D3457">
              <w:rPr>
                <w:rFonts w:asciiTheme="majorBidi" w:hAnsiTheme="majorBidi" w:cstheme="majorBidi"/>
                <w:sz w:val="18"/>
                <w:szCs w:val="18"/>
              </w:rPr>
              <w:t xml:space="preserve">of the </w:t>
            </w:r>
            <w:r w:rsidRPr="0016431F">
              <w:rPr>
                <w:rFonts w:asciiTheme="majorBidi" w:hAnsiTheme="majorBidi" w:cstheme="majorBidi"/>
                <w:sz w:val="18"/>
                <w:szCs w:val="18"/>
              </w:rPr>
              <w:t>measures from the following list:</w:t>
            </w:r>
          </w:p>
          <w:p w14:paraId="4B069423"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sz w:val="18"/>
                <w:szCs w:val="18"/>
              </w:rPr>
              <w:t xml:space="preserve">Setting national objectives aiming at dental caries prevention and health promotion, thereby minimizing the need for dental restoration; </w:t>
            </w:r>
          </w:p>
          <w:p w14:paraId="566DE40C"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sz w:val="18"/>
                <w:szCs w:val="18"/>
              </w:rPr>
              <w:t>Setting national objectives aiming at minimizing its use;</w:t>
            </w:r>
          </w:p>
          <w:p w14:paraId="50D27853"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sz w:val="18"/>
                <w:szCs w:val="18"/>
              </w:rPr>
              <w:t>Promoting the use of cost-effective and clinically effective mercury</w:t>
            </w:r>
            <w:r w:rsidRPr="0016431F">
              <w:rPr>
                <w:rFonts w:asciiTheme="majorBidi" w:hAnsiTheme="majorBidi" w:cstheme="majorBidi"/>
                <w:sz w:val="18"/>
                <w:szCs w:val="18"/>
              </w:rPr>
              <w:noBreakHyphen/>
              <w:t xml:space="preserve">free alternatives for dental restoration; </w:t>
            </w:r>
          </w:p>
          <w:p w14:paraId="355EEB6F"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u w:val="single"/>
              </w:rPr>
            </w:pPr>
            <w:r w:rsidRPr="0016431F">
              <w:rPr>
                <w:rFonts w:asciiTheme="majorBidi" w:hAnsiTheme="majorBidi" w:cstheme="majorBidi"/>
                <w:sz w:val="18"/>
                <w:szCs w:val="18"/>
              </w:rPr>
              <w:t>Promoting research and development of quality mercury</w:t>
            </w:r>
            <w:r w:rsidRPr="0016431F">
              <w:rPr>
                <w:rFonts w:asciiTheme="majorBidi" w:hAnsiTheme="majorBidi" w:cstheme="majorBidi"/>
                <w:sz w:val="18"/>
                <w:szCs w:val="18"/>
              </w:rPr>
              <w:noBreakHyphen/>
              <w:t>free materials for dental restoration;</w:t>
            </w:r>
          </w:p>
          <w:p w14:paraId="157ACEA7"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sz w:val="18"/>
                <w:szCs w:val="18"/>
              </w:rPr>
              <w:t>Encouraging representative professional organizations and dental schools to educate and train dental professionals and students on the use of mercury</w:t>
            </w:r>
            <w:r w:rsidRPr="0016431F">
              <w:rPr>
                <w:rFonts w:asciiTheme="majorBidi" w:hAnsiTheme="majorBidi" w:cstheme="majorBidi"/>
                <w:sz w:val="18"/>
                <w:szCs w:val="18"/>
              </w:rPr>
              <w:noBreakHyphen/>
              <w:t>free dental restoration alternatives and on promoting best management practices;</w:t>
            </w:r>
          </w:p>
          <w:p w14:paraId="2356A187"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bCs/>
                <w:sz w:val="18"/>
                <w:szCs w:val="18"/>
              </w:rPr>
              <w:t>D</w:t>
            </w:r>
            <w:r w:rsidRPr="0016431F">
              <w:rPr>
                <w:rFonts w:asciiTheme="majorBidi" w:hAnsiTheme="majorBidi" w:cstheme="majorBidi"/>
                <w:sz w:val="18"/>
                <w:szCs w:val="18"/>
              </w:rPr>
              <w:t>iscouraging insurance policies and programmes that favour dental amalgam use over mercury</w:t>
            </w:r>
            <w:r w:rsidRPr="0016431F">
              <w:rPr>
                <w:rFonts w:asciiTheme="majorBidi" w:hAnsiTheme="majorBidi" w:cstheme="majorBidi"/>
                <w:sz w:val="18"/>
                <w:szCs w:val="18"/>
              </w:rPr>
              <w:noBreakHyphen/>
              <w:t xml:space="preserve">free dental restoration; </w:t>
            </w:r>
          </w:p>
          <w:p w14:paraId="4D7F8F1C"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sz w:val="18"/>
                <w:szCs w:val="18"/>
              </w:rPr>
              <w:t>Encouraging insurance policies and programmes that favour the use of quality alternatives to dental amalgam for dental restoration;</w:t>
            </w:r>
          </w:p>
          <w:p w14:paraId="31A2018F"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sz w:val="18"/>
                <w:szCs w:val="18"/>
              </w:rPr>
              <w:t>Restricting the use of dental amalgam to its encapsulated form;</w:t>
            </w:r>
          </w:p>
          <w:p w14:paraId="2F22A35E" w14:textId="77777777" w:rsidR="0016431F" w:rsidRPr="0016431F" w:rsidRDefault="0016431F" w:rsidP="0016431F">
            <w:pPr>
              <w:numPr>
                <w:ilvl w:val="0"/>
                <w:numId w:val="24"/>
              </w:numPr>
              <w:tabs>
                <w:tab w:val="clear" w:pos="1247"/>
                <w:tab w:val="clear" w:pos="1814"/>
                <w:tab w:val="clear" w:pos="2381"/>
                <w:tab w:val="clear" w:pos="2948"/>
                <w:tab w:val="clear" w:pos="3515"/>
              </w:tabs>
              <w:spacing w:before="40" w:after="40"/>
              <w:ind w:left="454" w:hanging="454"/>
              <w:rPr>
                <w:rFonts w:asciiTheme="majorBidi" w:hAnsiTheme="majorBidi" w:cstheme="majorBidi"/>
                <w:b/>
                <w:bCs/>
                <w:sz w:val="18"/>
                <w:szCs w:val="18"/>
              </w:rPr>
            </w:pPr>
            <w:r w:rsidRPr="0016431F">
              <w:rPr>
                <w:rFonts w:asciiTheme="majorBidi" w:hAnsiTheme="majorBidi" w:cstheme="majorBidi"/>
                <w:sz w:val="18"/>
                <w:szCs w:val="18"/>
              </w:rPr>
              <w:t>Promoting the use of best environmental practices in dental facilities to reduce releases of mercury and mercury compounds to water and land.</w:t>
            </w:r>
          </w:p>
        </w:tc>
      </w:tr>
      <w:tr w:rsidR="0016431F" w:rsidRPr="0016431F" w14:paraId="5E80FD1C" w14:textId="77777777" w:rsidTr="00FD4EE0">
        <w:trPr>
          <w:trHeight w:val="57"/>
          <w:jc w:val="right"/>
        </w:trPr>
        <w:tc>
          <w:tcPr>
            <w:tcW w:w="2509" w:type="dxa"/>
            <w:vMerge/>
            <w:tcBorders>
              <w:bottom w:val="nil"/>
            </w:tcBorders>
          </w:tcPr>
          <w:p w14:paraId="212D358E" w14:textId="77777777" w:rsidR="0016431F" w:rsidRPr="0016431F" w:rsidRDefault="0016431F" w:rsidP="00FD4EE0">
            <w:pPr>
              <w:snapToGrid w:val="0"/>
              <w:spacing w:before="40" w:after="40"/>
              <w:ind w:right="4060"/>
              <w:rPr>
                <w:rFonts w:asciiTheme="majorBidi" w:hAnsiTheme="majorBidi" w:cstheme="majorBidi"/>
                <w:sz w:val="18"/>
                <w:szCs w:val="18"/>
              </w:rPr>
            </w:pPr>
          </w:p>
        </w:tc>
        <w:tc>
          <w:tcPr>
            <w:tcW w:w="5798" w:type="dxa"/>
            <w:tcBorders>
              <w:top w:val="nil"/>
              <w:bottom w:val="nil"/>
            </w:tcBorders>
          </w:tcPr>
          <w:p w14:paraId="5E6C4FB1" w14:textId="77777777" w:rsidR="0016431F" w:rsidRPr="0016431F"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16431F">
              <w:rPr>
                <w:rFonts w:asciiTheme="majorBidi" w:hAnsiTheme="majorBidi" w:cstheme="majorBidi"/>
                <w:sz w:val="18"/>
                <w:szCs w:val="18"/>
              </w:rPr>
              <w:t>In addition, Parties shall:</w:t>
            </w:r>
          </w:p>
          <w:p w14:paraId="7C3A2199" w14:textId="77777777" w:rsidR="0016431F" w:rsidRPr="0016431F" w:rsidRDefault="0016431F" w:rsidP="0016431F">
            <w:pPr>
              <w:numPr>
                <w:ilvl w:val="0"/>
                <w:numId w:val="25"/>
              </w:numPr>
              <w:tabs>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sz w:val="18"/>
                <w:szCs w:val="18"/>
              </w:rPr>
              <w:t xml:space="preserve">Exclude or not allow, by taking measures as appropriate, the use of mercury in bulk form by dental practitioners; </w:t>
            </w:r>
          </w:p>
          <w:p w14:paraId="5D27E4CA" w14:textId="77777777" w:rsidR="0016431F" w:rsidRPr="0016431F" w:rsidRDefault="0016431F" w:rsidP="0016431F">
            <w:pPr>
              <w:numPr>
                <w:ilvl w:val="0"/>
                <w:numId w:val="25"/>
              </w:numPr>
              <w:tabs>
                <w:tab w:val="clear" w:pos="1814"/>
                <w:tab w:val="clear" w:pos="2381"/>
                <w:tab w:val="clear" w:pos="2948"/>
                <w:tab w:val="clear" w:pos="3515"/>
              </w:tabs>
              <w:spacing w:before="40" w:after="40"/>
              <w:ind w:left="454" w:hanging="454"/>
              <w:rPr>
                <w:rFonts w:asciiTheme="majorBidi" w:hAnsiTheme="majorBidi" w:cstheme="majorBidi"/>
                <w:sz w:val="18"/>
                <w:szCs w:val="18"/>
              </w:rPr>
            </w:pPr>
            <w:r w:rsidRPr="0016431F">
              <w:rPr>
                <w:rFonts w:asciiTheme="majorBidi" w:hAnsiTheme="majorBidi" w:cstheme="majorBidi"/>
                <w:sz w:val="18"/>
                <w:szCs w:val="18"/>
              </w:rPr>
              <w:t>Exclude or not allow, by taking measures as appropriate, or recommend against the use of dental amalgam for the dental treatment of deciduous teeth, of patients under 15 years and of pregnant and breastfeeding women, except when considered necessary by the dental practitioner based on the needs of the patient.</w:t>
            </w:r>
          </w:p>
        </w:tc>
      </w:tr>
      <w:tr w:rsidR="0016431F" w:rsidRPr="0016431F" w14:paraId="7005DBF0" w14:textId="77777777" w:rsidTr="0016431F">
        <w:trPr>
          <w:trHeight w:val="1086"/>
          <w:jc w:val="right"/>
        </w:trPr>
        <w:tc>
          <w:tcPr>
            <w:tcW w:w="2509" w:type="dxa"/>
            <w:vMerge w:val="restart"/>
            <w:tcBorders>
              <w:top w:val="nil"/>
            </w:tcBorders>
          </w:tcPr>
          <w:p w14:paraId="157B1250" w14:textId="77777777" w:rsidR="0016431F" w:rsidRPr="0016431F" w:rsidRDefault="0016431F" w:rsidP="00FD4EE0">
            <w:pPr>
              <w:snapToGrid w:val="0"/>
              <w:spacing w:before="40" w:after="40"/>
              <w:ind w:right="4060"/>
              <w:rPr>
                <w:rFonts w:asciiTheme="majorBidi" w:hAnsiTheme="majorBidi" w:cstheme="majorBidi"/>
                <w:sz w:val="18"/>
                <w:szCs w:val="18"/>
              </w:rPr>
            </w:pPr>
          </w:p>
        </w:tc>
        <w:tc>
          <w:tcPr>
            <w:tcW w:w="5798" w:type="dxa"/>
            <w:tcBorders>
              <w:top w:val="nil"/>
              <w:bottom w:val="single" w:sz="4" w:space="0" w:color="auto"/>
            </w:tcBorders>
          </w:tcPr>
          <w:p w14:paraId="2D7A3332" w14:textId="77777777" w:rsidR="0016431F" w:rsidRPr="0016431F"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16431F">
              <w:rPr>
                <w:rFonts w:asciiTheme="majorBidi" w:hAnsiTheme="majorBidi" w:cstheme="majorBidi"/>
                <w:sz w:val="18"/>
                <w:szCs w:val="18"/>
              </w:rPr>
              <w:t>In addition, Parties that have not yet phased out dental amalgam shall:</w:t>
            </w:r>
          </w:p>
          <w:p w14:paraId="440ADE7B" w14:textId="665DD727" w:rsidR="0016431F" w:rsidRPr="006B01FD" w:rsidRDefault="0016431F" w:rsidP="006B01FD">
            <w:pPr>
              <w:numPr>
                <w:ilvl w:val="0"/>
                <w:numId w:val="42"/>
              </w:numPr>
              <w:tabs>
                <w:tab w:val="clear" w:pos="1814"/>
                <w:tab w:val="clear" w:pos="2381"/>
                <w:tab w:val="clear" w:pos="2948"/>
                <w:tab w:val="clear" w:pos="3515"/>
              </w:tabs>
              <w:spacing w:before="40" w:after="40"/>
              <w:rPr>
                <w:rFonts w:asciiTheme="majorBidi" w:hAnsiTheme="majorBidi" w:cstheme="majorBidi"/>
                <w:sz w:val="18"/>
                <w:szCs w:val="18"/>
              </w:rPr>
            </w:pPr>
            <w:r w:rsidRPr="006B01FD">
              <w:rPr>
                <w:rFonts w:asciiTheme="majorBidi" w:hAnsiTheme="majorBidi" w:cstheme="majorBidi"/>
                <w:sz w:val="18"/>
                <w:szCs w:val="18"/>
              </w:rPr>
              <w:t>Submit to the secretariat a national action plan or a report based on available information with respect to progress they have made or are making to phase down or phase out dental amalgam every four years as part of national reporting.</w:t>
            </w:r>
          </w:p>
        </w:tc>
      </w:tr>
      <w:tr w:rsidR="0016431F" w:rsidRPr="0016431F" w14:paraId="0CA02485" w14:textId="77777777" w:rsidTr="00FD4EE0">
        <w:trPr>
          <w:trHeight w:val="778"/>
          <w:jc w:val="right"/>
        </w:trPr>
        <w:tc>
          <w:tcPr>
            <w:tcW w:w="2509" w:type="dxa"/>
            <w:vMerge/>
          </w:tcPr>
          <w:p w14:paraId="2BD37C6D" w14:textId="77777777" w:rsidR="0016431F" w:rsidRPr="0016431F" w:rsidRDefault="0016431F" w:rsidP="00FD4EE0">
            <w:pPr>
              <w:snapToGrid w:val="0"/>
              <w:spacing w:before="40" w:after="40"/>
              <w:ind w:right="4060"/>
              <w:rPr>
                <w:rFonts w:asciiTheme="majorBidi" w:hAnsiTheme="majorBidi" w:cstheme="majorBidi"/>
                <w:sz w:val="18"/>
                <w:szCs w:val="18"/>
              </w:rPr>
            </w:pPr>
          </w:p>
        </w:tc>
        <w:tc>
          <w:tcPr>
            <w:tcW w:w="5798" w:type="dxa"/>
            <w:tcBorders>
              <w:top w:val="single" w:sz="4" w:space="0" w:color="auto"/>
            </w:tcBorders>
            <w:shd w:val="clear" w:color="auto" w:fill="D9D9D9"/>
          </w:tcPr>
          <w:p w14:paraId="6B592D59" w14:textId="77777777" w:rsidR="0016431F" w:rsidRPr="0016431F" w:rsidRDefault="0016431F" w:rsidP="00FD4EE0">
            <w:pPr>
              <w:spacing w:before="40" w:after="40"/>
              <w:rPr>
                <w:rFonts w:asciiTheme="majorBidi" w:hAnsiTheme="majorBidi" w:cstheme="majorBidi"/>
                <w:sz w:val="18"/>
                <w:szCs w:val="18"/>
              </w:rPr>
            </w:pPr>
            <w:r w:rsidRPr="0016431F">
              <w:rPr>
                <w:rFonts w:asciiTheme="majorBidi" w:hAnsiTheme="majorBidi" w:cstheme="majorBidi"/>
                <w:sz w:val="18"/>
                <w:szCs w:val="18"/>
              </w:rPr>
              <w:t>In addition, Parties that have not yet phased out dental amalgam shall:</w:t>
            </w:r>
          </w:p>
          <w:p w14:paraId="572DA1AC" w14:textId="77777777" w:rsidR="0016431F" w:rsidRPr="0016431F" w:rsidRDefault="0016431F" w:rsidP="00FD4EE0">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rPr>
            </w:pPr>
            <w:r w:rsidRPr="0016431F">
              <w:rPr>
                <w:rFonts w:asciiTheme="majorBidi" w:hAnsiTheme="majorBidi" w:cstheme="majorBidi"/>
                <w:sz w:val="18"/>
                <w:szCs w:val="18"/>
              </w:rPr>
              <w:t>(i)</w:t>
            </w:r>
            <w:r w:rsidRPr="0016431F">
              <w:rPr>
                <w:rFonts w:asciiTheme="majorBidi" w:hAnsiTheme="majorBidi" w:cstheme="majorBidi"/>
                <w:sz w:val="18"/>
                <w:szCs w:val="18"/>
              </w:rPr>
              <w:tab/>
              <w:t>Take measures, as appropriate, to not allow, or significantly phase down, dental amalgam unless its use is considered necessary by the dental practitioner based on the needs of the patient.</w:t>
            </w:r>
          </w:p>
        </w:tc>
      </w:tr>
    </w:tbl>
    <w:p w14:paraId="13603D75" w14:textId="7FF54830" w:rsidR="007A5982" w:rsidRPr="00337EEA" w:rsidRDefault="007A5982" w:rsidP="009F5A4A">
      <w:pPr>
        <w:pStyle w:val="NormalNonumber"/>
        <w:numPr>
          <w:ilvl w:val="0"/>
          <w:numId w:val="26"/>
        </w:numPr>
        <w:tabs>
          <w:tab w:val="clear" w:pos="1247"/>
          <w:tab w:val="clear" w:pos="1871"/>
          <w:tab w:val="clear" w:pos="2495"/>
          <w:tab w:val="clear" w:pos="3119"/>
          <w:tab w:val="clear" w:pos="3742"/>
          <w:tab w:val="clear" w:pos="4366"/>
          <w:tab w:val="clear" w:pos="4990"/>
        </w:tabs>
        <w:spacing w:before="240"/>
        <w:ind w:left="1247" w:firstLine="624"/>
        <w:rPr>
          <w:rFonts w:asciiTheme="majorBidi" w:hAnsiTheme="majorBidi" w:cstheme="majorBidi"/>
        </w:rPr>
      </w:pPr>
      <w:r w:rsidRPr="00337EEA">
        <w:rPr>
          <w:rFonts w:asciiTheme="majorBidi" w:hAnsiTheme="majorBidi" w:cstheme="majorBidi"/>
          <w:i/>
          <w:iCs/>
        </w:rPr>
        <w:t>Recogni</w:t>
      </w:r>
      <w:r w:rsidR="00737AF2" w:rsidRPr="00337EEA">
        <w:rPr>
          <w:rFonts w:asciiTheme="majorBidi" w:hAnsiTheme="majorBidi" w:cstheme="majorBidi"/>
          <w:i/>
          <w:iCs/>
        </w:rPr>
        <w:t>z</w:t>
      </w:r>
      <w:r w:rsidRPr="00337EEA">
        <w:rPr>
          <w:rFonts w:asciiTheme="majorBidi" w:hAnsiTheme="majorBidi" w:cstheme="majorBidi"/>
          <w:i/>
          <w:iCs/>
        </w:rPr>
        <w:t>es</w:t>
      </w:r>
      <w:r w:rsidR="00737AF2" w:rsidRPr="00337EEA">
        <w:rPr>
          <w:rFonts w:asciiTheme="majorBidi" w:hAnsiTheme="majorBidi" w:cstheme="majorBidi"/>
        </w:rPr>
        <w:t xml:space="preserve"> that</w:t>
      </w:r>
      <w:r w:rsidRPr="00337EEA">
        <w:rPr>
          <w:rFonts w:asciiTheme="majorBidi" w:hAnsiTheme="majorBidi" w:cstheme="majorBidi"/>
        </w:rPr>
        <w:t>, for purposes of reporting, for those parties for wh</w:t>
      </w:r>
      <w:r w:rsidR="00933F6D" w:rsidRPr="00337EEA">
        <w:rPr>
          <w:rFonts w:asciiTheme="majorBidi" w:hAnsiTheme="majorBidi" w:cstheme="majorBidi"/>
        </w:rPr>
        <w:t>ic</w:t>
      </w:r>
      <w:r w:rsidR="00F66BC5" w:rsidRPr="00337EEA">
        <w:rPr>
          <w:rFonts w:asciiTheme="majorBidi" w:hAnsiTheme="majorBidi" w:cstheme="majorBidi"/>
        </w:rPr>
        <w:t>h</w:t>
      </w:r>
      <w:r w:rsidRPr="00337EEA">
        <w:rPr>
          <w:rFonts w:asciiTheme="majorBidi" w:hAnsiTheme="majorBidi" w:cstheme="majorBidi"/>
        </w:rPr>
        <w:t xml:space="preserve"> the amendment to part I of annex A has entered into force and </w:t>
      </w:r>
      <w:r w:rsidR="00737AF2" w:rsidRPr="00337EEA">
        <w:rPr>
          <w:rFonts w:asciiTheme="majorBidi" w:hAnsiTheme="majorBidi" w:cstheme="majorBidi"/>
        </w:rPr>
        <w:t>wh</w:t>
      </w:r>
      <w:r w:rsidR="00933F6D" w:rsidRPr="00337EEA">
        <w:rPr>
          <w:rFonts w:asciiTheme="majorBidi" w:hAnsiTheme="majorBidi" w:cstheme="majorBidi"/>
        </w:rPr>
        <w:t>ich</w:t>
      </w:r>
      <w:r w:rsidR="00737AF2" w:rsidRPr="00337EEA">
        <w:rPr>
          <w:rFonts w:asciiTheme="majorBidi" w:hAnsiTheme="majorBidi" w:cstheme="majorBidi"/>
        </w:rPr>
        <w:t xml:space="preserve"> </w:t>
      </w:r>
      <w:r w:rsidRPr="00337EEA">
        <w:rPr>
          <w:rFonts w:asciiTheme="majorBidi" w:hAnsiTheme="majorBidi" w:cstheme="majorBidi"/>
        </w:rPr>
        <w:t xml:space="preserve">have not availed themselves </w:t>
      </w:r>
      <w:r w:rsidR="00737AF2" w:rsidRPr="00337EEA">
        <w:rPr>
          <w:rFonts w:asciiTheme="majorBidi" w:hAnsiTheme="majorBidi" w:cstheme="majorBidi"/>
        </w:rPr>
        <w:t xml:space="preserve">of </w:t>
      </w:r>
      <w:r w:rsidRPr="00337EEA">
        <w:rPr>
          <w:rFonts w:asciiTheme="majorBidi" w:hAnsiTheme="majorBidi" w:cstheme="majorBidi"/>
        </w:rPr>
        <w:t>any exemptions available under article 6, reporting on part II would not be applicable</w:t>
      </w:r>
      <w:r w:rsidR="00CA1CFE" w:rsidRPr="00337EEA">
        <w:rPr>
          <w:rFonts w:asciiTheme="majorBidi" w:hAnsiTheme="majorBidi" w:cstheme="majorBidi"/>
        </w:rPr>
        <w:t>;</w:t>
      </w:r>
    </w:p>
    <w:p w14:paraId="6E227C48" w14:textId="7FDF5537" w:rsidR="007A5982" w:rsidRPr="00337EEA" w:rsidRDefault="007A5982" w:rsidP="007E31D3">
      <w:pPr>
        <w:pStyle w:val="NormalNonumber"/>
        <w:numPr>
          <w:ilvl w:val="0"/>
          <w:numId w:val="2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rPr>
      </w:pPr>
      <w:r w:rsidRPr="00337EEA">
        <w:rPr>
          <w:rFonts w:asciiTheme="majorBidi" w:hAnsiTheme="majorBidi" w:cstheme="majorBidi"/>
          <w:i/>
          <w:iCs/>
        </w:rPr>
        <w:t xml:space="preserve">Requests </w:t>
      </w:r>
      <w:r w:rsidRPr="00337EEA">
        <w:rPr>
          <w:rFonts w:asciiTheme="majorBidi" w:hAnsiTheme="majorBidi" w:cstheme="majorBidi"/>
        </w:rPr>
        <w:t>the secretariat to draft a revised reporting format under article 21 to reflect the amendments to annex A</w:t>
      </w:r>
      <w:r w:rsidR="00AC2446" w:rsidRPr="00337EEA">
        <w:rPr>
          <w:rFonts w:asciiTheme="majorBidi" w:hAnsiTheme="majorBidi" w:cstheme="majorBidi"/>
        </w:rPr>
        <w:t xml:space="preserve"> and</w:t>
      </w:r>
      <w:r w:rsidRPr="00337EEA">
        <w:rPr>
          <w:rFonts w:asciiTheme="majorBidi" w:hAnsiTheme="majorBidi" w:cstheme="majorBidi"/>
        </w:rPr>
        <w:t xml:space="preserve"> to revise the reporting guidance and the online electronic tool thereon.</w:t>
      </w:r>
    </w:p>
    <w:p w14:paraId="6932C904" w14:textId="77777777" w:rsidR="007A5982" w:rsidRDefault="007A5982" w:rsidP="00C03C89">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875B26" w14:paraId="6F0BCDD6" w14:textId="77777777" w:rsidTr="00875B26">
        <w:tc>
          <w:tcPr>
            <w:tcW w:w="1897" w:type="dxa"/>
          </w:tcPr>
          <w:p w14:paraId="75BF03D8" w14:textId="77777777" w:rsidR="00875B26" w:rsidRDefault="00875B26" w:rsidP="00B019F8">
            <w:pPr>
              <w:pStyle w:val="Normal-pool"/>
              <w:spacing w:before="520"/>
            </w:pPr>
          </w:p>
        </w:tc>
        <w:tc>
          <w:tcPr>
            <w:tcW w:w="1897" w:type="dxa"/>
          </w:tcPr>
          <w:p w14:paraId="3C03609E" w14:textId="77777777" w:rsidR="00875B26" w:rsidRDefault="00875B26" w:rsidP="00B019F8">
            <w:pPr>
              <w:pStyle w:val="Normal-pool"/>
              <w:spacing w:before="520"/>
            </w:pPr>
          </w:p>
        </w:tc>
        <w:tc>
          <w:tcPr>
            <w:tcW w:w="1897" w:type="dxa"/>
            <w:tcBorders>
              <w:bottom w:val="single" w:sz="4" w:space="0" w:color="auto"/>
            </w:tcBorders>
          </w:tcPr>
          <w:p w14:paraId="689E5DA5" w14:textId="77777777" w:rsidR="00875B26" w:rsidRDefault="00875B26" w:rsidP="00B019F8">
            <w:pPr>
              <w:pStyle w:val="Normal-pool"/>
              <w:spacing w:before="520"/>
            </w:pPr>
          </w:p>
        </w:tc>
        <w:tc>
          <w:tcPr>
            <w:tcW w:w="1898" w:type="dxa"/>
          </w:tcPr>
          <w:p w14:paraId="1E7B7163" w14:textId="77777777" w:rsidR="00875B26" w:rsidRDefault="00875B26" w:rsidP="00B019F8">
            <w:pPr>
              <w:pStyle w:val="Normal-pool"/>
              <w:spacing w:before="520"/>
            </w:pPr>
          </w:p>
        </w:tc>
        <w:tc>
          <w:tcPr>
            <w:tcW w:w="1898" w:type="dxa"/>
          </w:tcPr>
          <w:p w14:paraId="00B9B2C5" w14:textId="77777777" w:rsidR="00875B26" w:rsidRDefault="00875B26" w:rsidP="00B019F8">
            <w:pPr>
              <w:pStyle w:val="Normal-pool"/>
              <w:spacing w:before="520"/>
            </w:pPr>
          </w:p>
        </w:tc>
      </w:tr>
    </w:tbl>
    <w:p w14:paraId="44A6333D" w14:textId="77777777" w:rsidR="00875B26" w:rsidRDefault="00875B26" w:rsidP="00C03C89">
      <w:pPr>
        <w:pStyle w:val="Normal-pool"/>
      </w:pPr>
    </w:p>
    <w:sectPr w:rsidR="00875B26" w:rsidSect="00F046E6">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A21E" w14:textId="77777777" w:rsidR="002A4A81" w:rsidRPr="00F046E6" w:rsidRDefault="002A4A81">
      <w:r w:rsidRPr="00F046E6">
        <w:separator/>
      </w:r>
    </w:p>
  </w:endnote>
  <w:endnote w:type="continuationSeparator" w:id="0">
    <w:p w14:paraId="7F4029F3" w14:textId="77777777" w:rsidR="002A4A81" w:rsidRPr="00F046E6" w:rsidRDefault="002A4A81">
      <w:r w:rsidRPr="00F046E6">
        <w:continuationSeparator/>
      </w:r>
    </w:p>
  </w:endnote>
  <w:endnote w:type="continuationNotice" w:id="1">
    <w:p w14:paraId="2DA27F5B" w14:textId="77777777" w:rsidR="002A4A81" w:rsidRDefault="002A4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6784" w14:textId="0BC68ACA" w:rsidR="007A36F8" w:rsidRPr="005534E3" w:rsidRDefault="00F046E6" w:rsidP="005534E3">
    <w:pPr>
      <w:pStyle w:val="Footer-pool"/>
    </w:pPr>
    <w:r w:rsidRPr="005534E3">
      <w:rPr>
        <w:rStyle w:val="PageNumber"/>
        <w:b/>
      </w:rPr>
      <w:fldChar w:fldCharType="begin"/>
    </w:r>
    <w:r w:rsidRPr="005534E3">
      <w:rPr>
        <w:rStyle w:val="PageNumber"/>
        <w:b/>
      </w:rPr>
      <w:instrText xml:space="preserve"> PAGE </w:instrText>
    </w:r>
    <w:r w:rsidRPr="005534E3">
      <w:rPr>
        <w:rStyle w:val="PageNumber"/>
        <w:b/>
      </w:rPr>
      <w:fldChar w:fldCharType="separate"/>
    </w:r>
    <w:r w:rsidRPr="005534E3">
      <w:rPr>
        <w:rStyle w:val="PageNumber"/>
        <w:b/>
      </w:rPr>
      <w:t>1</w:t>
    </w:r>
    <w:r w:rsidRPr="005534E3">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D683" w14:textId="545CD0CE" w:rsidR="007A36F8" w:rsidRPr="005534E3" w:rsidRDefault="00F046E6" w:rsidP="005534E3">
    <w:pPr>
      <w:pStyle w:val="Footer-pool"/>
      <w:jc w:val="right"/>
    </w:pPr>
    <w:r w:rsidRPr="005534E3">
      <w:rPr>
        <w:rStyle w:val="PageNumber"/>
        <w:b/>
      </w:rPr>
      <w:fldChar w:fldCharType="begin"/>
    </w:r>
    <w:r w:rsidRPr="005534E3">
      <w:rPr>
        <w:rStyle w:val="PageNumber"/>
        <w:b/>
      </w:rPr>
      <w:instrText xml:space="preserve"> PAGE \* MERGEFORMAT </w:instrText>
    </w:r>
    <w:r w:rsidRPr="005534E3">
      <w:rPr>
        <w:rStyle w:val="PageNumber"/>
        <w:b/>
      </w:rPr>
      <w:fldChar w:fldCharType="separate"/>
    </w:r>
    <w:r w:rsidRPr="005534E3">
      <w:rPr>
        <w:rStyle w:val="PageNumber"/>
        <w:b/>
      </w:rPr>
      <w:t>1</w:t>
    </w:r>
    <w:r w:rsidRPr="005534E3">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7AC4" w14:textId="4E31BDC2" w:rsidR="00F046E6" w:rsidRPr="00F046E6" w:rsidRDefault="0066792B" w:rsidP="00F046E6">
    <w:pPr>
      <w:pStyle w:val="Footer-jobnumber"/>
    </w:pPr>
    <w:bookmarkStart w:id="8" w:name="FooterJobDate"/>
    <w:r>
      <w:t>K2519183[E]</w:t>
    </w:r>
    <w:r>
      <w:tab/>
    </w:r>
    <w:r w:rsidR="00DB7E13">
      <w:t>0212</w:t>
    </w:r>
    <w:r>
      <w:t>25</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01F5" w14:textId="77777777" w:rsidR="002A4A81" w:rsidRPr="00F046E6" w:rsidRDefault="002A4A81" w:rsidP="00C70B49">
      <w:pPr>
        <w:pStyle w:val="Footnote-Separator"/>
        <w:rPr>
          <w:szCs w:val="18"/>
        </w:rPr>
      </w:pPr>
      <w:r w:rsidRPr="00F046E6">
        <w:separator/>
      </w:r>
    </w:p>
  </w:footnote>
  <w:footnote w:type="continuationSeparator" w:id="0">
    <w:p w14:paraId="441408B6" w14:textId="77777777" w:rsidR="002A4A81" w:rsidRPr="00F046E6" w:rsidRDefault="002A4A81" w:rsidP="00C70B49">
      <w:pPr>
        <w:pStyle w:val="Footnote-Separator"/>
      </w:pPr>
      <w:r w:rsidRPr="00F046E6">
        <w:continuationSeparator/>
      </w:r>
    </w:p>
  </w:footnote>
  <w:footnote w:type="continuationNotice" w:id="1">
    <w:p w14:paraId="25261AFA" w14:textId="77777777" w:rsidR="002A4A81" w:rsidRPr="00F046E6" w:rsidRDefault="002A4A81" w:rsidP="00C70B49">
      <w:pPr>
        <w:pStyle w:val="ASpacer"/>
      </w:pPr>
    </w:p>
  </w:footnote>
  <w:footnote w:id="2">
    <w:p w14:paraId="3A4ABA1C" w14:textId="1B214006" w:rsidR="007A5982" w:rsidRPr="007A5982" w:rsidRDefault="007A5982" w:rsidP="007A5982">
      <w:pPr>
        <w:pStyle w:val="Footnote-Text"/>
        <w:tabs>
          <w:tab w:val="clear" w:pos="1247"/>
          <w:tab w:val="clear" w:pos="1871"/>
          <w:tab w:val="clear" w:pos="2495"/>
          <w:tab w:val="clear" w:pos="3119"/>
          <w:tab w:val="clear" w:pos="3742"/>
          <w:tab w:val="clear" w:pos="4366"/>
        </w:tabs>
        <w:rPr>
          <w:szCs w:val="18"/>
        </w:rPr>
      </w:pPr>
      <w:r w:rsidRPr="007A5982">
        <w:rPr>
          <w:rStyle w:val="FootnoteReference"/>
          <w:rFonts w:eastAsia="DengXian Light"/>
          <w:sz w:val="18"/>
        </w:rPr>
        <w:footnoteRef/>
      </w:r>
      <w:r w:rsidRPr="007A5982">
        <w:rPr>
          <w:szCs w:val="18"/>
        </w:rPr>
        <w:t xml:space="preserve"> The added entr</w:t>
      </w:r>
      <w:r w:rsidR="007707AD">
        <w:rPr>
          <w:szCs w:val="18"/>
        </w:rPr>
        <w:t>ies</w:t>
      </w:r>
      <w:r w:rsidRPr="007A5982">
        <w:rPr>
          <w:szCs w:val="18"/>
        </w:rPr>
        <w:t xml:space="preserve"> </w:t>
      </w:r>
      <w:r w:rsidR="007707AD">
        <w:rPr>
          <w:szCs w:val="18"/>
        </w:rPr>
        <w:t>are</w:t>
      </w:r>
      <w:r w:rsidRPr="007A5982">
        <w:rPr>
          <w:szCs w:val="18"/>
        </w:rPr>
        <w:t xml:space="preserve"> shaded in grey.</w:t>
      </w:r>
    </w:p>
  </w:footnote>
  <w:footnote w:id="3">
    <w:p w14:paraId="5FD2AA39" w14:textId="77777777" w:rsidR="007A5982" w:rsidRPr="008F4B0A" w:rsidRDefault="007A5982" w:rsidP="007A5982">
      <w:pPr>
        <w:pStyle w:val="Footnote-Text"/>
        <w:tabs>
          <w:tab w:val="clear" w:pos="1247"/>
          <w:tab w:val="clear" w:pos="1871"/>
          <w:tab w:val="clear" w:pos="2495"/>
          <w:tab w:val="clear" w:pos="3119"/>
          <w:tab w:val="clear" w:pos="3742"/>
          <w:tab w:val="clear" w:pos="4366"/>
        </w:tabs>
        <w:rPr>
          <w:szCs w:val="18"/>
        </w:rPr>
      </w:pPr>
      <w:r w:rsidRPr="008F4B0A">
        <w:rPr>
          <w:rStyle w:val="FootnoteReference"/>
        </w:rPr>
        <w:footnoteRef/>
      </w:r>
      <w:r w:rsidRPr="008F4B0A">
        <w:rPr>
          <w:szCs w:val="18"/>
        </w:rPr>
        <w:t xml:space="preserve"> The added provision is shaded in grey.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9EA8" w14:textId="1176E128" w:rsidR="007A36F8" w:rsidRPr="00F046E6" w:rsidRDefault="00F046E6" w:rsidP="00F046E6">
    <w:pPr>
      <w:pStyle w:val="Header-pool"/>
    </w:pPr>
    <w:r w:rsidRPr="00F046E6">
      <w:fldChar w:fldCharType="begin"/>
    </w:r>
    <w:r w:rsidRPr="00F046E6">
      <w:instrText xml:space="preserve"> StyleRef A_Symbol </w:instrText>
    </w:r>
    <w:r w:rsidRPr="00F046E6">
      <w:fldChar w:fldCharType="separate"/>
    </w:r>
    <w:r w:rsidR="006B01FD">
      <w:rPr>
        <w:noProof/>
      </w:rPr>
      <w:t>UNEP/MC/COP.6/Dec.3</w:t>
    </w:r>
    <w:r w:rsidRPr="00F046E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D92F" w14:textId="771697B5" w:rsidR="007A36F8" w:rsidRPr="00F046E6" w:rsidRDefault="00F046E6" w:rsidP="00F046E6">
    <w:pPr>
      <w:pStyle w:val="Header-pool"/>
      <w:jc w:val="right"/>
    </w:pPr>
    <w:r w:rsidRPr="00F046E6">
      <w:fldChar w:fldCharType="begin"/>
    </w:r>
    <w:r w:rsidRPr="00F046E6">
      <w:instrText xml:space="preserve"> StyleRef A_Symbol </w:instrText>
    </w:r>
    <w:r w:rsidRPr="00F046E6">
      <w:fldChar w:fldCharType="separate"/>
    </w:r>
    <w:r w:rsidR="006B01FD">
      <w:rPr>
        <w:noProof/>
      </w:rPr>
      <w:t>UNEP/MC/COP.6/Dec.3</w:t>
    </w:r>
    <w:r w:rsidRPr="00F046E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D6C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82A2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0030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4200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08B3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A6D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D82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220C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CCA0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C8B3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1A054C"/>
    <w:multiLevelType w:val="hybridMultilevel"/>
    <w:tmpl w:val="AF782DB2"/>
    <w:lvl w:ilvl="0" w:tplc="06A07E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49D1A7C"/>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0BAB5CFF"/>
    <w:multiLevelType w:val="hybridMultilevel"/>
    <w:tmpl w:val="245AFD90"/>
    <w:lvl w:ilvl="0" w:tplc="06A07E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F376261"/>
    <w:multiLevelType w:val="hybridMultilevel"/>
    <w:tmpl w:val="83A82E20"/>
    <w:lvl w:ilvl="0" w:tplc="FFFFFFFF">
      <w:start w:val="1"/>
      <w:numFmt w:val="lowerRoman"/>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2306DFC"/>
    <w:multiLevelType w:val="hybridMultilevel"/>
    <w:tmpl w:val="4EE4F800"/>
    <w:lvl w:ilvl="0" w:tplc="06A07E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7" w15:restartNumberingAfterBreak="0">
    <w:nsid w:val="1D306669"/>
    <w:multiLevelType w:val="hybridMultilevel"/>
    <w:tmpl w:val="20AA8284"/>
    <w:lvl w:ilvl="0" w:tplc="06A07E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4D3975"/>
    <w:multiLevelType w:val="hybridMultilevel"/>
    <w:tmpl w:val="59301678"/>
    <w:lvl w:ilvl="0" w:tplc="E3D2A092">
      <w:start w:val="1"/>
      <w:numFmt w:val="lowerRoman"/>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426CFB"/>
    <w:multiLevelType w:val="hybridMultilevel"/>
    <w:tmpl w:val="5B68F652"/>
    <w:lvl w:ilvl="0" w:tplc="06A07E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6A41B6D"/>
    <w:multiLevelType w:val="hybridMultilevel"/>
    <w:tmpl w:val="A7E6D1A8"/>
    <w:lvl w:ilvl="0" w:tplc="06A07E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3BE4F2B"/>
    <w:multiLevelType w:val="hybridMultilevel"/>
    <w:tmpl w:val="BD26D208"/>
    <w:lvl w:ilvl="0" w:tplc="06A07E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61627D2"/>
    <w:multiLevelType w:val="hybridMultilevel"/>
    <w:tmpl w:val="83A82E20"/>
    <w:lvl w:ilvl="0" w:tplc="E3D2A092">
      <w:start w:val="1"/>
      <w:numFmt w:val="lowerRoman"/>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468B1673"/>
    <w:multiLevelType w:val="hybridMultilevel"/>
    <w:tmpl w:val="CEF0429C"/>
    <w:lvl w:ilvl="0" w:tplc="06A07E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4F715A08"/>
    <w:multiLevelType w:val="hybridMultilevel"/>
    <w:tmpl w:val="62B42CC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2"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4" w15:restartNumberingAfterBreak="0">
    <w:nsid w:val="5B580570"/>
    <w:multiLevelType w:val="hybridMultilevel"/>
    <w:tmpl w:val="6F42BD3A"/>
    <w:lvl w:ilvl="0" w:tplc="E3D2A092">
      <w:start w:val="1"/>
      <w:numFmt w:val="lowerRoman"/>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B9B6670"/>
    <w:multiLevelType w:val="hybridMultilevel"/>
    <w:tmpl w:val="6C0EED70"/>
    <w:lvl w:ilvl="0" w:tplc="E3D2A092">
      <w:start w:val="1"/>
      <w:numFmt w:val="lowerRoman"/>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D064974"/>
    <w:multiLevelType w:val="hybridMultilevel"/>
    <w:tmpl w:val="77265A16"/>
    <w:lvl w:ilvl="0" w:tplc="3014CD24">
      <w:start w:val="1"/>
      <w:numFmt w:val="lowerRoman"/>
      <w:lvlText w:val="(%1)"/>
      <w:lvlJc w:val="left"/>
      <w:pPr>
        <w:ind w:left="1174" w:hanging="72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8" w15:restartNumberingAfterBreak="0">
    <w:nsid w:val="6F5B3470"/>
    <w:multiLevelType w:val="hybridMultilevel"/>
    <w:tmpl w:val="1958BB8E"/>
    <w:lvl w:ilvl="0" w:tplc="FFFFFFFF">
      <w:start w:val="1"/>
      <w:numFmt w:val="lowerRoman"/>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0"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33"/>
  </w:num>
  <w:num w:numId="2" w16cid:durableId="1242644713">
    <w:abstractNumId w:val="39"/>
  </w:num>
  <w:num w:numId="3" w16cid:durableId="1933662228">
    <w:abstractNumId w:val="23"/>
  </w:num>
  <w:num w:numId="4" w16cid:durableId="1991909117">
    <w:abstractNumId w:val="10"/>
  </w:num>
  <w:num w:numId="5" w16cid:durableId="1138956019">
    <w:abstractNumId w:val="16"/>
  </w:num>
  <w:num w:numId="6" w16cid:durableId="1849588938">
    <w:abstractNumId w:val="9"/>
  </w:num>
  <w:num w:numId="7" w16cid:durableId="1994487280">
    <w:abstractNumId w:val="7"/>
  </w:num>
  <w:num w:numId="8" w16cid:durableId="1723287586">
    <w:abstractNumId w:val="6"/>
  </w:num>
  <w:num w:numId="9" w16cid:durableId="15690898">
    <w:abstractNumId w:val="5"/>
  </w:num>
  <w:num w:numId="10" w16cid:durableId="288517638">
    <w:abstractNumId w:val="4"/>
  </w:num>
  <w:num w:numId="11" w16cid:durableId="397173292">
    <w:abstractNumId w:val="8"/>
  </w:num>
  <w:num w:numId="12" w16cid:durableId="1991907330">
    <w:abstractNumId w:val="3"/>
  </w:num>
  <w:num w:numId="13" w16cid:durableId="423117170">
    <w:abstractNumId w:val="2"/>
  </w:num>
  <w:num w:numId="14" w16cid:durableId="866412897">
    <w:abstractNumId w:val="1"/>
  </w:num>
  <w:num w:numId="15" w16cid:durableId="1193568530">
    <w:abstractNumId w:val="0"/>
  </w:num>
  <w:num w:numId="16" w16cid:durableId="434910754">
    <w:abstractNumId w:val="22"/>
  </w:num>
  <w:num w:numId="17" w16cid:durableId="2075614715">
    <w:abstractNumId w:val="41"/>
  </w:num>
  <w:num w:numId="18" w16cid:durableId="732893297">
    <w:abstractNumId w:val="35"/>
  </w:num>
  <w:num w:numId="19" w16cid:durableId="2107001409">
    <w:abstractNumId w:val="29"/>
  </w:num>
  <w:num w:numId="20" w16cid:durableId="1637444555">
    <w:abstractNumId w:val="40"/>
  </w:num>
  <w:num w:numId="21" w16cid:durableId="461701506">
    <w:abstractNumId w:val="21"/>
  </w:num>
  <w:num w:numId="22" w16cid:durableId="43066012">
    <w:abstractNumId w:val="32"/>
  </w:num>
  <w:num w:numId="23" w16cid:durableId="1819497224">
    <w:abstractNumId w:val="30"/>
  </w:num>
  <w:num w:numId="24" w16cid:durableId="2005429837">
    <w:abstractNumId w:val="26"/>
  </w:num>
  <w:num w:numId="25" w16cid:durableId="942080234">
    <w:abstractNumId w:val="28"/>
  </w:num>
  <w:num w:numId="26" w16cid:durableId="513107029">
    <w:abstractNumId w:val="31"/>
  </w:num>
  <w:num w:numId="27" w16cid:durableId="524707970">
    <w:abstractNumId w:val="19"/>
  </w:num>
  <w:num w:numId="28" w16cid:durableId="1231232395">
    <w:abstractNumId w:val="15"/>
  </w:num>
  <w:num w:numId="29" w16cid:durableId="1191139751">
    <w:abstractNumId w:val="17"/>
  </w:num>
  <w:num w:numId="30" w16cid:durableId="1241135881">
    <w:abstractNumId w:val="13"/>
  </w:num>
  <w:num w:numId="31" w16cid:durableId="1130321667">
    <w:abstractNumId w:val="27"/>
  </w:num>
  <w:num w:numId="32" w16cid:durableId="993415017">
    <w:abstractNumId w:val="20"/>
  </w:num>
  <w:num w:numId="33" w16cid:durableId="1386642047">
    <w:abstractNumId w:val="24"/>
  </w:num>
  <w:num w:numId="34" w16cid:durableId="1234512584">
    <w:abstractNumId w:val="11"/>
  </w:num>
  <w:num w:numId="35" w16cid:durableId="1281959573">
    <w:abstractNumId w:val="36"/>
  </w:num>
  <w:num w:numId="36" w16cid:durableId="718868852">
    <w:abstractNumId w:val="25"/>
  </w:num>
  <w:num w:numId="37" w16cid:durableId="632104258">
    <w:abstractNumId w:val="18"/>
  </w:num>
  <w:num w:numId="38" w16cid:durableId="1333950100">
    <w:abstractNumId w:val="34"/>
  </w:num>
  <w:num w:numId="39" w16cid:durableId="1768113139">
    <w:abstractNumId w:val="38"/>
  </w:num>
  <w:num w:numId="40" w16cid:durableId="2041927409">
    <w:abstractNumId w:val="14"/>
  </w:num>
  <w:num w:numId="41" w16cid:durableId="1481923727">
    <w:abstractNumId w:val="37"/>
  </w:num>
  <w:num w:numId="42" w16cid:durableId="77707058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0" w:nlCheck="1" w:checkStyle="0"/>
  <w:activeWritingStyle w:appName="MSWord" w:lang="en-GB" w:vendorID="64" w:dllVersion="0" w:nlCheck="1" w:checkStyle="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A"/>
    <w:rsid w:val="000149E6"/>
    <w:rsid w:val="00015474"/>
    <w:rsid w:val="00016AF3"/>
    <w:rsid w:val="000208C8"/>
    <w:rsid w:val="000247B0"/>
    <w:rsid w:val="00026997"/>
    <w:rsid w:val="00033E0B"/>
    <w:rsid w:val="00035EDE"/>
    <w:rsid w:val="0004028A"/>
    <w:rsid w:val="0004033C"/>
    <w:rsid w:val="000509B4"/>
    <w:rsid w:val="00056B2C"/>
    <w:rsid w:val="0006035B"/>
    <w:rsid w:val="000628E8"/>
    <w:rsid w:val="00063AE4"/>
    <w:rsid w:val="00070C86"/>
    <w:rsid w:val="0007166E"/>
    <w:rsid w:val="00071886"/>
    <w:rsid w:val="000726EE"/>
    <w:rsid w:val="000742BC"/>
    <w:rsid w:val="0007739A"/>
    <w:rsid w:val="0008041D"/>
    <w:rsid w:val="00082A0C"/>
    <w:rsid w:val="00082DCD"/>
    <w:rsid w:val="00083504"/>
    <w:rsid w:val="00086528"/>
    <w:rsid w:val="0008710B"/>
    <w:rsid w:val="0009640C"/>
    <w:rsid w:val="000A16EC"/>
    <w:rsid w:val="000B21D5"/>
    <w:rsid w:val="000B22A2"/>
    <w:rsid w:val="000B4700"/>
    <w:rsid w:val="000C26F4"/>
    <w:rsid w:val="000C2A52"/>
    <w:rsid w:val="000C46A9"/>
    <w:rsid w:val="000D0931"/>
    <w:rsid w:val="000D33C0"/>
    <w:rsid w:val="000D5884"/>
    <w:rsid w:val="000D6941"/>
    <w:rsid w:val="000D71B6"/>
    <w:rsid w:val="000D7D2C"/>
    <w:rsid w:val="000E0405"/>
    <w:rsid w:val="000F0889"/>
    <w:rsid w:val="000F16ED"/>
    <w:rsid w:val="000F6CFF"/>
    <w:rsid w:val="00102962"/>
    <w:rsid w:val="00115EA2"/>
    <w:rsid w:val="00115F73"/>
    <w:rsid w:val="001202E3"/>
    <w:rsid w:val="00121BBA"/>
    <w:rsid w:val="00123699"/>
    <w:rsid w:val="0013059D"/>
    <w:rsid w:val="0014083A"/>
    <w:rsid w:val="00141A55"/>
    <w:rsid w:val="00141F2F"/>
    <w:rsid w:val="001446A3"/>
    <w:rsid w:val="00144868"/>
    <w:rsid w:val="0015070E"/>
    <w:rsid w:val="00155395"/>
    <w:rsid w:val="0016431F"/>
    <w:rsid w:val="001675FE"/>
    <w:rsid w:val="00172E6C"/>
    <w:rsid w:val="00173D27"/>
    <w:rsid w:val="00174739"/>
    <w:rsid w:val="00180BF1"/>
    <w:rsid w:val="0018127C"/>
    <w:rsid w:val="00181EC8"/>
    <w:rsid w:val="00181FC0"/>
    <w:rsid w:val="00184349"/>
    <w:rsid w:val="0019161E"/>
    <w:rsid w:val="00195F33"/>
    <w:rsid w:val="00197C63"/>
    <w:rsid w:val="001A5EE1"/>
    <w:rsid w:val="001A7FF9"/>
    <w:rsid w:val="001B1617"/>
    <w:rsid w:val="001B504B"/>
    <w:rsid w:val="001C29FC"/>
    <w:rsid w:val="001D3874"/>
    <w:rsid w:val="001D5344"/>
    <w:rsid w:val="001D6A0C"/>
    <w:rsid w:val="001D7E75"/>
    <w:rsid w:val="001E0DD7"/>
    <w:rsid w:val="001E22D1"/>
    <w:rsid w:val="001E56D2"/>
    <w:rsid w:val="001E7D56"/>
    <w:rsid w:val="001F75DE"/>
    <w:rsid w:val="00200D58"/>
    <w:rsid w:val="002013BE"/>
    <w:rsid w:val="002063A4"/>
    <w:rsid w:val="00206F97"/>
    <w:rsid w:val="00207987"/>
    <w:rsid w:val="0021018D"/>
    <w:rsid w:val="0021145B"/>
    <w:rsid w:val="00214277"/>
    <w:rsid w:val="00221FD9"/>
    <w:rsid w:val="0022762D"/>
    <w:rsid w:val="00232303"/>
    <w:rsid w:val="00234806"/>
    <w:rsid w:val="002378D6"/>
    <w:rsid w:val="00240BCE"/>
    <w:rsid w:val="00243D36"/>
    <w:rsid w:val="00247707"/>
    <w:rsid w:val="002609AB"/>
    <w:rsid w:val="00263171"/>
    <w:rsid w:val="00263FB1"/>
    <w:rsid w:val="00277919"/>
    <w:rsid w:val="00286740"/>
    <w:rsid w:val="00287B42"/>
    <w:rsid w:val="002929D8"/>
    <w:rsid w:val="002935C2"/>
    <w:rsid w:val="00296719"/>
    <w:rsid w:val="002A237D"/>
    <w:rsid w:val="002A4A81"/>
    <w:rsid w:val="002A4C53"/>
    <w:rsid w:val="002A73D4"/>
    <w:rsid w:val="002B0672"/>
    <w:rsid w:val="002B1B4C"/>
    <w:rsid w:val="002B247F"/>
    <w:rsid w:val="002C145D"/>
    <w:rsid w:val="002C2C3E"/>
    <w:rsid w:val="002C533E"/>
    <w:rsid w:val="002C5525"/>
    <w:rsid w:val="002D027F"/>
    <w:rsid w:val="002D1E53"/>
    <w:rsid w:val="002D6167"/>
    <w:rsid w:val="002D7A85"/>
    <w:rsid w:val="002D7B60"/>
    <w:rsid w:val="002E19D4"/>
    <w:rsid w:val="002F0362"/>
    <w:rsid w:val="002F084C"/>
    <w:rsid w:val="002F4761"/>
    <w:rsid w:val="002F5294"/>
    <w:rsid w:val="002F5C79"/>
    <w:rsid w:val="003019E2"/>
    <w:rsid w:val="0031350B"/>
    <w:rsid w:val="0031413F"/>
    <w:rsid w:val="003148BB"/>
    <w:rsid w:val="003154BB"/>
    <w:rsid w:val="00317976"/>
    <w:rsid w:val="00323885"/>
    <w:rsid w:val="00331475"/>
    <w:rsid w:val="00337EEA"/>
    <w:rsid w:val="00351A93"/>
    <w:rsid w:val="003524CA"/>
    <w:rsid w:val="003559F8"/>
    <w:rsid w:val="00355EA9"/>
    <w:rsid w:val="003578DE"/>
    <w:rsid w:val="00365F6B"/>
    <w:rsid w:val="00370BF9"/>
    <w:rsid w:val="00371340"/>
    <w:rsid w:val="003759E2"/>
    <w:rsid w:val="00376867"/>
    <w:rsid w:val="0038083F"/>
    <w:rsid w:val="00386999"/>
    <w:rsid w:val="00390145"/>
    <w:rsid w:val="003905C5"/>
    <w:rsid w:val="00394379"/>
    <w:rsid w:val="00396257"/>
    <w:rsid w:val="00397EB8"/>
    <w:rsid w:val="003A07AB"/>
    <w:rsid w:val="003A086E"/>
    <w:rsid w:val="003A37B8"/>
    <w:rsid w:val="003A4FD0"/>
    <w:rsid w:val="003A69D1"/>
    <w:rsid w:val="003A7231"/>
    <w:rsid w:val="003A7705"/>
    <w:rsid w:val="003B1545"/>
    <w:rsid w:val="003C035E"/>
    <w:rsid w:val="003C3267"/>
    <w:rsid w:val="003C409D"/>
    <w:rsid w:val="003C5BA6"/>
    <w:rsid w:val="003E088E"/>
    <w:rsid w:val="003F0E85"/>
    <w:rsid w:val="00404580"/>
    <w:rsid w:val="00404CB5"/>
    <w:rsid w:val="00405251"/>
    <w:rsid w:val="00410C55"/>
    <w:rsid w:val="004121DB"/>
    <w:rsid w:val="0041604D"/>
    <w:rsid w:val="00416854"/>
    <w:rsid w:val="00417725"/>
    <w:rsid w:val="0041779A"/>
    <w:rsid w:val="00417B99"/>
    <w:rsid w:val="00422123"/>
    <w:rsid w:val="004243EA"/>
    <w:rsid w:val="0042589E"/>
    <w:rsid w:val="00434607"/>
    <w:rsid w:val="00437F26"/>
    <w:rsid w:val="00444097"/>
    <w:rsid w:val="00445487"/>
    <w:rsid w:val="004525B5"/>
    <w:rsid w:val="004546B8"/>
    <w:rsid w:val="00454769"/>
    <w:rsid w:val="00456D58"/>
    <w:rsid w:val="00466991"/>
    <w:rsid w:val="0047064C"/>
    <w:rsid w:val="00474D90"/>
    <w:rsid w:val="00477AFF"/>
    <w:rsid w:val="00481F0B"/>
    <w:rsid w:val="00491768"/>
    <w:rsid w:val="00495BFE"/>
    <w:rsid w:val="004A2065"/>
    <w:rsid w:val="004A42E1"/>
    <w:rsid w:val="004A6040"/>
    <w:rsid w:val="004B162C"/>
    <w:rsid w:val="004B7245"/>
    <w:rsid w:val="004C3DBE"/>
    <w:rsid w:val="004C5C96"/>
    <w:rsid w:val="004D06A4"/>
    <w:rsid w:val="004D48A9"/>
    <w:rsid w:val="004D60EA"/>
    <w:rsid w:val="004E59D4"/>
    <w:rsid w:val="004E5E57"/>
    <w:rsid w:val="004E79AC"/>
    <w:rsid w:val="004F1A81"/>
    <w:rsid w:val="0050040D"/>
    <w:rsid w:val="00507639"/>
    <w:rsid w:val="005210EE"/>
    <w:rsid w:val="005218D9"/>
    <w:rsid w:val="00532E47"/>
    <w:rsid w:val="005335CB"/>
    <w:rsid w:val="00536186"/>
    <w:rsid w:val="00536826"/>
    <w:rsid w:val="0053693A"/>
    <w:rsid w:val="00544CBB"/>
    <w:rsid w:val="00550518"/>
    <w:rsid w:val="00552CD6"/>
    <w:rsid w:val="005534E3"/>
    <w:rsid w:val="00560BDC"/>
    <w:rsid w:val="00565B34"/>
    <w:rsid w:val="0057315F"/>
    <w:rsid w:val="00575DF1"/>
    <w:rsid w:val="00576104"/>
    <w:rsid w:val="00576EBA"/>
    <w:rsid w:val="0058201D"/>
    <w:rsid w:val="005940BC"/>
    <w:rsid w:val="00594BA0"/>
    <w:rsid w:val="005B17E7"/>
    <w:rsid w:val="005B1D7A"/>
    <w:rsid w:val="005B5E04"/>
    <w:rsid w:val="005B71EF"/>
    <w:rsid w:val="005C3DC3"/>
    <w:rsid w:val="005C67C8"/>
    <w:rsid w:val="005D0249"/>
    <w:rsid w:val="005D6E8C"/>
    <w:rsid w:val="005E19E1"/>
    <w:rsid w:val="005F100C"/>
    <w:rsid w:val="005F6517"/>
    <w:rsid w:val="005F68DA"/>
    <w:rsid w:val="005F75E6"/>
    <w:rsid w:val="006014DD"/>
    <w:rsid w:val="0060773B"/>
    <w:rsid w:val="00607D94"/>
    <w:rsid w:val="006157B5"/>
    <w:rsid w:val="00626FC6"/>
    <w:rsid w:val="006303B4"/>
    <w:rsid w:val="00633CEB"/>
    <w:rsid w:val="00633D3D"/>
    <w:rsid w:val="00633F3A"/>
    <w:rsid w:val="00641703"/>
    <w:rsid w:val="006431A6"/>
    <w:rsid w:val="006433D9"/>
    <w:rsid w:val="006459F6"/>
    <w:rsid w:val="006501AD"/>
    <w:rsid w:val="00651BFA"/>
    <w:rsid w:val="006533B3"/>
    <w:rsid w:val="00654105"/>
    <w:rsid w:val="00663A80"/>
    <w:rsid w:val="00665A4B"/>
    <w:rsid w:val="0066792B"/>
    <w:rsid w:val="006731FE"/>
    <w:rsid w:val="00676B20"/>
    <w:rsid w:val="00692E2A"/>
    <w:rsid w:val="00695B51"/>
    <w:rsid w:val="006A76F2"/>
    <w:rsid w:val="006B01FD"/>
    <w:rsid w:val="006B4F20"/>
    <w:rsid w:val="006C18B0"/>
    <w:rsid w:val="006C2406"/>
    <w:rsid w:val="006C3DDA"/>
    <w:rsid w:val="006C7F5A"/>
    <w:rsid w:val="006D3277"/>
    <w:rsid w:val="006D7EFB"/>
    <w:rsid w:val="006E6672"/>
    <w:rsid w:val="006E6722"/>
    <w:rsid w:val="006E7830"/>
    <w:rsid w:val="006F10F1"/>
    <w:rsid w:val="007027B9"/>
    <w:rsid w:val="00713D8F"/>
    <w:rsid w:val="00715E88"/>
    <w:rsid w:val="0072508B"/>
    <w:rsid w:val="00732257"/>
    <w:rsid w:val="00732539"/>
    <w:rsid w:val="00734CAA"/>
    <w:rsid w:val="00736583"/>
    <w:rsid w:val="00737AF2"/>
    <w:rsid w:val="00745545"/>
    <w:rsid w:val="00745C5A"/>
    <w:rsid w:val="00750399"/>
    <w:rsid w:val="00750B23"/>
    <w:rsid w:val="0075473A"/>
    <w:rsid w:val="00755106"/>
    <w:rsid w:val="0075533C"/>
    <w:rsid w:val="00757581"/>
    <w:rsid w:val="007611A0"/>
    <w:rsid w:val="007658A0"/>
    <w:rsid w:val="007707AD"/>
    <w:rsid w:val="00771992"/>
    <w:rsid w:val="007748D0"/>
    <w:rsid w:val="00783907"/>
    <w:rsid w:val="007926A9"/>
    <w:rsid w:val="00795EA9"/>
    <w:rsid w:val="00796D3F"/>
    <w:rsid w:val="007A0CD6"/>
    <w:rsid w:val="007A1683"/>
    <w:rsid w:val="007A36F8"/>
    <w:rsid w:val="007A5982"/>
    <w:rsid w:val="007A5C12"/>
    <w:rsid w:val="007A7CB0"/>
    <w:rsid w:val="007B68A3"/>
    <w:rsid w:val="007C2541"/>
    <w:rsid w:val="007D66A8"/>
    <w:rsid w:val="007D773D"/>
    <w:rsid w:val="007E003F"/>
    <w:rsid w:val="007E31D3"/>
    <w:rsid w:val="007E50F2"/>
    <w:rsid w:val="007F7758"/>
    <w:rsid w:val="00802E72"/>
    <w:rsid w:val="00805F1D"/>
    <w:rsid w:val="008107C6"/>
    <w:rsid w:val="008164F2"/>
    <w:rsid w:val="00821395"/>
    <w:rsid w:val="00822DC9"/>
    <w:rsid w:val="008245FF"/>
    <w:rsid w:val="00830E26"/>
    <w:rsid w:val="00843576"/>
    <w:rsid w:val="00843B64"/>
    <w:rsid w:val="008448C0"/>
    <w:rsid w:val="00845025"/>
    <w:rsid w:val="008470BD"/>
    <w:rsid w:val="008478FC"/>
    <w:rsid w:val="008572BD"/>
    <w:rsid w:val="00867BFF"/>
    <w:rsid w:val="00874B8E"/>
    <w:rsid w:val="00875B26"/>
    <w:rsid w:val="0088480A"/>
    <w:rsid w:val="0088757A"/>
    <w:rsid w:val="00894CCE"/>
    <w:rsid w:val="008957DD"/>
    <w:rsid w:val="00897D98"/>
    <w:rsid w:val="008A26B4"/>
    <w:rsid w:val="008A6DF2"/>
    <w:rsid w:val="008A7807"/>
    <w:rsid w:val="008B0D6B"/>
    <w:rsid w:val="008B3832"/>
    <w:rsid w:val="008B4CC9"/>
    <w:rsid w:val="008C13F0"/>
    <w:rsid w:val="008C1B8B"/>
    <w:rsid w:val="008C45D2"/>
    <w:rsid w:val="008C5629"/>
    <w:rsid w:val="008D3AE0"/>
    <w:rsid w:val="008D6939"/>
    <w:rsid w:val="008D7C99"/>
    <w:rsid w:val="008E0FCB"/>
    <w:rsid w:val="008F067C"/>
    <w:rsid w:val="008F6152"/>
    <w:rsid w:val="00907D78"/>
    <w:rsid w:val="00912DDA"/>
    <w:rsid w:val="00916B39"/>
    <w:rsid w:val="0092178C"/>
    <w:rsid w:val="0092493F"/>
    <w:rsid w:val="00930B88"/>
    <w:rsid w:val="00933F6D"/>
    <w:rsid w:val="009378DC"/>
    <w:rsid w:val="0094056F"/>
    <w:rsid w:val="00940DCC"/>
    <w:rsid w:val="0094179A"/>
    <w:rsid w:val="0094459E"/>
    <w:rsid w:val="00944DBC"/>
    <w:rsid w:val="00950977"/>
    <w:rsid w:val="00951A7B"/>
    <w:rsid w:val="009540CB"/>
    <w:rsid w:val="009564A6"/>
    <w:rsid w:val="00957DC3"/>
    <w:rsid w:val="00961A33"/>
    <w:rsid w:val="009628B9"/>
    <w:rsid w:val="00965D3A"/>
    <w:rsid w:val="00967621"/>
    <w:rsid w:val="00967E6A"/>
    <w:rsid w:val="00973C57"/>
    <w:rsid w:val="0098031B"/>
    <w:rsid w:val="00980797"/>
    <w:rsid w:val="009935AC"/>
    <w:rsid w:val="009A6054"/>
    <w:rsid w:val="009B4A0F"/>
    <w:rsid w:val="009C0FEC"/>
    <w:rsid w:val="009C11D2"/>
    <w:rsid w:val="009C6C70"/>
    <w:rsid w:val="009D0922"/>
    <w:rsid w:val="009D0B63"/>
    <w:rsid w:val="009D0D50"/>
    <w:rsid w:val="009D3910"/>
    <w:rsid w:val="009E1A50"/>
    <w:rsid w:val="009E307E"/>
    <w:rsid w:val="009E3635"/>
    <w:rsid w:val="009E47E3"/>
    <w:rsid w:val="009F5A4A"/>
    <w:rsid w:val="00A03A4A"/>
    <w:rsid w:val="00A07870"/>
    <w:rsid w:val="00A07F19"/>
    <w:rsid w:val="00A1348D"/>
    <w:rsid w:val="00A142D1"/>
    <w:rsid w:val="00A1489E"/>
    <w:rsid w:val="00A232EE"/>
    <w:rsid w:val="00A3320C"/>
    <w:rsid w:val="00A3349F"/>
    <w:rsid w:val="00A4175F"/>
    <w:rsid w:val="00A44411"/>
    <w:rsid w:val="00A469FA"/>
    <w:rsid w:val="00A50E94"/>
    <w:rsid w:val="00A54334"/>
    <w:rsid w:val="00A55B01"/>
    <w:rsid w:val="00A55CCF"/>
    <w:rsid w:val="00A56B5B"/>
    <w:rsid w:val="00A57D46"/>
    <w:rsid w:val="00A603FF"/>
    <w:rsid w:val="00A657DD"/>
    <w:rsid w:val="00A666A6"/>
    <w:rsid w:val="00A675FD"/>
    <w:rsid w:val="00A714C6"/>
    <w:rsid w:val="00A72437"/>
    <w:rsid w:val="00A80611"/>
    <w:rsid w:val="00A84B15"/>
    <w:rsid w:val="00A87016"/>
    <w:rsid w:val="00A90C61"/>
    <w:rsid w:val="00AB1F69"/>
    <w:rsid w:val="00AB5340"/>
    <w:rsid w:val="00AC010E"/>
    <w:rsid w:val="00AC01CC"/>
    <w:rsid w:val="00AC16B8"/>
    <w:rsid w:val="00AC2446"/>
    <w:rsid w:val="00AC7C96"/>
    <w:rsid w:val="00AD2D15"/>
    <w:rsid w:val="00AE237D"/>
    <w:rsid w:val="00AE2A3D"/>
    <w:rsid w:val="00AE502A"/>
    <w:rsid w:val="00AF0DF7"/>
    <w:rsid w:val="00AF495A"/>
    <w:rsid w:val="00AF7C07"/>
    <w:rsid w:val="00B00865"/>
    <w:rsid w:val="00B019F8"/>
    <w:rsid w:val="00B22C93"/>
    <w:rsid w:val="00B27589"/>
    <w:rsid w:val="00B37EF9"/>
    <w:rsid w:val="00B405B7"/>
    <w:rsid w:val="00B42980"/>
    <w:rsid w:val="00B45E6D"/>
    <w:rsid w:val="00B52222"/>
    <w:rsid w:val="00B523A2"/>
    <w:rsid w:val="00B54FE7"/>
    <w:rsid w:val="00B57C47"/>
    <w:rsid w:val="00B66901"/>
    <w:rsid w:val="00B71E6D"/>
    <w:rsid w:val="00B72070"/>
    <w:rsid w:val="00B779E1"/>
    <w:rsid w:val="00B859A3"/>
    <w:rsid w:val="00B91EE1"/>
    <w:rsid w:val="00BA0090"/>
    <w:rsid w:val="00BA1A67"/>
    <w:rsid w:val="00BA4E95"/>
    <w:rsid w:val="00BB49DE"/>
    <w:rsid w:val="00BC07FE"/>
    <w:rsid w:val="00BD0163"/>
    <w:rsid w:val="00BD159E"/>
    <w:rsid w:val="00BE5B5F"/>
    <w:rsid w:val="00BF1824"/>
    <w:rsid w:val="00C03C89"/>
    <w:rsid w:val="00C22A02"/>
    <w:rsid w:val="00C26F55"/>
    <w:rsid w:val="00C30C63"/>
    <w:rsid w:val="00C32870"/>
    <w:rsid w:val="00C32B37"/>
    <w:rsid w:val="00C36B8B"/>
    <w:rsid w:val="00C43DC4"/>
    <w:rsid w:val="00C45AC0"/>
    <w:rsid w:val="00C47DBF"/>
    <w:rsid w:val="00C5135B"/>
    <w:rsid w:val="00C53666"/>
    <w:rsid w:val="00C543FD"/>
    <w:rsid w:val="00C552FF"/>
    <w:rsid w:val="00C558DA"/>
    <w:rsid w:val="00C55AF3"/>
    <w:rsid w:val="00C60713"/>
    <w:rsid w:val="00C70B49"/>
    <w:rsid w:val="00C734E3"/>
    <w:rsid w:val="00C75C7C"/>
    <w:rsid w:val="00C77773"/>
    <w:rsid w:val="00C81951"/>
    <w:rsid w:val="00C835ED"/>
    <w:rsid w:val="00C83A8F"/>
    <w:rsid w:val="00C84759"/>
    <w:rsid w:val="00C905BB"/>
    <w:rsid w:val="00C96D94"/>
    <w:rsid w:val="00C97578"/>
    <w:rsid w:val="00CA0946"/>
    <w:rsid w:val="00CA1CFE"/>
    <w:rsid w:val="00CA45D9"/>
    <w:rsid w:val="00CA6C7F"/>
    <w:rsid w:val="00CA78AF"/>
    <w:rsid w:val="00CB20C7"/>
    <w:rsid w:val="00CB6F8C"/>
    <w:rsid w:val="00CC0260"/>
    <w:rsid w:val="00CC10A6"/>
    <w:rsid w:val="00CC5FC7"/>
    <w:rsid w:val="00CD5EB8"/>
    <w:rsid w:val="00CD6AC7"/>
    <w:rsid w:val="00CD7044"/>
    <w:rsid w:val="00CE08B9"/>
    <w:rsid w:val="00CE40C4"/>
    <w:rsid w:val="00CE524C"/>
    <w:rsid w:val="00CF141F"/>
    <w:rsid w:val="00CF4777"/>
    <w:rsid w:val="00CF5AF8"/>
    <w:rsid w:val="00D067BB"/>
    <w:rsid w:val="00D070CC"/>
    <w:rsid w:val="00D1352A"/>
    <w:rsid w:val="00D13EDE"/>
    <w:rsid w:val="00D169AF"/>
    <w:rsid w:val="00D25249"/>
    <w:rsid w:val="00D255A7"/>
    <w:rsid w:val="00D27894"/>
    <w:rsid w:val="00D44172"/>
    <w:rsid w:val="00D50229"/>
    <w:rsid w:val="00D52302"/>
    <w:rsid w:val="00D526D8"/>
    <w:rsid w:val="00D55A40"/>
    <w:rsid w:val="00D62786"/>
    <w:rsid w:val="00D63B8C"/>
    <w:rsid w:val="00D7062A"/>
    <w:rsid w:val="00D712FD"/>
    <w:rsid w:val="00D715DD"/>
    <w:rsid w:val="00D72CB6"/>
    <w:rsid w:val="00D739CC"/>
    <w:rsid w:val="00D757C8"/>
    <w:rsid w:val="00D8093D"/>
    <w:rsid w:val="00D8108C"/>
    <w:rsid w:val="00D812C1"/>
    <w:rsid w:val="00D842AE"/>
    <w:rsid w:val="00D85F9E"/>
    <w:rsid w:val="00D86CAD"/>
    <w:rsid w:val="00D9211C"/>
    <w:rsid w:val="00D92DE0"/>
    <w:rsid w:val="00D92FEF"/>
    <w:rsid w:val="00D93A0F"/>
    <w:rsid w:val="00D93D54"/>
    <w:rsid w:val="00DA1BCA"/>
    <w:rsid w:val="00DA3FFA"/>
    <w:rsid w:val="00DA7299"/>
    <w:rsid w:val="00DB36B7"/>
    <w:rsid w:val="00DB3E23"/>
    <w:rsid w:val="00DB7E13"/>
    <w:rsid w:val="00DC46FF"/>
    <w:rsid w:val="00DC5254"/>
    <w:rsid w:val="00DD1A4F"/>
    <w:rsid w:val="00DD3107"/>
    <w:rsid w:val="00DD5EFF"/>
    <w:rsid w:val="00DD7C2C"/>
    <w:rsid w:val="00DE6E55"/>
    <w:rsid w:val="00DF5660"/>
    <w:rsid w:val="00DF5C15"/>
    <w:rsid w:val="00E0574F"/>
    <w:rsid w:val="00E06797"/>
    <w:rsid w:val="00E06F26"/>
    <w:rsid w:val="00E122BC"/>
    <w:rsid w:val="00E1265B"/>
    <w:rsid w:val="00E126C8"/>
    <w:rsid w:val="00E13B48"/>
    <w:rsid w:val="00E1404F"/>
    <w:rsid w:val="00E212EF"/>
    <w:rsid w:val="00E21C83"/>
    <w:rsid w:val="00E24ADA"/>
    <w:rsid w:val="00E256F6"/>
    <w:rsid w:val="00E32F59"/>
    <w:rsid w:val="00E37F15"/>
    <w:rsid w:val="00E440CD"/>
    <w:rsid w:val="00E46D9A"/>
    <w:rsid w:val="00E509D1"/>
    <w:rsid w:val="00E50C12"/>
    <w:rsid w:val="00E554B1"/>
    <w:rsid w:val="00E565FF"/>
    <w:rsid w:val="00E600D6"/>
    <w:rsid w:val="00E63C75"/>
    <w:rsid w:val="00E64488"/>
    <w:rsid w:val="00E65388"/>
    <w:rsid w:val="00E67833"/>
    <w:rsid w:val="00E72DBD"/>
    <w:rsid w:val="00E74ACB"/>
    <w:rsid w:val="00E85B7D"/>
    <w:rsid w:val="00E9121B"/>
    <w:rsid w:val="00E94B48"/>
    <w:rsid w:val="00E95FA7"/>
    <w:rsid w:val="00E96614"/>
    <w:rsid w:val="00EA0AE2"/>
    <w:rsid w:val="00EA292F"/>
    <w:rsid w:val="00EA39E5"/>
    <w:rsid w:val="00EB183A"/>
    <w:rsid w:val="00EB3106"/>
    <w:rsid w:val="00EC5A46"/>
    <w:rsid w:val="00EC63E2"/>
    <w:rsid w:val="00ED0087"/>
    <w:rsid w:val="00ED1F3E"/>
    <w:rsid w:val="00ED790F"/>
    <w:rsid w:val="00EE12FF"/>
    <w:rsid w:val="00EE1BA8"/>
    <w:rsid w:val="00EE1E98"/>
    <w:rsid w:val="00EE397B"/>
    <w:rsid w:val="00EE4483"/>
    <w:rsid w:val="00EE5261"/>
    <w:rsid w:val="00EE74BB"/>
    <w:rsid w:val="00EF22B3"/>
    <w:rsid w:val="00EF469A"/>
    <w:rsid w:val="00F03B69"/>
    <w:rsid w:val="00F046E6"/>
    <w:rsid w:val="00F04DCB"/>
    <w:rsid w:val="00F061B7"/>
    <w:rsid w:val="00F07A50"/>
    <w:rsid w:val="00F113DA"/>
    <w:rsid w:val="00F23184"/>
    <w:rsid w:val="00F25F15"/>
    <w:rsid w:val="00F319FC"/>
    <w:rsid w:val="00F32457"/>
    <w:rsid w:val="00F37DC8"/>
    <w:rsid w:val="00F439B3"/>
    <w:rsid w:val="00F45AA8"/>
    <w:rsid w:val="00F50249"/>
    <w:rsid w:val="00F502DD"/>
    <w:rsid w:val="00F511D5"/>
    <w:rsid w:val="00F52A1B"/>
    <w:rsid w:val="00F638FC"/>
    <w:rsid w:val="00F650C3"/>
    <w:rsid w:val="00F65D85"/>
    <w:rsid w:val="00F66BC5"/>
    <w:rsid w:val="00F71141"/>
    <w:rsid w:val="00F715A5"/>
    <w:rsid w:val="00F7203C"/>
    <w:rsid w:val="00F74B7A"/>
    <w:rsid w:val="00F75453"/>
    <w:rsid w:val="00F8091E"/>
    <w:rsid w:val="00F832E2"/>
    <w:rsid w:val="00F8615C"/>
    <w:rsid w:val="00F86776"/>
    <w:rsid w:val="00F92DF0"/>
    <w:rsid w:val="00F957B8"/>
    <w:rsid w:val="00F969E5"/>
    <w:rsid w:val="00F97AEE"/>
    <w:rsid w:val="00F97E54"/>
    <w:rsid w:val="00FA0D15"/>
    <w:rsid w:val="00FA1C95"/>
    <w:rsid w:val="00FA6BB0"/>
    <w:rsid w:val="00FA7C87"/>
    <w:rsid w:val="00FB1DFB"/>
    <w:rsid w:val="00FD2D77"/>
    <w:rsid w:val="00FD5860"/>
    <w:rsid w:val="00FE3317"/>
    <w:rsid w:val="00FE352D"/>
    <w:rsid w:val="00FE40EB"/>
    <w:rsid w:val="00FE4D02"/>
    <w:rsid w:val="00FE51C9"/>
    <w:rsid w:val="00FE7B2F"/>
    <w:rsid w:val="00FE7D62"/>
    <w:rsid w:val="00FF3819"/>
    <w:rsid w:val="1733B45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12FE"/>
  <w15:chartTrackingRefBased/>
  <w15:docId w15:val="{9C45C306-2910-4B9D-917B-8FF7AC4F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046E6"/>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74554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4554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4554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4554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4554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4554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4554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4554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4554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45545"/>
    <w:rPr>
      <w:rFonts w:ascii="Times New Roman" w:hAnsi="Times New Roman"/>
      <w:b/>
      <w:sz w:val="18"/>
      <w:lang w:val="en-GB"/>
    </w:rPr>
  </w:style>
  <w:style w:type="table" w:customStyle="1" w:styleId="Tabledocright">
    <w:name w:val="Table_doc_right"/>
    <w:basedOn w:val="TableNormal"/>
    <w:rsid w:val="0074554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45545"/>
    <w:pPr>
      <w:ind w:left="1000"/>
    </w:pPr>
    <w:rPr>
      <w:sz w:val="18"/>
      <w:szCs w:val="18"/>
    </w:rPr>
  </w:style>
  <w:style w:type="paragraph" w:styleId="TOC7">
    <w:name w:val="toc 7"/>
    <w:basedOn w:val="Normal"/>
    <w:next w:val="Normal"/>
    <w:autoRedefine/>
    <w:semiHidden/>
    <w:rsid w:val="00745545"/>
    <w:pPr>
      <w:ind w:left="1200"/>
    </w:pPr>
    <w:rPr>
      <w:sz w:val="18"/>
      <w:szCs w:val="18"/>
    </w:rPr>
  </w:style>
  <w:style w:type="paragraph" w:styleId="TOC8">
    <w:name w:val="toc 8"/>
    <w:basedOn w:val="Normal"/>
    <w:next w:val="Normal"/>
    <w:autoRedefine/>
    <w:semiHidden/>
    <w:rsid w:val="00745545"/>
    <w:pPr>
      <w:ind w:left="1400"/>
    </w:pPr>
    <w:rPr>
      <w:sz w:val="18"/>
      <w:szCs w:val="18"/>
    </w:rPr>
  </w:style>
  <w:style w:type="paragraph" w:styleId="TOC9">
    <w:name w:val="toc 9"/>
    <w:basedOn w:val="Normal"/>
    <w:next w:val="Normal"/>
    <w:autoRedefine/>
    <w:semiHidden/>
    <w:rsid w:val="00745545"/>
    <w:pPr>
      <w:ind w:left="1600"/>
    </w:pPr>
    <w:rPr>
      <w:sz w:val="18"/>
      <w:szCs w:val="18"/>
    </w:rPr>
  </w:style>
  <w:style w:type="paragraph" w:customStyle="1" w:styleId="Titlefigure">
    <w:name w:val="Title_figure"/>
    <w:basedOn w:val="Titletable"/>
    <w:next w:val="NormalNonumber"/>
    <w:rsid w:val="00745545"/>
    <w:pPr>
      <w:tabs>
        <w:tab w:val="clear" w:pos="4990"/>
      </w:tabs>
    </w:pPr>
    <w:rPr>
      <w:bCs w:val="0"/>
    </w:rPr>
  </w:style>
  <w:style w:type="paragraph" w:styleId="TableofFigures">
    <w:name w:val="table of figures"/>
    <w:basedOn w:val="Normal"/>
    <w:next w:val="Normal"/>
    <w:autoRedefine/>
    <w:semiHidden/>
    <w:rsid w:val="00745545"/>
    <w:pPr>
      <w:ind w:left="1814" w:hanging="567"/>
    </w:pPr>
  </w:style>
  <w:style w:type="paragraph" w:customStyle="1" w:styleId="CH1">
    <w:name w:val="CH1"/>
    <w:basedOn w:val="Normal-pool"/>
    <w:next w:val="CH2"/>
    <w:qFormat/>
    <w:rsid w:val="0074554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4554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4554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4554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4554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45545"/>
    <w:pPr>
      <w:tabs>
        <w:tab w:val="left" w:pos="4321"/>
        <w:tab w:val="right" w:pos="8641"/>
      </w:tabs>
      <w:spacing w:before="60"/>
    </w:pPr>
    <w:rPr>
      <w:b/>
      <w:sz w:val="18"/>
    </w:rPr>
  </w:style>
  <w:style w:type="paragraph" w:customStyle="1" w:styleId="Footer-pool">
    <w:name w:val="Footer-pool"/>
    <w:basedOn w:val="Normal-pool"/>
    <w:next w:val="Normal-pool"/>
    <w:rsid w:val="00745545"/>
    <w:pPr>
      <w:tabs>
        <w:tab w:val="right" w:pos="8641"/>
      </w:tabs>
      <w:spacing w:after="120"/>
    </w:pPr>
    <w:rPr>
      <w:b/>
      <w:sz w:val="18"/>
    </w:rPr>
  </w:style>
  <w:style w:type="paragraph" w:customStyle="1" w:styleId="Header-pool">
    <w:name w:val="Header-pool"/>
    <w:basedOn w:val="Normal"/>
    <w:next w:val="Normal"/>
    <w:rsid w:val="00745545"/>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745545"/>
    <w:rPr>
      <w:rFonts w:ascii="Times New Roman" w:hAnsi="Times New Roman"/>
      <w:color w:val="auto"/>
      <w:sz w:val="20"/>
      <w:szCs w:val="18"/>
      <w:vertAlign w:val="superscript"/>
      <w:lang w:val="en-GB"/>
    </w:rPr>
  </w:style>
  <w:style w:type="table" w:customStyle="1" w:styleId="AATable">
    <w:name w:val="AA_Table"/>
    <w:basedOn w:val="TableNormal"/>
    <w:semiHidden/>
    <w:rsid w:val="0074554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745545"/>
    <w:pPr>
      <w:keepNext/>
      <w:keepLines/>
      <w:suppressAutoHyphens/>
    </w:pPr>
    <w:rPr>
      <w:b/>
    </w:rPr>
  </w:style>
  <w:style w:type="paragraph" w:customStyle="1" w:styleId="AATitle2">
    <w:name w:val="AA_Title2"/>
    <w:basedOn w:val="AATitle"/>
    <w:rsid w:val="00745545"/>
    <w:pPr>
      <w:keepNext w:val="0"/>
      <w:keepLines w:val="0"/>
      <w:tabs>
        <w:tab w:val="clear" w:pos="4990"/>
      </w:tabs>
      <w:spacing w:before="120" w:after="120"/>
    </w:pPr>
  </w:style>
  <w:style w:type="paragraph" w:customStyle="1" w:styleId="BBTitle">
    <w:name w:val="BB_Title"/>
    <w:basedOn w:val="Normal-pool"/>
    <w:link w:val="BBTitleChar"/>
    <w:qFormat/>
    <w:rsid w:val="00745545"/>
    <w:pPr>
      <w:keepNext/>
      <w:keepLines/>
      <w:suppressAutoHyphens/>
      <w:spacing w:before="320" w:after="240"/>
      <w:ind w:left="1247" w:right="567"/>
    </w:pPr>
    <w:rPr>
      <w:b/>
      <w:sz w:val="28"/>
      <w:szCs w:val="28"/>
    </w:rPr>
  </w:style>
  <w:style w:type="paragraph" w:customStyle="1" w:styleId="CH4">
    <w:name w:val="CH4"/>
    <w:basedOn w:val="Normal-pool"/>
    <w:next w:val="Normalnumber"/>
    <w:rsid w:val="00745545"/>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046E6"/>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745545"/>
    <w:rPr>
      <w:color w:val="0000FF"/>
      <w:u w:val="none"/>
      <w:lang w:val="en-GB"/>
    </w:rPr>
  </w:style>
  <w:style w:type="numbering" w:customStyle="1" w:styleId="Normallist">
    <w:name w:val="Normal_list"/>
    <w:basedOn w:val="NoList"/>
    <w:rsid w:val="00745545"/>
    <w:pPr>
      <w:numPr>
        <w:numId w:val="1"/>
      </w:numPr>
    </w:pPr>
  </w:style>
  <w:style w:type="paragraph" w:customStyle="1" w:styleId="NormalNonumber">
    <w:name w:val="Normal_No_number"/>
    <w:basedOn w:val="Normal-pool"/>
    <w:qFormat/>
    <w:rsid w:val="00745545"/>
    <w:pPr>
      <w:spacing w:after="120"/>
      <w:ind w:left="1247"/>
    </w:pPr>
  </w:style>
  <w:style w:type="paragraph" w:customStyle="1" w:styleId="Normalnumber">
    <w:name w:val="Normal_number"/>
    <w:basedOn w:val="Normal"/>
    <w:link w:val="NormalnumberChar"/>
    <w:rsid w:val="00745545"/>
    <w:pPr>
      <w:numPr>
        <w:numId w:val="1"/>
      </w:numPr>
      <w:tabs>
        <w:tab w:val="clear" w:pos="624"/>
      </w:tabs>
      <w:spacing w:after="120"/>
      <w:ind w:left="1247"/>
    </w:pPr>
  </w:style>
  <w:style w:type="paragraph" w:customStyle="1" w:styleId="Titletable">
    <w:name w:val="Title_table"/>
    <w:basedOn w:val="Normal-pool"/>
    <w:next w:val="NormalNonumber"/>
    <w:rsid w:val="00745545"/>
    <w:pPr>
      <w:keepNext/>
      <w:keepLines/>
      <w:suppressAutoHyphens/>
      <w:spacing w:after="60"/>
      <w:ind w:left="1247"/>
    </w:pPr>
    <w:rPr>
      <w:b/>
      <w:bCs/>
    </w:rPr>
  </w:style>
  <w:style w:type="paragraph" w:styleId="TOC1">
    <w:name w:val="toc 1"/>
    <w:basedOn w:val="Normal"/>
    <w:next w:val="Normal"/>
    <w:autoRedefine/>
    <w:uiPriority w:val="39"/>
    <w:unhideWhenUsed/>
    <w:rsid w:val="00745545"/>
    <w:pPr>
      <w:tabs>
        <w:tab w:val="right" w:leader="dot" w:pos="9486"/>
      </w:tabs>
      <w:spacing w:before="240"/>
      <w:ind w:left="1984" w:hanging="737"/>
    </w:pPr>
    <w:rPr>
      <w:bCs/>
    </w:rPr>
  </w:style>
  <w:style w:type="paragraph" w:styleId="TOC2">
    <w:name w:val="toc 2"/>
    <w:basedOn w:val="Normal"/>
    <w:next w:val="Normal"/>
    <w:uiPriority w:val="39"/>
    <w:unhideWhenUsed/>
    <w:rsid w:val="00745545"/>
    <w:pPr>
      <w:tabs>
        <w:tab w:val="right" w:leader="dot" w:pos="9486"/>
      </w:tabs>
      <w:spacing w:before="60"/>
      <w:ind w:left="2608" w:hanging="737"/>
    </w:pPr>
  </w:style>
  <w:style w:type="paragraph" w:styleId="TOC3">
    <w:name w:val="toc 3"/>
    <w:basedOn w:val="Normal"/>
    <w:next w:val="Normal"/>
    <w:uiPriority w:val="39"/>
    <w:unhideWhenUsed/>
    <w:rsid w:val="00745545"/>
    <w:pPr>
      <w:tabs>
        <w:tab w:val="right" w:leader="dot" w:pos="9486"/>
      </w:tabs>
      <w:ind w:left="3232" w:hanging="737"/>
    </w:pPr>
    <w:rPr>
      <w:iCs/>
    </w:rPr>
  </w:style>
  <w:style w:type="paragraph" w:styleId="TOC4">
    <w:name w:val="toc 4"/>
    <w:basedOn w:val="Normal"/>
    <w:next w:val="Normal"/>
    <w:uiPriority w:val="39"/>
    <w:unhideWhenUsed/>
    <w:rsid w:val="00745545"/>
    <w:pPr>
      <w:tabs>
        <w:tab w:val="left" w:pos="1000"/>
        <w:tab w:val="right" w:leader="dot" w:pos="9486"/>
      </w:tabs>
      <w:ind w:left="3856" w:hanging="737"/>
    </w:pPr>
    <w:rPr>
      <w:szCs w:val="18"/>
    </w:rPr>
  </w:style>
  <w:style w:type="paragraph" w:styleId="TOC5">
    <w:name w:val="toc 5"/>
    <w:basedOn w:val="Normal"/>
    <w:next w:val="Normal"/>
    <w:uiPriority w:val="39"/>
    <w:rsid w:val="00745545"/>
    <w:pPr>
      <w:tabs>
        <w:tab w:val="right" w:leader="dot" w:pos="9486"/>
      </w:tabs>
      <w:ind w:left="4479" w:hanging="737"/>
    </w:pPr>
    <w:rPr>
      <w:sz w:val="18"/>
      <w:szCs w:val="18"/>
    </w:rPr>
  </w:style>
  <w:style w:type="paragraph" w:customStyle="1" w:styleId="ZZAnxheader">
    <w:name w:val="ZZ_Anx_header"/>
    <w:basedOn w:val="Normal-pool"/>
    <w:rsid w:val="00745545"/>
    <w:rPr>
      <w:b/>
      <w:bCs/>
      <w:sz w:val="28"/>
      <w:szCs w:val="22"/>
    </w:rPr>
  </w:style>
  <w:style w:type="paragraph" w:customStyle="1" w:styleId="ZZAnxtitle">
    <w:name w:val="ZZ_Anx_title"/>
    <w:basedOn w:val="Normal-pool"/>
    <w:link w:val="ZZAnxtitleChar"/>
    <w:qFormat/>
    <w:rsid w:val="00745545"/>
    <w:pPr>
      <w:spacing w:before="360" w:after="120"/>
      <w:ind w:left="1247"/>
    </w:pPr>
    <w:rPr>
      <w:b/>
      <w:bCs/>
      <w:sz w:val="28"/>
      <w:szCs w:val="26"/>
    </w:rPr>
  </w:style>
  <w:style w:type="paragraph" w:styleId="NormalWeb">
    <w:name w:val="Normal (Web)"/>
    <w:basedOn w:val="Normal"/>
    <w:uiPriority w:val="99"/>
    <w:semiHidden/>
    <w:unhideWhenUsed/>
    <w:rsid w:val="0074554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45545"/>
    <w:pPr>
      <w:spacing w:before="40" w:after="40"/>
    </w:pPr>
    <w:rPr>
      <w:sz w:val="18"/>
    </w:rPr>
  </w:style>
  <w:style w:type="paragraph" w:customStyle="1" w:styleId="Footnote-Text">
    <w:name w:val="Footnote-Text"/>
    <w:basedOn w:val="Normal-pool"/>
    <w:rsid w:val="00745545"/>
    <w:pPr>
      <w:spacing w:before="20" w:after="40"/>
      <w:ind w:left="1247"/>
    </w:pPr>
    <w:rPr>
      <w:sz w:val="18"/>
    </w:rPr>
  </w:style>
  <w:style w:type="paragraph" w:customStyle="1" w:styleId="AConvName">
    <w:name w:val="A_ConvName"/>
    <w:basedOn w:val="Normal-pool"/>
    <w:next w:val="Normal-pool"/>
    <w:rsid w:val="00745545"/>
    <w:pPr>
      <w:spacing w:before="120" w:after="240"/>
    </w:pPr>
    <w:rPr>
      <w:rFonts w:ascii="Arial" w:hAnsi="Arial"/>
      <w:b/>
      <w:sz w:val="28"/>
    </w:rPr>
  </w:style>
  <w:style w:type="paragraph" w:customStyle="1" w:styleId="ASymbol">
    <w:name w:val="A_Symbol"/>
    <w:basedOn w:val="Normal-pool"/>
    <w:rsid w:val="00745545"/>
    <w:pPr>
      <w:tabs>
        <w:tab w:val="clear" w:pos="624"/>
        <w:tab w:val="clear" w:pos="1247"/>
        <w:tab w:val="right" w:pos="2920"/>
      </w:tabs>
    </w:pPr>
    <w:rPr>
      <w:rFonts w:eastAsia="SimSun"/>
    </w:rPr>
  </w:style>
  <w:style w:type="paragraph" w:customStyle="1" w:styleId="AText">
    <w:name w:val="A_Text"/>
    <w:basedOn w:val="Normal-pool"/>
    <w:rsid w:val="00745545"/>
    <w:pPr>
      <w:spacing w:before="120"/>
    </w:pPr>
  </w:style>
  <w:style w:type="paragraph" w:customStyle="1" w:styleId="ATwoLetters">
    <w:name w:val="A_TwoLetters"/>
    <w:basedOn w:val="Normal-pool"/>
    <w:next w:val="Normal-pool"/>
    <w:rsid w:val="00745545"/>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45545"/>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45545"/>
    <w:rPr>
      <w:rFonts w:ascii="Tahoma" w:hAnsi="Tahoma" w:cs="Tahoma"/>
      <w:sz w:val="16"/>
      <w:szCs w:val="16"/>
    </w:rPr>
  </w:style>
  <w:style w:type="character" w:customStyle="1" w:styleId="BalloonTextChar">
    <w:name w:val="Balloon Text Char"/>
    <w:basedOn w:val="DefaultParagraphFont"/>
    <w:link w:val="BalloonText"/>
    <w:rsid w:val="00745545"/>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745545"/>
    <w:rPr>
      <w:sz w:val="16"/>
      <w:szCs w:val="16"/>
      <w:lang w:val="en-GB"/>
    </w:rPr>
  </w:style>
  <w:style w:type="paragraph" w:styleId="CommentText">
    <w:name w:val="annotation text"/>
    <w:basedOn w:val="Normal"/>
    <w:link w:val="CommentTextChar"/>
    <w:unhideWhenUsed/>
    <w:rsid w:val="00745545"/>
  </w:style>
  <w:style w:type="character" w:customStyle="1" w:styleId="CommentTextChar">
    <w:name w:val="Comment Text Char"/>
    <w:basedOn w:val="DefaultParagraphFont"/>
    <w:link w:val="CommentText"/>
    <w:rsid w:val="00745545"/>
    <w:rPr>
      <w:rFonts w:eastAsia="Times New Roman"/>
      <w:lang w:val="en-GB" w:eastAsia="en-US"/>
    </w:rPr>
  </w:style>
  <w:style w:type="paragraph" w:styleId="CommentSubject">
    <w:name w:val="annotation subject"/>
    <w:basedOn w:val="CommentText"/>
    <w:next w:val="CommentText"/>
    <w:link w:val="CommentSubjectChar"/>
    <w:semiHidden/>
    <w:unhideWhenUsed/>
    <w:rsid w:val="00745545"/>
    <w:rPr>
      <w:b/>
      <w:bCs/>
    </w:rPr>
  </w:style>
  <w:style w:type="character" w:customStyle="1" w:styleId="CommentSubjectChar">
    <w:name w:val="Comment Subject Char"/>
    <w:basedOn w:val="CommentTextChar"/>
    <w:link w:val="CommentSubject"/>
    <w:semiHidden/>
    <w:rsid w:val="00745545"/>
    <w:rPr>
      <w:rFonts w:eastAsia="Times New Roman"/>
      <w:b/>
      <w:bCs/>
      <w:lang w:val="en-GB" w:eastAsia="en-US"/>
    </w:rPr>
  </w:style>
  <w:style w:type="character" w:styleId="FollowedHyperlink">
    <w:name w:val="FollowedHyperlink"/>
    <w:uiPriority w:val="99"/>
    <w:semiHidden/>
    <w:rsid w:val="00745545"/>
    <w:rPr>
      <w:color w:val="0000FF"/>
      <w:u w:val="none"/>
      <w:lang w:val="en-GB"/>
    </w:rPr>
  </w:style>
  <w:style w:type="character" w:customStyle="1" w:styleId="FooterChar">
    <w:name w:val="Footer Char"/>
    <w:basedOn w:val="DefaultParagraphFont"/>
    <w:link w:val="Footer"/>
    <w:uiPriority w:val="99"/>
    <w:rsid w:val="00F046E6"/>
    <w:rPr>
      <w:rFonts w:eastAsia="Times New Roman"/>
      <w:lang w:val="en-GB" w:eastAsia="en-US"/>
    </w:rPr>
  </w:style>
  <w:style w:type="character" w:customStyle="1" w:styleId="HeaderChar">
    <w:name w:val="Header Char"/>
    <w:basedOn w:val="DefaultParagraphFont"/>
    <w:link w:val="Header"/>
    <w:uiPriority w:val="99"/>
    <w:semiHidden/>
    <w:rsid w:val="00F046E6"/>
    <w:rPr>
      <w:rFonts w:eastAsia="Times New Roman"/>
      <w:lang w:val="en-GB" w:eastAsia="en-US"/>
    </w:rPr>
  </w:style>
  <w:style w:type="character" w:customStyle="1" w:styleId="Heading1Char">
    <w:name w:val="Heading 1 Char"/>
    <w:basedOn w:val="DefaultParagraphFont"/>
    <w:link w:val="Heading1"/>
    <w:rsid w:val="00745545"/>
    <w:rPr>
      <w:rFonts w:eastAsia="Times New Roman"/>
      <w:b/>
      <w:sz w:val="28"/>
      <w:szCs w:val="28"/>
      <w:lang w:val="en-GB" w:eastAsia="en-US"/>
    </w:rPr>
  </w:style>
  <w:style w:type="character" w:customStyle="1" w:styleId="Heading2Char">
    <w:name w:val="Heading 2 Char"/>
    <w:basedOn w:val="DefaultParagraphFont"/>
    <w:link w:val="Heading2"/>
    <w:rsid w:val="00745545"/>
    <w:rPr>
      <w:rFonts w:eastAsia="Times New Roman"/>
      <w:b/>
      <w:sz w:val="24"/>
      <w:szCs w:val="24"/>
      <w:lang w:val="en-GB" w:eastAsia="en-US"/>
    </w:rPr>
  </w:style>
  <w:style w:type="character" w:customStyle="1" w:styleId="Heading3Char">
    <w:name w:val="Heading 3 Char"/>
    <w:basedOn w:val="DefaultParagraphFont"/>
    <w:link w:val="Heading3"/>
    <w:rsid w:val="00745545"/>
    <w:rPr>
      <w:rFonts w:eastAsia="Times New Roman"/>
      <w:b/>
      <w:lang w:val="en-GB" w:eastAsia="en-US"/>
    </w:rPr>
  </w:style>
  <w:style w:type="character" w:customStyle="1" w:styleId="Heading4Char">
    <w:name w:val="Heading 4 Char"/>
    <w:basedOn w:val="DefaultParagraphFont"/>
    <w:link w:val="Heading4"/>
    <w:rsid w:val="00745545"/>
    <w:rPr>
      <w:rFonts w:eastAsia="Times New Roman"/>
      <w:b/>
      <w:lang w:val="en-GB" w:eastAsia="en-US"/>
    </w:rPr>
  </w:style>
  <w:style w:type="character" w:customStyle="1" w:styleId="Heading5Char">
    <w:name w:val="Heading 5 Char"/>
    <w:basedOn w:val="DefaultParagraphFont"/>
    <w:link w:val="Heading5"/>
    <w:rsid w:val="00745545"/>
    <w:rPr>
      <w:rFonts w:eastAsia="Times New Roman"/>
      <w:b/>
      <w:lang w:val="en-GB" w:eastAsia="en-US"/>
    </w:rPr>
  </w:style>
  <w:style w:type="character" w:customStyle="1" w:styleId="Heading6Char">
    <w:name w:val="Heading 6 Char"/>
    <w:basedOn w:val="DefaultParagraphFont"/>
    <w:link w:val="Heading6"/>
    <w:semiHidden/>
    <w:rsid w:val="00745545"/>
    <w:rPr>
      <w:rFonts w:eastAsia="Times New Roman"/>
      <w:bCs/>
      <w:sz w:val="24"/>
      <w:lang w:val="en-GB" w:eastAsia="en-US"/>
    </w:rPr>
  </w:style>
  <w:style w:type="character" w:customStyle="1" w:styleId="Heading7Char">
    <w:name w:val="Heading 7 Char"/>
    <w:basedOn w:val="DefaultParagraphFont"/>
    <w:link w:val="Heading7"/>
    <w:semiHidden/>
    <w:rsid w:val="00745545"/>
    <w:rPr>
      <w:rFonts w:eastAsia="Times New Roman"/>
      <w:b/>
      <w:snapToGrid w:val="0"/>
      <w:u w:val="single"/>
      <w:lang w:val="en-GB" w:eastAsia="en-US"/>
    </w:rPr>
  </w:style>
  <w:style w:type="character" w:customStyle="1" w:styleId="Heading8Char">
    <w:name w:val="Heading 8 Char"/>
    <w:basedOn w:val="DefaultParagraphFont"/>
    <w:link w:val="Heading8"/>
    <w:semiHidden/>
    <w:rsid w:val="00745545"/>
    <w:rPr>
      <w:rFonts w:eastAsia="Times New Roman"/>
      <w:b/>
      <w:snapToGrid w:val="0"/>
      <w:u w:val="single"/>
      <w:lang w:val="en-GB" w:eastAsia="en-US"/>
    </w:rPr>
  </w:style>
  <w:style w:type="character" w:customStyle="1" w:styleId="Heading9Char">
    <w:name w:val="Heading 9 Char"/>
    <w:basedOn w:val="DefaultParagraphFont"/>
    <w:link w:val="Heading9"/>
    <w:semiHidden/>
    <w:rsid w:val="00745545"/>
    <w:rPr>
      <w:rFonts w:eastAsia="Times New Roman"/>
      <w:snapToGrid w:val="0"/>
      <w:u w:val="single"/>
      <w:lang w:val="en-GB" w:eastAsia="en-US"/>
    </w:rPr>
  </w:style>
  <w:style w:type="paragraph" w:styleId="ListParagraph">
    <w:name w:val="List Paragraph"/>
    <w:basedOn w:val="Normal"/>
    <w:uiPriority w:val="34"/>
    <w:semiHidden/>
    <w:qFormat/>
    <w:rsid w:val="00745545"/>
    <w:pPr>
      <w:ind w:left="720"/>
      <w:contextualSpacing/>
    </w:pPr>
  </w:style>
  <w:style w:type="paragraph" w:styleId="NoSpacing">
    <w:name w:val="No Spacing"/>
    <w:uiPriority w:val="1"/>
    <w:semiHidden/>
    <w:qFormat/>
    <w:rsid w:val="00745545"/>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45545"/>
    <w:rPr>
      <w:rFonts w:eastAsia="Times New Roman"/>
      <w:lang w:val="en-GB" w:eastAsia="en-US"/>
    </w:rPr>
  </w:style>
  <w:style w:type="character" w:styleId="PlaceholderText">
    <w:name w:val="Placeholder Text"/>
    <w:basedOn w:val="DefaultParagraphFont"/>
    <w:uiPriority w:val="99"/>
    <w:semiHidden/>
    <w:rsid w:val="00745545"/>
    <w:rPr>
      <w:color w:val="808080"/>
      <w:lang w:val="en-GB"/>
    </w:rPr>
  </w:style>
  <w:style w:type="table" w:styleId="TableGrid">
    <w:name w:val="Table Grid"/>
    <w:basedOn w:val="TableNormal"/>
    <w:rsid w:val="0074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745545"/>
    <w:pPr>
      <w:spacing w:before="120" w:after="240"/>
    </w:pPr>
  </w:style>
  <w:style w:type="character" w:customStyle="1" w:styleId="ALogoChar">
    <w:name w:val="A_Logo Char"/>
    <w:basedOn w:val="DefaultParagraphFont"/>
    <w:link w:val="ALogo"/>
    <w:rsid w:val="00745545"/>
    <w:rPr>
      <w:rFonts w:eastAsia="Times New Roman"/>
      <w:lang w:val="en-GB" w:eastAsia="en-US"/>
    </w:rPr>
  </w:style>
  <w:style w:type="paragraph" w:customStyle="1" w:styleId="ASpacer">
    <w:name w:val="A_Spacer"/>
    <w:basedOn w:val="Normal-pool"/>
    <w:link w:val="ASpacerChar"/>
    <w:rsid w:val="00745545"/>
    <w:rPr>
      <w:sz w:val="2"/>
    </w:rPr>
  </w:style>
  <w:style w:type="character" w:customStyle="1" w:styleId="ASpacerChar">
    <w:name w:val="A_Spacer Char"/>
    <w:basedOn w:val="DefaultParagraphFont"/>
    <w:link w:val="ASpacer"/>
    <w:rsid w:val="00745545"/>
    <w:rPr>
      <w:rFonts w:eastAsia="Times New Roman"/>
      <w:sz w:val="2"/>
      <w:lang w:val="en-GB" w:eastAsia="en-US"/>
    </w:rPr>
  </w:style>
  <w:style w:type="paragraph" w:customStyle="1" w:styleId="AATitle1">
    <w:name w:val="AA_Title1"/>
    <w:basedOn w:val="Normal-pool"/>
    <w:rsid w:val="00745545"/>
  </w:style>
  <w:style w:type="character" w:styleId="UnresolvedMention">
    <w:name w:val="Unresolved Mention"/>
    <w:basedOn w:val="DefaultParagraphFont"/>
    <w:uiPriority w:val="99"/>
    <w:semiHidden/>
    <w:rsid w:val="00745545"/>
    <w:rPr>
      <w:color w:val="605E5C"/>
      <w:shd w:val="clear" w:color="auto" w:fill="E1DFDD"/>
      <w:lang w:val="en-GB"/>
    </w:rPr>
  </w:style>
  <w:style w:type="paragraph" w:customStyle="1" w:styleId="ANormal">
    <w:name w:val="A_Normal"/>
    <w:basedOn w:val="Normal-pool"/>
    <w:rsid w:val="00745545"/>
  </w:style>
  <w:style w:type="paragraph" w:customStyle="1" w:styleId="AText0">
    <w:name w:val="A_Text0"/>
    <w:basedOn w:val="AText"/>
    <w:next w:val="AText"/>
    <w:rsid w:val="00745545"/>
    <w:pPr>
      <w:tabs>
        <w:tab w:val="clear" w:pos="4990"/>
      </w:tabs>
      <w:spacing w:before="0" w:after="120"/>
    </w:pPr>
  </w:style>
  <w:style w:type="paragraph" w:styleId="Footer">
    <w:name w:val="footer"/>
    <w:basedOn w:val="Normal"/>
    <w:link w:val="FooterChar"/>
    <w:uiPriority w:val="99"/>
    <w:rsid w:val="00F046E6"/>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745545"/>
    <w:rPr>
      <w:rFonts w:eastAsia="Times New Roman"/>
      <w:b/>
      <w:sz w:val="18"/>
      <w:lang w:val="en-GB" w:eastAsia="en-US"/>
    </w:rPr>
  </w:style>
  <w:style w:type="paragraph" w:customStyle="1" w:styleId="Normal-pool">
    <w:name w:val="Normal-pool"/>
    <w:link w:val="Normal-poolChar"/>
    <w:qFormat/>
    <w:rsid w:val="00745545"/>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74554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45545"/>
    <w:pPr>
      <w:spacing w:before="60"/>
      <w:ind w:left="624"/>
    </w:pPr>
    <w:rPr>
      <w:rFonts w:eastAsiaTheme="minorEastAsia"/>
      <w:sz w:val="18"/>
    </w:rPr>
  </w:style>
  <w:style w:type="paragraph" w:styleId="Bibliography">
    <w:name w:val="Bibliography"/>
    <w:basedOn w:val="Normal"/>
    <w:next w:val="Normal"/>
    <w:uiPriority w:val="37"/>
    <w:semiHidden/>
    <w:rsid w:val="00745545"/>
  </w:style>
  <w:style w:type="paragraph" w:styleId="BlockText">
    <w:name w:val="Block Text"/>
    <w:basedOn w:val="Normal"/>
    <w:semiHidden/>
    <w:unhideWhenUsed/>
    <w:rsid w:val="0074554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45545"/>
    <w:pPr>
      <w:spacing w:after="120"/>
    </w:pPr>
  </w:style>
  <w:style w:type="character" w:customStyle="1" w:styleId="BodyTextChar">
    <w:name w:val="Body Text Char"/>
    <w:basedOn w:val="DefaultParagraphFont"/>
    <w:link w:val="BodyText"/>
    <w:semiHidden/>
    <w:rsid w:val="00745545"/>
    <w:rPr>
      <w:rFonts w:eastAsia="Times New Roman"/>
      <w:lang w:val="en-GB" w:eastAsia="en-US"/>
    </w:rPr>
  </w:style>
  <w:style w:type="paragraph" w:styleId="BodyText2">
    <w:name w:val="Body Text 2"/>
    <w:basedOn w:val="Normal"/>
    <w:link w:val="BodyText2Char"/>
    <w:semiHidden/>
    <w:unhideWhenUsed/>
    <w:rsid w:val="00745545"/>
    <w:pPr>
      <w:spacing w:after="120" w:line="480" w:lineRule="auto"/>
    </w:pPr>
  </w:style>
  <w:style w:type="character" w:customStyle="1" w:styleId="BodyText2Char">
    <w:name w:val="Body Text 2 Char"/>
    <w:basedOn w:val="DefaultParagraphFont"/>
    <w:link w:val="BodyText2"/>
    <w:semiHidden/>
    <w:rsid w:val="00745545"/>
    <w:rPr>
      <w:rFonts w:eastAsia="Times New Roman"/>
      <w:lang w:val="en-GB" w:eastAsia="en-US"/>
    </w:rPr>
  </w:style>
  <w:style w:type="paragraph" w:styleId="BodyText3">
    <w:name w:val="Body Text 3"/>
    <w:basedOn w:val="Normal"/>
    <w:link w:val="BodyText3Char"/>
    <w:semiHidden/>
    <w:unhideWhenUsed/>
    <w:rsid w:val="00745545"/>
    <w:pPr>
      <w:spacing w:after="120"/>
    </w:pPr>
    <w:rPr>
      <w:sz w:val="16"/>
      <w:szCs w:val="16"/>
    </w:rPr>
  </w:style>
  <w:style w:type="character" w:customStyle="1" w:styleId="BodyText3Char">
    <w:name w:val="Body Text 3 Char"/>
    <w:basedOn w:val="DefaultParagraphFont"/>
    <w:link w:val="BodyText3"/>
    <w:semiHidden/>
    <w:rsid w:val="0074554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45545"/>
    <w:pPr>
      <w:spacing w:after="0"/>
      <w:ind w:firstLine="360"/>
    </w:pPr>
  </w:style>
  <w:style w:type="character" w:customStyle="1" w:styleId="BodyTextFirstIndentChar">
    <w:name w:val="Body Text First Indent Char"/>
    <w:basedOn w:val="BodyTextChar"/>
    <w:link w:val="BodyTextFirstIndent"/>
    <w:semiHidden/>
    <w:rsid w:val="00745545"/>
    <w:rPr>
      <w:rFonts w:eastAsia="Times New Roman"/>
      <w:lang w:val="en-GB" w:eastAsia="en-US"/>
    </w:rPr>
  </w:style>
  <w:style w:type="paragraph" w:styleId="BodyTextIndent">
    <w:name w:val="Body Text Indent"/>
    <w:basedOn w:val="Normal"/>
    <w:link w:val="BodyTextIndentChar"/>
    <w:semiHidden/>
    <w:unhideWhenUsed/>
    <w:rsid w:val="00745545"/>
    <w:pPr>
      <w:spacing w:after="120"/>
      <w:ind w:left="283"/>
    </w:pPr>
  </w:style>
  <w:style w:type="character" w:customStyle="1" w:styleId="BodyTextIndentChar">
    <w:name w:val="Body Text Indent Char"/>
    <w:basedOn w:val="DefaultParagraphFont"/>
    <w:link w:val="BodyTextIndent"/>
    <w:semiHidden/>
    <w:rsid w:val="00745545"/>
    <w:rPr>
      <w:rFonts w:eastAsia="Times New Roman"/>
      <w:lang w:val="en-GB" w:eastAsia="en-US"/>
    </w:rPr>
  </w:style>
  <w:style w:type="paragraph" w:styleId="BodyTextFirstIndent2">
    <w:name w:val="Body Text First Indent 2"/>
    <w:basedOn w:val="BodyTextIndent"/>
    <w:link w:val="BodyTextFirstIndent2Char"/>
    <w:semiHidden/>
    <w:unhideWhenUsed/>
    <w:rsid w:val="00745545"/>
    <w:pPr>
      <w:spacing w:after="0"/>
      <w:ind w:left="360" w:firstLine="360"/>
    </w:pPr>
  </w:style>
  <w:style w:type="character" w:customStyle="1" w:styleId="BodyTextFirstIndent2Char">
    <w:name w:val="Body Text First Indent 2 Char"/>
    <w:basedOn w:val="BodyTextIndentChar"/>
    <w:link w:val="BodyTextFirstIndent2"/>
    <w:semiHidden/>
    <w:rsid w:val="00745545"/>
    <w:rPr>
      <w:rFonts w:eastAsia="Times New Roman"/>
      <w:lang w:val="en-GB" w:eastAsia="en-US"/>
    </w:rPr>
  </w:style>
  <w:style w:type="paragraph" w:styleId="BodyTextIndent2">
    <w:name w:val="Body Text Indent 2"/>
    <w:basedOn w:val="Normal"/>
    <w:link w:val="BodyTextIndent2Char"/>
    <w:semiHidden/>
    <w:unhideWhenUsed/>
    <w:rsid w:val="00745545"/>
    <w:pPr>
      <w:spacing w:after="120" w:line="480" w:lineRule="auto"/>
      <w:ind w:left="283"/>
    </w:pPr>
  </w:style>
  <w:style w:type="character" w:customStyle="1" w:styleId="BodyTextIndent2Char">
    <w:name w:val="Body Text Indent 2 Char"/>
    <w:basedOn w:val="DefaultParagraphFont"/>
    <w:link w:val="BodyTextIndent2"/>
    <w:semiHidden/>
    <w:rsid w:val="00745545"/>
    <w:rPr>
      <w:rFonts w:eastAsia="Times New Roman"/>
      <w:lang w:val="en-GB" w:eastAsia="en-US"/>
    </w:rPr>
  </w:style>
  <w:style w:type="paragraph" w:styleId="BodyTextIndent3">
    <w:name w:val="Body Text Indent 3"/>
    <w:basedOn w:val="Normal"/>
    <w:link w:val="BodyTextIndent3Char"/>
    <w:semiHidden/>
    <w:unhideWhenUsed/>
    <w:rsid w:val="00745545"/>
    <w:pPr>
      <w:spacing w:after="120"/>
      <w:ind w:left="283"/>
    </w:pPr>
    <w:rPr>
      <w:sz w:val="16"/>
      <w:szCs w:val="16"/>
    </w:rPr>
  </w:style>
  <w:style w:type="character" w:customStyle="1" w:styleId="BodyTextIndent3Char">
    <w:name w:val="Body Text Indent 3 Char"/>
    <w:basedOn w:val="DefaultParagraphFont"/>
    <w:link w:val="BodyTextIndent3"/>
    <w:semiHidden/>
    <w:rsid w:val="00745545"/>
    <w:rPr>
      <w:rFonts w:eastAsia="Times New Roman"/>
      <w:sz w:val="16"/>
      <w:szCs w:val="16"/>
      <w:lang w:val="en-GB" w:eastAsia="en-US"/>
    </w:rPr>
  </w:style>
  <w:style w:type="character" w:styleId="BookTitle">
    <w:name w:val="Book Title"/>
    <w:basedOn w:val="DefaultParagraphFont"/>
    <w:uiPriority w:val="33"/>
    <w:semiHidden/>
    <w:qFormat/>
    <w:rsid w:val="00745545"/>
    <w:rPr>
      <w:b/>
      <w:bCs/>
      <w:i/>
      <w:iCs/>
      <w:spacing w:val="5"/>
      <w:lang w:val="en-GB"/>
    </w:rPr>
  </w:style>
  <w:style w:type="paragraph" w:styleId="Caption">
    <w:name w:val="caption"/>
    <w:basedOn w:val="Normal"/>
    <w:next w:val="Normal"/>
    <w:semiHidden/>
    <w:unhideWhenUsed/>
    <w:qFormat/>
    <w:rsid w:val="00745545"/>
    <w:pPr>
      <w:spacing w:after="200"/>
    </w:pPr>
    <w:rPr>
      <w:i/>
      <w:iCs/>
      <w:color w:val="1F497D" w:themeColor="text2"/>
      <w:sz w:val="18"/>
      <w:szCs w:val="18"/>
    </w:rPr>
  </w:style>
  <w:style w:type="paragraph" w:styleId="Closing">
    <w:name w:val="Closing"/>
    <w:basedOn w:val="Normal"/>
    <w:link w:val="ClosingChar"/>
    <w:semiHidden/>
    <w:unhideWhenUsed/>
    <w:rsid w:val="00745545"/>
    <w:pPr>
      <w:ind w:left="4252"/>
    </w:pPr>
  </w:style>
  <w:style w:type="character" w:customStyle="1" w:styleId="ClosingChar">
    <w:name w:val="Closing Char"/>
    <w:basedOn w:val="DefaultParagraphFont"/>
    <w:link w:val="Closing"/>
    <w:semiHidden/>
    <w:rsid w:val="00745545"/>
    <w:rPr>
      <w:rFonts w:eastAsia="Times New Roman"/>
      <w:lang w:val="en-GB" w:eastAsia="en-US"/>
    </w:rPr>
  </w:style>
  <w:style w:type="table" w:styleId="ColorfulGrid">
    <w:name w:val="Colorful Grid"/>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4554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4554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4554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4554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4554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4554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4554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4554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4554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4554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4554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4554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4554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455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4554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4554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455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4554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455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4554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45545"/>
  </w:style>
  <w:style w:type="character" w:customStyle="1" w:styleId="DateChar">
    <w:name w:val="Date Char"/>
    <w:basedOn w:val="DefaultParagraphFont"/>
    <w:link w:val="Date"/>
    <w:semiHidden/>
    <w:rsid w:val="00745545"/>
    <w:rPr>
      <w:rFonts w:eastAsia="Times New Roman"/>
      <w:lang w:val="en-GB" w:eastAsia="en-US"/>
    </w:rPr>
  </w:style>
  <w:style w:type="paragraph" w:styleId="DocumentMap">
    <w:name w:val="Document Map"/>
    <w:basedOn w:val="Normal"/>
    <w:link w:val="DocumentMapChar"/>
    <w:semiHidden/>
    <w:unhideWhenUsed/>
    <w:rsid w:val="00745545"/>
    <w:rPr>
      <w:rFonts w:ascii="Segoe UI" w:hAnsi="Segoe UI" w:cs="Segoe UI"/>
      <w:sz w:val="16"/>
      <w:szCs w:val="16"/>
    </w:rPr>
  </w:style>
  <w:style w:type="character" w:customStyle="1" w:styleId="DocumentMapChar">
    <w:name w:val="Document Map Char"/>
    <w:basedOn w:val="DefaultParagraphFont"/>
    <w:link w:val="DocumentMap"/>
    <w:semiHidden/>
    <w:rsid w:val="0074554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45545"/>
  </w:style>
  <w:style w:type="character" w:customStyle="1" w:styleId="E-mailSignatureChar">
    <w:name w:val="E-mail Signature Char"/>
    <w:basedOn w:val="DefaultParagraphFont"/>
    <w:link w:val="E-mailSignature"/>
    <w:semiHidden/>
    <w:rsid w:val="00745545"/>
    <w:rPr>
      <w:rFonts w:eastAsia="Times New Roman"/>
      <w:lang w:val="en-GB" w:eastAsia="en-US"/>
    </w:rPr>
  </w:style>
  <w:style w:type="character" w:styleId="Emphasis">
    <w:name w:val="Emphasis"/>
    <w:basedOn w:val="DefaultParagraphFont"/>
    <w:semiHidden/>
    <w:qFormat/>
    <w:rsid w:val="00745545"/>
    <w:rPr>
      <w:i/>
      <w:iCs/>
      <w:lang w:val="en-GB"/>
    </w:rPr>
  </w:style>
  <w:style w:type="character" w:styleId="EndnoteReference">
    <w:name w:val="endnote reference"/>
    <w:basedOn w:val="DefaultParagraphFont"/>
    <w:semiHidden/>
    <w:unhideWhenUsed/>
    <w:rsid w:val="00745545"/>
    <w:rPr>
      <w:vertAlign w:val="superscript"/>
      <w:lang w:val="en-GB"/>
    </w:rPr>
  </w:style>
  <w:style w:type="paragraph" w:styleId="EndnoteText">
    <w:name w:val="endnote text"/>
    <w:basedOn w:val="Normal"/>
    <w:link w:val="EndnoteTextChar"/>
    <w:semiHidden/>
    <w:unhideWhenUsed/>
    <w:rsid w:val="00745545"/>
  </w:style>
  <w:style w:type="character" w:customStyle="1" w:styleId="EndnoteTextChar">
    <w:name w:val="Endnote Text Char"/>
    <w:basedOn w:val="DefaultParagraphFont"/>
    <w:link w:val="EndnoteText"/>
    <w:semiHidden/>
    <w:rsid w:val="00745545"/>
    <w:rPr>
      <w:rFonts w:eastAsia="Times New Roman"/>
      <w:lang w:val="en-GB" w:eastAsia="en-US"/>
    </w:rPr>
  </w:style>
  <w:style w:type="paragraph" w:styleId="EnvelopeAddress">
    <w:name w:val="envelope address"/>
    <w:basedOn w:val="Normal"/>
    <w:semiHidden/>
    <w:unhideWhenUsed/>
    <w:rsid w:val="007455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45545"/>
    <w:rPr>
      <w:rFonts w:asciiTheme="majorHAnsi" w:eastAsiaTheme="majorEastAsia" w:hAnsiTheme="majorHAnsi" w:cstheme="majorBidi"/>
    </w:rPr>
  </w:style>
  <w:style w:type="paragraph" w:styleId="FootnoteText">
    <w:name w:val="footnote text"/>
    <w:basedOn w:val="Normal"/>
    <w:link w:val="FootnoteTextChar"/>
    <w:semiHidden/>
    <w:unhideWhenUsed/>
    <w:rsid w:val="00745545"/>
  </w:style>
  <w:style w:type="character" w:customStyle="1" w:styleId="FootnoteTextChar">
    <w:name w:val="Footnote Text Char"/>
    <w:basedOn w:val="DefaultParagraphFont"/>
    <w:link w:val="FootnoteText"/>
    <w:semiHidden/>
    <w:rsid w:val="00745545"/>
    <w:rPr>
      <w:rFonts w:eastAsia="Times New Roman"/>
      <w:lang w:val="en-GB" w:eastAsia="en-US"/>
    </w:rPr>
  </w:style>
  <w:style w:type="table" w:styleId="GridTable1Light">
    <w:name w:val="Grid Table 1 Light"/>
    <w:basedOn w:val="TableNormal"/>
    <w:uiPriority w:val="46"/>
    <w:rsid w:val="007455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455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4554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4554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4554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554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4554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455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4554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4554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4554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4554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4554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4554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455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455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4554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4554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4554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4554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4554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4554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455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4554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4554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4554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4554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4554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4554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45545"/>
    <w:rPr>
      <w:color w:val="2B579A"/>
      <w:shd w:val="clear" w:color="auto" w:fill="E1DFDD"/>
      <w:lang w:val="en-GB"/>
    </w:rPr>
  </w:style>
  <w:style w:type="character" w:styleId="HTMLAcronym">
    <w:name w:val="HTML Acronym"/>
    <w:basedOn w:val="DefaultParagraphFont"/>
    <w:semiHidden/>
    <w:unhideWhenUsed/>
    <w:rsid w:val="00745545"/>
    <w:rPr>
      <w:lang w:val="en-GB"/>
    </w:rPr>
  </w:style>
  <w:style w:type="paragraph" w:styleId="HTMLAddress">
    <w:name w:val="HTML Address"/>
    <w:basedOn w:val="Normal"/>
    <w:link w:val="HTMLAddressChar"/>
    <w:semiHidden/>
    <w:unhideWhenUsed/>
    <w:rsid w:val="00745545"/>
    <w:rPr>
      <w:i/>
      <w:iCs/>
    </w:rPr>
  </w:style>
  <w:style w:type="character" w:customStyle="1" w:styleId="HTMLAddressChar">
    <w:name w:val="HTML Address Char"/>
    <w:basedOn w:val="DefaultParagraphFont"/>
    <w:link w:val="HTMLAddress"/>
    <w:semiHidden/>
    <w:rsid w:val="00745545"/>
    <w:rPr>
      <w:rFonts w:eastAsia="Times New Roman"/>
      <w:i/>
      <w:iCs/>
      <w:lang w:val="en-GB" w:eastAsia="en-US"/>
    </w:rPr>
  </w:style>
  <w:style w:type="character" w:styleId="HTMLCite">
    <w:name w:val="HTML Cite"/>
    <w:basedOn w:val="DefaultParagraphFont"/>
    <w:semiHidden/>
    <w:unhideWhenUsed/>
    <w:rsid w:val="00745545"/>
    <w:rPr>
      <w:i/>
      <w:iCs/>
      <w:lang w:val="en-GB"/>
    </w:rPr>
  </w:style>
  <w:style w:type="character" w:styleId="HTMLCode">
    <w:name w:val="HTML Code"/>
    <w:basedOn w:val="DefaultParagraphFont"/>
    <w:semiHidden/>
    <w:unhideWhenUsed/>
    <w:rsid w:val="00745545"/>
    <w:rPr>
      <w:rFonts w:ascii="Consolas" w:hAnsi="Consolas"/>
      <w:sz w:val="20"/>
      <w:szCs w:val="20"/>
      <w:lang w:val="en-GB"/>
    </w:rPr>
  </w:style>
  <w:style w:type="character" w:styleId="HTMLDefinition">
    <w:name w:val="HTML Definition"/>
    <w:basedOn w:val="DefaultParagraphFont"/>
    <w:semiHidden/>
    <w:unhideWhenUsed/>
    <w:rsid w:val="00745545"/>
    <w:rPr>
      <w:i/>
      <w:iCs/>
      <w:lang w:val="en-GB"/>
    </w:rPr>
  </w:style>
  <w:style w:type="character" w:styleId="HTMLKeyboard">
    <w:name w:val="HTML Keyboard"/>
    <w:basedOn w:val="DefaultParagraphFont"/>
    <w:semiHidden/>
    <w:unhideWhenUsed/>
    <w:rsid w:val="00745545"/>
    <w:rPr>
      <w:rFonts w:ascii="Consolas" w:hAnsi="Consolas"/>
      <w:sz w:val="20"/>
      <w:szCs w:val="20"/>
      <w:lang w:val="en-GB"/>
    </w:rPr>
  </w:style>
  <w:style w:type="paragraph" w:styleId="HTMLPreformatted">
    <w:name w:val="HTML Preformatted"/>
    <w:basedOn w:val="Normal"/>
    <w:link w:val="HTMLPreformattedChar"/>
    <w:semiHidden/>
    <w:unhideWhenUsed/>
    <w:rsid w:val="00745545"/>
    <w:rPr>
      <w:rFonts w:ascii="Consolas" w:hAnsi="Consolas"/>
    </w:rPr>
  </w:style>
  <w:style w:type="character" w:customStyle="1" w:styleId="HTMLPreformattedChar">
    <w:name w:val="HTML Preformatted Char"/>
    <w:basedOn w:val="DefaultParagraphFont"/>
    <w:link w:val="HTMLPreformatted"/>
    <w:semiHidden/>
    <w:rsid w:val="00745545"/>
    <w:rPr>
      <w:rFonts w:ascii="Consolas" w:eastAsia="Times New Roman" w:hAnsi="Consolas"/>
      <w:lang w:val="en-GB" w:eastAsia="en-US"/>
    </w:rPr>
  </w:style>
  <w:style w:type="character" w:styleId="HTMLSample">
    <w:name w:val="HTML Sample"/>
    <w:basedOn w:val="DefaultParagraphFont"/>
    <w:semiHidden/>
    <w:unhideWhenUsed/>
    <w:rsid w:val="00745545"/>
    <w:rPr>
      <w:rFonts w:ascii="Consolas" w:hAnsi="Consolas"/>
      <w:sz w:val="24"/>
      <w:szCs w:val="24"/>
      <w:lang w:val="en-GB"/>
    </w:rPr>
  </w:style>
  <w:style w:type="character" w:styleId="HTMLTypewriter">
    <w:name w:val="HTML Typewriter"/>
    <w:basedOn w:val="DefaultParagraphFont"/>
    <w:semiHidden/>
    <w:unhideWhenUsed/>
    <w:rsid w:val="00745545"/>
    <w:rPr>
      <w:rFonts w:ascii="Consolas" w:hAnsi="Consolas"/>
      <w:sz w:val="20"/>
      <w:szCs w:val="20"/>
      <w:lang w:val="en-GB"/>
    </w:rPr>
  </w:style>
  <w:style w:type="character" w:styleId="HTMLVariable">
    <w:name w:val="HTML Variable"/>
    <w:basedOn w:val="DefaultParagraphFont"/>
    <w:semiHidden/>
    <w:unhideWhenUsed/>
    <w:rsid w:val="00745545"/>
    <w:rPr>
      <w:i/>
      <w:iCs/>
      <w:lang w:val="en-GB"/>
    </w:rPr>
  </w:style>
  <w:style w:type="paragraph" w:styleId="Index1">
    <w:name w:val="index 1"/>
    <w:basedOn w:val="Normal"/>
    <w:next w:val="Normal"/>
    <w:autoRedefine/>
    <w:semiHidden/>
    <w:unhideWhenUsed/>
    <w:rsid w:val="00745545"/>
    <w:pPr>
      <w:tabs>
        <w:tab w:val="clear" w:pos="1247"/>
      </w:tabs>
      <w:ind w:left="200" w:hanging="200"/>
    </w:pPr>
  </w:style>
  <w:style w:type="paragraph" w:styleId="Index2">
    <w:name w:val="index 2"/>
    <w:basedOn w:val="Normal"/>
    <w:next w:val="Normal"/>
    <w:autoRedefine/>
    <w:semiHidden/>
    <w:unhideWhenUsed/>
    <w:rsid w:val="00745545"/>
    <w:pPr>
      <w:tabs>
        <w:tab w:val="clear" w:pos="1247"/>
      </w:tabs>
      <w:ind w:left="400" w:hanging="200"/>
    </w:pPr>
  </w:style>
  <w:style w:type="paragraph" w:styleId="Index3">
    <w:name w:val="index 3"/>
    <w:basedOn w:val="Normal"/>
    <w:next w:val="Normal"/>
    <w:autoRedefine/>
    <w:semiHidden/>
    <w:unhideWhenUsed/>
    <w:rsid w:val="00745545"/>
    <w:pPr>
      <w:tabs>
        <w:tab w:val="clear" w:pos="1247"/>
      </w:tabs>
      <w:ind w:left="600" w:hanging="200"/>
    </w:pPr>
  </w:style>
  <w:style w:type="paragraph" w:styleId="Index4">
    <w:name w:val="index 4"/>
    <w:basedOn w:val="Normal"/>
    <w:next w:val="Normal"/>
    <w:autoRedefine/>
    <w:semiHidden/>
    <w:unhideWhenUsed/>
    <w:rsid w:val="00745545"/>
    <w:pPr>
      <w:tabs>
        <w:tab w:val="clear" w:pos="1247"/>
      </w:tabs>
      <w:ind w:left="800" w:hanging="200"/>
    </w:pPr>
  </w:style>
  <w:style w:type="paragraph" w:styleId="Index5">
    <w:name w:val="index 5"/>
    <w:basedOn w:val="Normal"/>
    <w:next w:val="Normal"/>
    <w:autoRedefine/>
    <w:semiHidden/>
    <w:unhideWhenUsed/>
    <w:rsid w:val="00745545"/>
    <w:pPr>
      <w:tabs>
        <w:tab w:val="clear" w:pos="1247"/>
      </w:tabs>
      <w:ind w:left="1000" w:hanging="200"/>
    </w:pPr>
  </w:style>
  <w:style w:type="paragraph" w:styleId="Index6">
    <w:name w:val="index 6"/>
    <w:basedOn w:val="Normal"/>
    <w:next w:val="Normal"/>
    <w:autoRedefine/>
    <w:semiHidden/>
    <w:unhideWhenUsed/>
    <w:rsid w:val="00745545"/>
    <w:pPr>
      <w:tabs>
        <w:tab w:val="clear" w:pos="1247"/>
      </w:tabs>
      <w:ind w:left="1200" w:hanging="200"/>
    </w:pPr>
  </w:style>
  <w:style w:type="paragraph" w:styleId="Index7">
    <w:name w:val="index 7"/>
    <w:basedOn w:val="Normal"/>
    <w:next w:val="Normal"/>
    <w:autoRedefine/>
    <w:semiHidden/>
    <w:unhideWhenUsed/>
    <w:rsid w:val="00745545"/>
    <w:pPr>
      <w:tabs>
        <w:tab w:val="clear" w:pos="1247"/>
      </w:tabs>
      <w:ind w:left="1400" w:hanging="200"/>
    </w:pPr>
  </w:style>
  <w:style w:type="paragraph" w:styleId="Index8">
    <w:name w:val="index 8"/>
    <w:basedOn w:val="Normal"/>
    <w:next w:val="Normal"/>
    <w:autoRedefine/>
    <w:semiHidden/>
    <w:unhideWhenUsed/>
    <w:rsid w:val="00745545"/>
    <w:pPr>
      <w:tabs>
        <w:tab w:val="clear" w:pos="1247"/>
      </w:tabs>
      <w:ind w:left="1600" w:hanging="200"/>
    </w:pPr>
  </w:style>
  <w:style w:type="paragraph" w:styleId="Index9">
    <w:name w:val="index 9"/>
    <w:basedOn w:val="Normal"/>
    <w:next w:val="Normal"/>
    <w:autoRedefine/>
    <w:semiHidden/>
    <w:unhideWhenUsed/>
    <w:rsid w:val="00745545"/>
    <w:pPr>
      <w:tabs>
        <w:tab w:val="clear" w:pos="1247"/>
      </w:tabs>
      <w:ind w:left="1800" w:hanging="200"/>
    </w:pPr>
  </w:style>
  <w:style w:type="paragraph" w:styleId="IndexHeading">
    <w:name w:val="index heading"/>
    <w:basedOn w:val="Normal"/>
    <w:next w:val="Index1"/>
    <w:semiHidden/>
    <w:unhideWhenUsed/>
    <w:rsid w:val="0074554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45545"/>
    <w:rPr>
      <w:i/>
      <w:iCs/>
      <w:color w:val="4F81BD" w:themeColor="accent1"/>
      <w:lang w:val="en-GB"/>
    </w:rPr>
  </w:style>
  <w:style w:type="paragraph" w:styleId="IntenseQuote">
    <w:name w:val="Intense Quote"/>
    <w:basedOn w:val="Normal"/>
    <w:next w:val="Normal"/>
    <w:link w:val="IntenseQuoteChar"/>
    <w:uiPriority w:val="30"/>
    <w:semiHidden/>
    <w:qFormat/>
    <w:rsid w:val="0074554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4554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745545"/>
    <w:rPr>
      <w:b/>
      <w:bCs/>
      <w:smallCaps/>
      <w:color w:val="4F81BD" w:themeColor="accent1"/>
      <w:spacing w:val="5"/>
      <w:lang w:val="en-GB"/>
    </w:rPr>
  </w:style>
  <w:style w:type="table" w:styleId="LightGrid">
    <w:name w:val="Light Grid"/>
    <w:basedOn w:val="TableNormal"/>
    <w:uiPriority w:val="62"/>
    <w:semiHidden/>
    <w:unhideWhenUsed/>
    <w:rsid w:val="007455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455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4554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455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4554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4554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4554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455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4554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4554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455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4554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4554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4554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455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4554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4554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4554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4554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455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4554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45545"/>
    <w:rPr>
      <w:lang w:val="en-GB"/>
    </w:rPr>
  </w:style>
  <w:style w:type="paragraph" w:styleId="List">
    <w:name w:val="List"/>
    <w:basedOn w:val="Normal"/>
    <w:semiHidden/>
    <w:unhideWhenUsed/>
    <w:rsid w:val="00745545"/>
    <w:pPr>
      <w:ind w:left="283" w:hanging="283"/>
      <w:contextualSpacing/>
    </w:pPr>
  </w:style>
  <w:style w:type="paragraph" w:styleId="List2">
    <w:name w:val="List 2"/>
    <w:basedOn w:val="Normal"/>
    <w:semiHidden/>
    <w:unhideWhenUsed/>
    <w:rsid w:val="00745545"/>
    <w:pPr>
      <w:ind w:left="566" w:hanging="283"/>
      <w:contextualSpacing/>
    </w:pPr>
  </w:style>
  <w:style w:type="paragraph" w:styleId="List3">
    <w:name w:val="List 3"/>
    <w:basedOn w:val="Normal"/>
    <w:semiHidden/>
    <w:unhideWhenUsed/>
    <w:rsid w:val="00745545"/>
    <w:pPr>
      <w:ind w:left="849" w:hanging="283"/>
      <w:contextualSpacing/>
    </w:pPr>
  </w:style>
  <w:style w:type="paragraph" w:styleId="List4">
    <w:name w:val="List 4"/>
    <w:basedOn w:val="Normal"/>
    <w:semiHidden/>
    <w:unhideWhenUsed/>
    <w:rsid w:val="00745545"/>
    <w:pPr>
      <w:ind w:left="1132" w:hanging="283"/>
      <w:contextualSpacing/>
    </w:pPr>
  </w:style>
  <w:style w:type="paragraph" w:styleId="List5">
    <w:name w:val="List 5"/>
    <w:basedOn w:val="Normal"/>
    <w:semiHidden/>
    <w:unhideWhenUsed/>
    <w:rsid w:val="00745545"/>
    <w:pPr>
      <w:ind w:left="1415" w:hanging="283"/>
      <w:contextualSpacing/>
    </w:pPr>
  </w:style>
  <w:style w:type="paragraph" w:styleId="ListBullet">
    <w:name w:val="List Bullet"/>
    <w:basedOn w:val="Normal"/>
    <w:semiHidden/>
    <w:rsid w:val="00745545"/>
    <w:pPr>
      <w:numPr>
        <w:numId w:val="6"/>
      </w:numPr>
      <w:contextualSpacing/>
    </w:pPr>
  </w:style>
  <w:style w:type="paragraph" w:styleId="ListBullet2">
    <w:name w:val="List Bullet 2"/>
    <w:basedOn w:val="Normal"/>
    <w:semiHidden/>
    <w:unhideWhenUsed/>
    <w:rsid w:val="00745545"/>
    <w:pPr>
      <w:numPr>
        <w:numId w:val="7"/>
      </w:numPr>
      <w:contextualSpacing/>
    </w:pPr>
  </w:style>
  <w:style w:type="paragraph" w:styleId="ListBullet3">
    <w:name w:val="List Bullet 3"/>
    <w:basedOn w:val="Normal"/>
    <w:semiHidden/>
    <w:unhideWhenUsed/>
    <w:rsid w:val="00745545"/>
    <w:pPr>
      <w:numPr>
        <w:numId w:val="8"/>
      </w:numPr>
      <w:contextualSpacing/>
    </w:pPr>
  </w:style>
  <w:style w:type="paragraph" w:styleId="ListBullet4">
    <w:name w:val="List Bullet 4"/>
    <w:basedOn w:val="Normal"/>
    <w:semiHidden/>
    <w:unhideWhenUsed/>
    <w:rsid w:val="00745545"/>
    <w:pPr>
      <w:numPr>
        <w:numId w:val="9"/>
      </w:numPr>
      <w:contextualSpacing/>
    </w:pPr>
  </w:style>
  <w:style w:type="paragraph" w:styleId="ListBullet5">
    <w:name w:val="List Bullet 5"/>
    <w:basedOn w:val="Normal"/>
    <w:semiHidden/>
    <w:unhideWhenUsed/>
    <w:rsid w:val="00745545"/>
    <w:pPr>
      <w:numPr>
        <w:numId w:val="10"/>
      </w:numPr>
      <w:contextualSpacing/>
    </w:pPr>
  </w:style>
  <w:style w:type="paragraph" w:styleId="ListContinue">
    <w:name w:val="List Continue"/>
    <w:basedOn w:val="Normal"/>
    <w:semiHidden/>
    <w:unhideWhenUsed/>
    <w:rsid w:val="00745545"/>
    <w:pPr>
      <w:spacing w:after="120"/>
      <w:ind w:left="283"/>
      <w:contextualSpacing/>
    </w:pPr>
  </w:style>
  <w:style w:type="paragraph" w:styleId="ListContinue2">
    <w:name w:val="List Continue 2"/>
    <w:basedOn w:val="Normal"/>
    <w:semiHidden/>
    <w:unhideWhenUsed/>
    <w:rsid w:val="00745545"/>
    <w:pPr>
      <w:spacing w:after="120"/>
      <w:ind w:left="566"/>
      <w:contextualSpacing/>
    </w:pPr>
  </w:style>
  <w:style w:type="paragraph" w:styleId="ListContinue3">
    <w:name w:val="List Continue 3"/>
    <w:basedOn w:val="Normal"/>
    <w:semiHidden/>
    <w:rsid w:val="00745545"/>
    <w:pPr>
      <w:spacing w:after="120"/>
      <w:ind w:left="849"/>
      <w:contextualSpacing/>
    </w:pPr>
  </w:style>
  <w:style w:type="paragraph" w:styleId="ListContinue4">
    <w:name w:val="List Continue 4"/>
    <w:basedOn w:val="Normal"/>
    <w:semiHidden/>
    <w:rsid w:val="00745545"/>
    <w:pPr>
      <w:spacing w:after="120"/>
      <w:ind w:left="1132"/>
      <w:contextualSpacing/>
    </w:pPr>
  </w:style>
  <w:style w:type="paragraph" w:styleId="ListContinue5">
    <w:name w:val="List Continue 5"/>
    <w:basedOn w:val="Normal"/>
    <w:semiHidden/>
    <w:rsid w:val="00745545"/>
    <w:pPr>
      <w:spacing w:after="120"/>
      <w:ind w:left="1415"/>
      <w:contextualSpacing/>
    </w:pPr>
  </w:style>
  <w:style w:type="paragraph" w:styleId="ListNumber">
    <w:name w:val="List Number"/>
    <w:basedOn w:val="Normal"/>
    <w:semiHidden/>
    <w:rsid w:val="00745545"/>
    <w:pPr>
      <w:numPr>
        <w:numId w:val="11"/>
      </w:numPr>
      <w:contextualSpacing/>
    </w:pPr>
  </w:style>
  <w:style w:type="paragraph" w:styleId="ListNumber2">
    <w:name w:val="List Number 2"/>
    <w:basedOn w:val="Normal"/>
    <w:semiHidden/>
    <w:unhideWhenUsed/>
    <w:rsid w:val="00745545"/>
    <w:pPr>
      <w:numPr>
        <w:numId w:val="12"/>
      </w:numPr>
      <w:contextualSpacing/>
    </w:pPr>
  </w:style>
  <w:style w:type="paragraph" w:styleId="ListNumber3">
    <w:name w:val="List Number 3"/>
    <w:basedOn w:val="Normal"/>
    <w:semiHidden/>
    <w:unhideWhenUsed/>
    <w:rsid w:val="00745545"/>
    <w:pPr>
      <w:numPr>
        <w:numId w:val="13"/>
      </w:numPr>
      <w:contextualSpacing/>
    </w:pPr>
  </w:style>
  <w:style w:type="paragraph" w:styleId="ListNumber4">
    <w:name w:val="List Number 4"/>
    <w:basedOn w:val="Normal"/>
    <w:semiHidden/>
    <w:unhideWhenUsed/>
    <w:rsid w:val="00745545"/>
    <w:pPr>
      <w:numPr>
        <w:numId w:val="14"/>
      </w:numPr>
      <w:contextualSpacing/>
    </w:pPr>
  </w:style>
  <w:style w:type="paragraph" w:styleId="ListNumber5">
    <w:name w:val="List Number 5"/>
    <w:basedOn w:val="Normal"/>
    <w:semiHidden/>
    <w:unhideWhenUsed/>
    <w:rsid w:val="00745545"/>
    <w:pPr>
      <w:numPr>
        <w:numId w:val="15"/>
      </w:numPr>
      <w:contextualSpacing/>
    </w:pPr>
  </w:style>
  <w:style w:type="table" w:styleId="ListTable1Light">
    <w:name w:val="List Table 1 Light"/>
    <w:basedOn w:val="TableNormal"/>
    <w:uiPriority w:val="46"/>
    <w:rsid w:val="007455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4554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4554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4554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4554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4554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4554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455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4554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4554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4554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4554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4554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4554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455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4554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4554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4554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4554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4554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4554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455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455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455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455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455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455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455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455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554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4554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554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554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4554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554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554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554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4554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4554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4554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4554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4554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4554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4554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4554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4554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4554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4554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4554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4554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745545"/>
    <w:rPr>
      <w:rFonts w:ascii="Consolas" w:eastAsia="Times New Roman" w:hAnsi="Consolas"/>
      <w:lang w:val="en-GB" w:eastAsia="en-US"/>
    </w:rPr>
  </w:style>
  <w:style w:type="table" w:styleId="MediumGrid1">
    <w:name w:val="Medium Grid 1"/>
    <w:basedOn w:val="TableNormal"/>
    <w:uiPriority w:val="67"/>
    <w:semiHidden/>
    <w:unhideWhenUsed/>
    <w:rsid w:val="007455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4554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4554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4554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4554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4554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4554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455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4554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4554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4554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4554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455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4554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4554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4554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455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4554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4554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4554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4554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4554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4554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455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745545"/>
    <w:rPr>
      <w:color w:val="2B579A"/>
      <w:shd w:val="clear" w:color="auto" w:fill="E1DFDD"/>
      <w:lang w:val="en-GB"/>
    </w:rPr>
  </w:style>
  <w:style w:type="paragraph" w:styleId="MessageHeader">
    <w:name w:val="Message Header"/>
    <w:basedOn w:val="Normal"/>
    <w:link w:val="MessageHeaderChar"/>
    <w:semiHidden/>
    <w:rsid w:val="0074554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4554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45545"/>
    <w:pPr>
      <w:ind w:left="720"/>
    </w:pPr>
  </w:style>
  <w:style w:type="paragraph" w:styleId="NoteHeading">
    <w:name w:val="Note Heading"/>
    <w:basedOn w:val="Normal"/>
    <w:next w:val="Normal"/>
    <w:link w:val="NoteHeadingChar"/>
    <w:semiHidden/>
    <w:unhideWhenUsed/>
    <w:rsid w:val="00745545"/>
  </w:style>
  <w:style w:type="character" w:customStyle="1" w:styleId="NoteHeadingChar">
    <w:name w:val="Note Heading Char"/>
    <w:basedOn w:val="DefaultParagraphFont"/>
    <w:link w:val="NoteHeading"/>
    <w:semiHidden/>
    <w:rsid w:val="00745545"/>
    <w:rPr>
      <w:rFonts w:eastAsia="Times New Roman"/>
      <w:lang w:val="en-GB" w:eastAsia="en-US"/>
    </w:rPr>
  </w:style>
  <w:style w:type="table" w:styleId="PlainTable1">
    <w:name w:val="Plain Table 1"/>
    <w:basedOn w:val="TableNormal"/>
    <w:uiPriority w:val="41"/>
    <w:rsid w:val="007455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455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455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455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455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45545"/>
    <w:rPr>
      <w:rFonts w:ascii="Consolas" w:hAnsi="Consolas"/>
      <w:sz w:val="21"/>
      <w:szCs w:val="21"/>
    </w:rPr>
  </w:style>
  <w:style w:type="character" w:customStyle="1" w:styleId="PlainTextChar">
    <w:name w:val="Plain Text Char"/>
    <w:basedOn w:val="DefaultParagraphFont"/>
    <w:link w:val="PlainText"/>
    <w:semiHidden/>
    <w:rsid w:val="0074554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7455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4554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45545"/>
  </w:style>
  <w:style w:type="character" w:customStyle="1" w:styleId="SalutationChar">
    <w:name w:val="Salutation Char"/>
    <w:basedOn w:val="DefaultParagraphFont"/>
    <w:link w:val="Salutation"/>
    <w:semiHidden/>
    <w:rsid w:val="00745545"/>
    <w:rPr>
      <w:rFonts w:eastAsia="Times New Roman"/>
      <w:lang w:val="en-GB" w:eastAsia="en-US"/>
    </w:rPr>
  </w:style>
  <w:style w:type="paragraph" w:styleId="Signature">
    <w:name w:val="Signature"/>
    <w:basedOn w:val="Normal"/>
    <w:link w:val="SignatureChar"/>
    <w:semiHidden/>
    <w:unhideWhenUsed/>
    <w:rsid w:val="00745545"/>
    <w:pPr>
      <w:ind w:left="4252"/>
    </w:pPr>
  </w:style>
  <w:style w:type="character" w:customStyle="1" w:styleId="SignatureChar">
    <w:name w:val="Signature Char"/>
    <w:basedOn w:val="DefaultParagraphFont"/>
    <w:link w:val="Signature"/>
    <w:semiHidden/>
    <w:rsid w:val="00745545"/>
    <w:rPr>
      <w:rFonts w:eastAsia="Times New Roman"/>
      <w:lang w:val="en-GB" w:eastAsia="en-US"/>
    </w:rPr>
  </w:style>
  <w:style w:type="character" w:styleId="SmartHyperlink">
    <w:name w:val="Smart Hyperlink"/>
    <w:basedOn w:val="DefaultParagraphFont"/>
    <w:uiPriority w:val="99"/>
    <w:semiHidden/>
    <w:rsid w:val="00745545"/>
    <w:rPr>
      <w:u w:val="dotted"/>
      <w:lang w:val="en-GB"/>
    </w:rPr>
  </w:style>
  <w:style w:type="character" w:styleId="SmartLink">
    <w:name w:val="Smart Link"/>
    <w:basedOn w:val="DefaultParagraphFont"/>
    <w:uiPriority w:val="99"/>
    <w:semiHidden/>
    <w:unhideWhenUsed/>
    <w:rsid w:val="00745545"/>
    <w:rPr>
      <w:color w:val="0000FF"/>
      <w:u w:val="single"/>
      <w:shd w:val="clear" w:color="auto" w:fill="F3F2F1"/>
      <w:lang w:val="en-GB"/>
    </w:rPr>
  </w:style>
  <w:style w:type="character" w:styleId="Strong">
    <w:name w:val="Strong"/>
    <w:basedOn w:val="DefaultParagraphFont"/>
    <w:semiHidden/>
    <w:qFormat/>
    <w:rsid w:val="00745545"/>
    <w:rPr>
      <w:b/>
      <w:bCs/>
      <w:lang w:val="en-GB"/>
    </w:rPr>
  </w:style>
  <w:style w:type="paragraph" w:styleId="Subtitle">
    <w:name w:val="Subtitle"/>
    <w:basedOn w:val="Normal"/>
    <w:next w:val="Normal"/>
    <w:link w:val="SubtitleChar"/>
    <w:semiHidden/>
    <w:qFormat/>
    <w:rsid w:val="007455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74554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745545"/>
    <w:rPr>
      <w:i/>
      <w:iCs/>
      <w:color w:val="404040" w:themeColor="text1" w:themeTint="BF"/>
      <w:lang w:val="en-GB"/>
    </w:rPr>
  </w:style>
  <w:style w:type="character" w:styleId="SubtleReference">
    <w:name w:val="Subtle Reference"/>
    <w:basedOn w:val="DefaultParagraphFont"/>
    <w:uiPriority w:val="31"/>
    <w:semiHidden/>
    <w:qFormat/>
    <w:rsid w:val="00745545"/>
    <w:rPr>
      <w:smallCaps/>
      <w:color w:val="5A5A5A" w:themeColor="text1" w:themeTint="A5"/>
      <w:lang w:val="en-GB"/>
    </w:rPr>
  </w:style>
  <w:style w:type="table" w:styleId="Table3Deffects1">
    <w:name w:val="Table 3D effects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455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45545"/>
    <w:pPr>
      <w:tabs>
        <w:tab w:val="clear" w:pos="1247"/>
      </w:tabs>
      <w:ind w:left="200" w:hanging="200"/>
    </w:pPr>
  </w:style>
  <w:style w:type="table" w:styleId="TableProfessional">
    <w:name w:val="Table Professional"/>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4554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7455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74554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4554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4554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titleChar">
    <w:name w:val="ZZ_Anx_title Char"/>
    <w:link w:val="ZZAnxtitle"/>
    <w:rsid w:val="007A5982"/>
    <w:rPr>
      <w:rFonts w:eastAsia="Times New Roman"/>
      <w:b/>
      <w:bCs/>
      <w:sz w:val="28"/>
      <w:szCs w:val="26"/>
      <w:lang w:val="en-GB" w:eastAsia="en-US"/>
    </w:rPr>
  </w:style>
  <w:style w:type="character" w:customStyle="1" w:styleId="Normal-poolChar">
    <w:name w:val="Normal-pool Char"/>
    <w:link w:val="Normal-pool"/>
    <w:locked/>
    <w:rsid w:val="007A5982"/>
    <w:rPr>
      <w:rFonts w:eastAsia="Times New Roman"/>
      <w:lang w:val="en-GB" w:eastAsia="en-US"/>
    </w:rPr>
  </w:style>
  <w:style w:type="character" w:customStyle="1" w:styleId="CH2Char">
    <w:name w:val="CH2 Char"/>
    <w:link w:val="CH2"/>
    <w:rsid w:val="007A5982"/>
    <w:rPr>
      <w:rFonts w:eastAsia="Times New Roman"/>
      <w:b/>
      <w:sz w:val="24"/>
      <w:szCs w:val="24"/>
      <w:lang w:val="en-GB" w:eastAsia="en-US"/>
    </w:rPr>
  </w:style>
  <w:style w:type="table" w:customStyle="1" w:styleId="TableGrid10">
    <w:name w:val="Table Grid1"/>
    <w:basedOn w:val="TableNormal"/>
    <w:next w:val="TableGrid"/>
    <w:rsid w:val="007A598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7A598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7A598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BBTitleChar">
    <w:name w:val="BB_Title Char"/>
    <w:link w:val="BBTitle"/>
    <w:rsid w:val="007A5982"/>
    <w:rPr>
      <w:rFonts w:eastAsia="Times New Roman"/>
      <w:b/>
      <w:sz w:val="28"/>
      <w:szCs w:val="28"/>
      <w:lang w:val="en-GB" w:eastAsia="en-US"/>
    </w:rPr>
  </w:style>
  <w:style w:type="paragraph" w:styleId="Revision">
    <w:name w:val="Revision"/>
    <w:hidden/>
    <w:uiPriority w:val="99"/>
    <w:semiHidden/>
    <w:rsid w:val="004A2065"/>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3.xml><?xml version="1.0" encoding="utf-8"?>
<ds:datastoreItem xmlns:ds="http://schemas.openxmlformats.org/officeDocument/2006/customXml" ds:itemID="{FFB5E283-4D37-4F1A-94FC-8FF8506C70AA}"/>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4</Pages>
  <Words>1238</Words>
  <Characters>7059</Characters>
  <Application>Microsoft Office Word</Application>
  <DocSecurity>0</DocSecurity>
  <PresentationFormat/>
  <Lines>58</Lines>
  <Paragraphs>16</Paragraphs>
  <ScaleCrop>false</ScaleCrop>
  <Manager/>
  <Company/>
  <LinksUpToDate>false</LinksUpToDate>
  <CharactersWithSpaces>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12</cp:revision>
  <cp:lastPrinted>2025-12-02T11:17:00Z</cp:lastPrinted>
  <dcterms:created xsi:type="dcterms:W3CDTF">2025-12-02T09:40:00Z</dcterms:created>
  <dcterms:modified xsi:type="dcterms:W3CDTF">2026-03-17T08:40:00Z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