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42296A53"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2D2ADA">
              <w:t>21</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r w:rsidRPr="007647EB">
              <w:t xml:space="preserve">Distr. </w:t>
            </w:r>
            <w:bookmarkStart w:id="2" w:name="Distribution"/>
            <w:r w:rsidRPr="007647EB">
              <w:t>générale</w:t>
            </w:r>
            <w:bookmarkEnd w:id="2"/>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22627D25" w14:textId="4E38FFE0" w:rsidR="00C65D89" w:rsidRPr="007647EB" w:rsidRDefault="00910404" w:rsidP="002D2ADA">
      <w:pPr>
        <w:pStyle w:val="TOC1"/>
        <w:ind w:left="1245"/>
      </w:pPr>
      <w:r w:rsidRPr="007647EB">
        <w:rPr>
          <w:rFonts w:asciiTheme="majorBidi" w:hAnsiTheme="majorBidi" w:cstheme="majorBidi"/>
        </w:rPr>
        <w:tab/>
      </w:r>
      <w:r w:rsidR="00C65D89" w:rsidRPr="007647EB">
        <w:t>Décision MC-6</w:t>
      </w:r>
      <w:r w:rsidR="00484672" w:rsidRPr="007647EB">
        <w:t> /21</w:t>
      </w:r>
      <w:r w:rsidR="00C65D89" w:rsidRPr="007647EB">
        <w:t> : Programme de travail et budget pour l</w:t>
      </w:r>
      <w:r w:rsidR="00D82E47" w:rsidRPr="007647EB">
        <w:t>’</w:t>
      </w:r>
      <w:r w:rsidR="00C65D89" w:rsidRPr="007647EB">
        <w:t>exercice biennal 2026-2027</w:t>
      </w:r>
    </w:p>
    <w:p w14:paraId="1F794A59" w14:textId="77777777" w:rsidR="00C65D89" w:rsidRPr="007647EB" w:rsidRDefault="00C65D89" w:rsidP="00C65D89">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0B25E930" w14:textId="36DA4D23"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sa décision MC-5/20 sur le programme de travail et le budget pour l</w:t>
      </w:r>
      <w:r w:rsidR="00D82E47" w:rsidRPr="007647EB">
        <w:t>’</w:t>
      </w:r>
      <w:r w:rsidRPr="007647EB">
        <w:t>exercice biennal 2024-2025,</w:t>
      </w:r>
    </w:p>
    <w:p w14:paraId="486F9A66" w14:textId="534AC9BC"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Se félicitant</w:t>
      </w:r>
      <w:r w:rsidRPr="007647EB">
        <w:t xml:space="preserve"> de la contribution annuelle de la Suisse, pays hôte du secrétariat, d</w:t>
      </w:r>
      <w:r w:rsidR="00D82E47" w:rsidRPr="007647EB">
        <w:t>’</w:t>
      </w:r>
      <w:r w:rsidRPr="007647EB">
        <w:t>un montant d</w:t>
      </w:r>
      <w:r w:rsidR="00D82E47" w:rsidRPr="007647EB">
        <w:t>’</w:t>
      </w:r>
      <w:r w:rsidRPr="007647EB">
        <w:t>un million de francs suisses, qui est réparti à raison de 60 % au profit du fonds d</w:t>
      </w:r>
      <w:r w:rsidR="00D82E47" w:rsidRPr="007647EB">
        <w:t>’</w:t>
      </w:r>
      <w:r w:rsidRPr="007647EB">
        <w:t xml:space="preserve">affectation spéciale </w:t>
      </w:r>
      <w:r w:rsidR="000B4969" w:rsidRPr="007647EB">
        <w:t xml:space="preserve">général </w:t>
      </w:r>
      <w:r w:rsidRPr="007647EB">
        <w:t>et de 40 % au profit du fonds d</w:t>
      </w:r>
      <w:r w:rsidR="00D82E47" w:rsidRPr="007647EB">
        <w:t>’</w:t>
      </w:r>
      <w:r w:rsidRPr="007647EB">
        <w:t>affectation spéciale</w:t>
      </w:r>
      <w:r w:rsidR="005B1C8B" w:rsidRPr="007647EB">
        <w:t xml:space="preserve"> à des fins déterminées</w:t>
      </w:r>
      <w:r w:rsidRPr="007647EB">
        <w:t xml:space="preserve"> </w:t>
      </w:r>
      <w:r w:rsidR="000B4969" w:rsidRPr="007647EB">
        <w:rPr>
          <w:rFonts w:asciiTheme="majorBidi" w:hAnsiTheme="majorBidi" w:cstheme="majorBidi"/>
        </w:rPr>
        <w:t xml:space="preserve">de </w:t>
      </w:r>
      <w:r w:rsidR="005B1C8B" w:rsidRPr="007647EB">
        <w:rPr>
          <w:rFonts w:asciiTheme="majorBidi" w:hAnsiTheme="majorBidi" w:cstheme="majorBidi"/>
        </w:rPr>
        <w:t>la Convention de</w:t>
      </w:r>
      <w:r w:rsidR="00845E38" w:rsidRPr="007647EB">
        <w:rPr>
          <w:rFonts w:asciiTheme="majorBidi" w:hAnsiTheme="majorBidi" w:cstheme="majorBidi"/>
        </w:rPr>
        <w:t xml:space="preserve"> Minamata </w:t>
      </w:r>
      <w:r w:rsidR="005B1C8B" w:rsidRPr="007647EB">
        <w:rPr>
          <w:rFonts w:asciiTheme="majorBidi" w:hAnsiTheme="majorBidi" w:cstheme="majorBidi"/>
        </w:rPr>
        <w:t>sur le m</w:t>
      </w:r>
      <w:r w:rsidR="00845E38" w:rsidRPr="007647EB">
        <w:rPr>
          <w:rFonts w:asciiTheme="majorBidi" w:hAnsiTheme="majorBidi" w:cstheme="majorBidi"/>
        </w:rPr>
        <w:t>ercur</w:t>
      </w:r>
      <w:r w:rsidR="005B1C8B" w:rsidRPr="007647EB">
        <w:rPr>
          <w:rFonts w:asciiTheme="majorBidi" w:hAnsiTheme="majorBidi" w:cstheme="majorBidi"/>
        </w:rPr>
        <w:t>e</w:t>
      </w:r>
      <w:r w:rsidRPr="007647EB">
        <w:t>, et qui doit servir en priorité à faciliter la participation de représentant(e)s de pays en développement à ses réunions,</w:t>
      </w:r>
    </w:p>
    <w:p w14:paraId="7C830B39" w14:textId="4F51C2C2"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Prenant note</w:t>
      </w:r>
      <w:r w:rsidRPr="007647EB">
        <w:t xml:space="preserve"> des contributions au fonds d</w:t>
      </w:r>
      <w:r w:rsidR="00D82E47" w:rsidRPr="007647EB">
        <w:t>’</w:t>
      </w:r>
      <w:r w:rsidRPr="007647EB">
        <w:t>affectation spéciale général versées par les Parties,</w:t>
      </w:r>
    </w:p>
    <w:p w14:paraId="4A52978C" w14:textId="1661E519"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que le montant total de la réserve de trésorerie de la Convention dans le fonds d</w:t>
      </w:r>
      <w:r w:rsidR="00D82E47" w:rsidRPr="007647EB">
        <w:t>’</w:t>
      </w:r>
      <w:r w:rsidRPr="007647EB">
        <w:t>affectation spéciale général a été constitué en 2018 et réaffirmant que la réserve de trésorerie est maintenue à 15 % du budget annuel,</w:t>
      </w:r>
    </w:p>
    <w:p w14:paraId="5D8CA9DA" w14:textId="7C1D4735"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Constatant avec satisfaction</w:t>
      </w:r>
      <w:r w:rsidRPr="007647EB">
        <w:t xml:space="preserve"> les contributions et annonces de contributions au fonds d</w:t>
      </w:r>
      <w:r w:rsidR="00D82E47" w:rsidRPr="007647EB">
        <w:t>’</w:t>
      </w:r>
      <w:r w:rsidRPr="007647EB">
        <w:t>affectation spéciale à des fins déterminées faites par le Canada, l</w:t>
      </w:r>
      <w:r w:rsidR="00D82E47" w:rsidRPr="007647EB">
        <w:t>’</w:t>
      </w:r>
      <w:r w:rsidRPr="007647EB">
        <w:t>Espagne, le Japon, le Royaume des Pays-Bas et la Suède au cours de l</w:t>
      </w:r>
      <w:r w:rsidR="00D82E47" w:rsidRPr="007647EB">
        <w:t>’</w:t>
      </w:r>
      <w:r w:rsidRPr="007647EB">
        <w:t xml:space="preserve">exercice biennal 2024-2025, </w:t>
      </w:r>
    </w:p>
    <w:p w14:paraId="785D01C9" w14:textId="5F908754" w:rsidR="00C65D89" w:rsidRPr="007647EB" w:rsidRDefault="00C65D89" w:rsidP="00C65D89">
      <w:pPr>
        <w:pStyle w:val="NormalNonumber"/>
        <w:tabs>
          <w:tab w:val="clear" w:pos="1247"/>
          <w:tab w:val="clear" w:pos="1871"/>
          <w:tab w:val="clear" w:pos="2495"/>
          <w:tab w:val="clear" w:pos="3119"/>
          <w:tab w:val="clear" w:pos="3742"/>
          <w:tab w:val="clear" w:pos="4366"/>
        </w:tabs>
        <w:ind w:firstLine="624"/>
      </w:pPr>
      <w:r w:rsidRPr="007647EB">
        <w:rPr>
          <w:i/>
          <w:iCs/>
        </w:rPr>
        <w:t>Constatant également avec satisfaction</w:t>
      </w:r>
      <w:r w:rsidRPr="007647EB">
        <w:t xml:space="preserve"> les contributions et annonces de contributions faites par l</w:t>
      </w:r>
      <w:r w:rsidR="00D82E47" w:rsidRPr="007647EB">
        <w:t>’</w:t>
      </w:r>
      <w:r w:rsidRPr="007647EB">
        <w:t>Allemagne, l</w:t>
      </w:r>
      <w:r w:rsidR="00D82E47" w:rsidRPr="007647EB">
        <w:t>’</w:t>
      </w:r>
      <w:r w:rsidRPr="007647EB">
        <w:t>Autriche, le Danemark, les États-Unis d</w:t>
      </w:r>
      <w:r w:rsidR="00D82E47" w:rsidRPr="007647EB">
        <w:t>’</w:t>
      </w:r>
      <w:r w:rsidRPr="007647EB">
        <w:t>Amérique, la France, la Norvège, le Royaume des Pays-Bas, le Royaume-Uni de Grande-Bretagne et d</w:t>
      </w:r>
      <w:r w:rsidR="00D82E47" w:rsidRPr="007647EB">
        <w:t>’</w:t>
      </w:r>
      <w:r w:rsidRPr="007647EB">
        <w:t xml:space="preserve">Irlande du Nord, la Suède et la Suisse </w:t>
      </w:r>
      <w:r w:rsidR="005B1C8B" w:rsidRPr="007647EB">
        <w:t xml:space="preserve">pour appuyer des </w:t>
      </w:r>
      <w:r w:rsidRPr="007647EB">
        <w:t xml:space="preserve">activités </w:t>
      </w:r>
      <w:r w:rsidR="005B1C8B" w:rsidRPr="007647EB">
        <w:t>au titre du fonds d</w:t>
      </w:r>
      <w:r w:rsidR="00D82E47" w:rsidRPr="007647EB">
        <w:t>’</w:t>
      </w:r>
      <w:r w:rsidR="005B1C8B" w:rsidRPr="007647EB">
        <w:t xml:space="preserve">affectation spéciale particulier pour le </w:t>
      </w:r>
      <w:r w:rsidRPr="007647EB">
        <w:t>Programme international spécifique</w:t>
      </w:r>
      <w:r w:rsidR="00484672" w:rsidRPr="007647EB">
        <w:t xml:space="preserve"> </w:t>
      </w:r>
      <w:r w:rsidR="005B1C8B" w:rsidRPr="007647EB">
        <w:t>visant à soutenir le renforcement des capacités et l</w:t>
      </w:r>
      <w:r w:rsidR="00D82E47" w:rsidRPr="007647EB">
        <w:t>’</w:t>
      </w:r>
      <w:r w:rsidR="005B1C8B" w:rsidRPr="007647EB">
        <w:t>assistance technique</w:t>
      </w:r>
      <w:r w:rsidRPr="007647EB">
        <w:t xml:space="preserve"> faisant suite à la quatrième série de demandes,</w:t>
      </w:r>
    </w:p>
    <w:p w14:paraId="231A63F2" w14:textId="77777777" w:rsidR="00C65D89" w:rsidRPr="007647EB" w:rsidRDefault="00C65D89" w:rsidP="00AA31C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w:t>
      </w:r>
    </w:p>
    <w:p w14:paraId="4679125B" w14:textId="4B79EA92" w:rsidR="00C65D89" w:rsidRPr="007647EB" w:rsidRDefault="00C65D89" w:rsidP="00AA31C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Fonds d</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affectation spéciale général de la Convention de Minamata sur le mercure</w:t>
      </w:r>
    </w:p>
    <w:p w14:paraId="2DC205ED" w14:textId="726AAB17"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des projets de programme de travail et de budget pour l</w:t>
      </w:r>
      <w:r w:rsidR="00D82E47" w:rsidRPr="007647EB">
        <w:t>’</w:t>
      </w:r>
      <w:r w:rsidRPr="007647EB">
        <w:t>exercice biennal 2026-2027</w:t>
      </w:r>
      <w:r w:rsidRPr="007647EB">
        <w:rPr>
          <w:rStyle w:val="FootnoteReference"/>
          <w:rFonts w:eastAsia="SimSun"/>
        </w:rPr>
        <w:footnoteReference w:id="2"/>
      </w:r>
      <w:r w:rsidR="007B0054" w:rsidRPr="007647EB">
        <w:t>,</w:t>
      </w:r>
      <w:r w:rsidRPr="007647EB">
        <w:t xml:space="preserve">  ainsi que des informations relatives aux questions financières, y compris du rapport sur </w:t>
      </w:r>
      <w:r w:rsidRPr="007647EB">
        <w:lastRenderedPageBreak/>
        <w:t>les dépenses</w:t>
      </w:r>
      <w:r w:rsidRPr="007647EB">
        <w:rPr>
          <w:rStyle w:val="FootnoteReference"/>
          <w:rFonts w:eastAsia="SimSun"/>
        </w:rPr>
        <w:footnoteReference w:id="3"/>
      </w:r>
      <w:r w:rsidR="007B0054" w:rsidRPr="007647EB">
        <w:t>,</w:t>
      </w:r>
      <w:r w:rsidRPr="007647EB">
        <w:t xml:space="preserve"> des fiches descriptives des activités inscrites au budget</w:t>
      </w:r>
      <w:r w:rsidRPr="007647EB">
        <w:rPr>
          <w:rStyle w:val="FootnoteReference"/>
          <w:rFonts w:eastAsia="SimSun"/>
        </w:rPr>
        <w:footnoteReference w:id="4"/>
      </w:r>
      <w:r w:rsidRPr="007647EB">
        <w:t xml:space="preserve"> et du rapport fourni par le secrétariat sur l</w:t>
      </w:r>
      <w:r w:rsidR="00D82E47" w:rsidRPr="007647EB">
        <w:t>’</w:t>
      </w:r>
      <w:r w:rsidRPr="007647EB">
        <w:t>exécution du programme de travail pour la période 2024-2025</w:t>
      </w:r>
      <w:r w:rsidRPr="007647EB">
        <w:rPr>
          <w:rStyle w:val="FootnoteReference"/>
          <w:rFonts w:eastAsia="SimSun"/>
        </w:rPr>
        <w:footnoteReference w:id="5"/>
      </w:r>
      <w:r w:rsidRPr="007647EB">
        <w:t> ;</w:t>
      </w:r>
    </w:p>
    <w:p w14:paraId="076A18E9" w14:textId="081A4823"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Approuve</w:t>
      </w:r>
      <w:r w:rsidRPr="007647EB">
        <w:t xml:space="preserve"> le budget du fonds d</w:t>
      </w:r>
      <w:r w:rsidR="00D82E47" w:rsidRPr="007647EB">
        <w:t>’</w:t>
      </w:r>
      <w:r w:rsidRPr="007647EB">
        <w:t>affectation spéciale général pour l</w:t>
      </w:r>
      <w:r w:rsidR="00D82E47" w:rsidRPr="007647EB">
        <w:t>’</w:t>
      </w:r>
      <w:r w:rsidRPr="007647EB">
        <w:t>exercice biennal 2026-2027, d</w:t>
      </w:r>
      <w:r w:rsidR="00D82E47" w:rsidRPr="007647EB">
        <w:t>’</w:t>
      </w:r>
      <w:r w:rsidRPr="007647EB">
        <w:t xml:space="preserve">un montant de </w:t>
      </w:r>
      <w:r w:rsidR="00786301" w:rsidRPr="007647EB">
        <w:rPr>
          <w:rFonts w:asciiTheme="majorBidi" w:hAnsiTheme="majorBidi" w:cstheme="majorBidi"/>
        </w:rPr>
        <w:t>8 431 553</w:t>
      </w:r>
      <w:r w:rsidRPr="007647EB">
        <w:t> dollars des États-Unis ;</w:t>
      </w:r>
    </w:p>
    <w:p w14:paraId="0C4A64E2" w14:textId="46FF4426"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Autorise</w:t>
      </w:r>
      <w:r w:rsidRPr="007647EB">
        <w:t xml:space="preserve"> la Secrétaire exécutive à prélever sur l</w:t>
      </w:r>
      <w:r w:rsidR="00D82E47" w:rsidRPr="007647EB">
        <w:t>’</w:t>
      </w:r>
      <w:r w:rsidRPr="007647EB">
        <w:t>excédent disponible estimé du fonds d</w:t>
      </w:r>
      <w:r w:rsidR="00D82E47" w:rsidRPr="007647EB">
        <w:t>’</w:t>
      </w:r>
      <w:r w:rsidRPr="007647EB">
        <w:t xml:space="preserve">affectation spéciale général un montant de </w:t>
      </w:r>
      <w:r w:rsidR="00786301" w:rsidRPr="007647EB">
        <w:rPr>
          <w:rFonts w:asciiTheme="majorBidi" w:hAnsiTheme="majorBidi" w:cstheme="majorBidi"/>
        </w:rPr>
        <w:t>96 050</w:t>
      </w:r>
      <w:r w:rsidR="00786301" w:rsidRPr="007647EB">
        <w:rPr>
          <w:rFonts w:asciiTheme="majorBidi" w:hAnsiTheme="majorBidi"/>
        </w:rPr>
        <w:t xml:space="preserve"> </w:t>
      </w:r>
      <w:r w:rsidRPr="007647EB">
        <w:t>dollars des États-Unis pour financer une réunion du Groupe de l</w:t>
      </w:r>
      <w:r w:rsidR="00D82E47" w:rsidRPr="007647EB">
        <w:t>’</w:t>
      </w:r>
      <w:r w:rsidRPr="007647EB">
        <w:t>évaluation de l</w:t>
      </w:r>
      <w:r w:rsidR="00D82E47" w:rsidRPr="007647EB">
        <w:t>’</w:t>
      </w:r>
      <w:r w:rsidRPr="007647EB">
        <w:t xml:space="preserve">efficacité ; </w:t>
      </w:r>
    </w:p>
    <w:p w14:paraId="1D0CFB75" w14:textId="4B3AE78A"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rPr>
          <w:i/>
          <w:iCs/>
        </w:rPr>
      </w:pPr>
      <w:r w:rsidRPr="007647EB">
        <w:rPr>
          <w:i/>
          <w:iCs/>
        </w:rPr>
        <w:t>Adopte</w:t>
      </w:r>
      <w:r w:rsidRPr="007647EB">
        <w:t xml:space="preserve"> le tableau des effectifs du secrétariat pour l</w:t>
      </w:r>
      <w:r w:rsidR="00D82E47" w:rsidRPr="007647EB">
        <w:t>’</w:t>
      </w:r>
      <w:r w:rsidRPr="007647EB">
        <w:t xml:space="preserve">exercice biennal 2026-2027, présenté dans le tableau </w:t>
      </w:r>
      <w:r w:rsidR="000F405F" w:rsidRPr="007647EB">
        <w:t>3</w:t>
      </w:r>
      <w:r w:rsidR="000F405F" w:rsidRPr="007647EB" w:rsidDel="007B0054">
        <w:t xml:space="preserve"> </w:t>
      </w:r>
      <w:r w:rsidR="000F405F" w:rsidRPr="007647EB">
        <w:t>figurant</w:t>
      </w:r>
      <w:r w:rsidRPr="007647EB">
        <w:t xml:space="preserve"> à l</w:t>
      </w:r>
      <w:r w:rsidR="00D82E47" w:rsidRPr="007647EB">
        <w:t>’</w:t>
      </w:r>
      <w:r w:rsidRPr="007647EB">
        <w:t>annexe</w:t>
      </w:r>
      <w:r w:rsidR="00786301" w:rsidRPr="007647EB">
        <w:t xml:space="preserve"> </w:t>
      </w:r>
      <w:r w:rsidRPr="007647EB">
        <w:t>de la présente décision, qui a été utilisé aux fins d</w:t>
      </w:r>
      <w:r w:rsidR="00D82E47" w:rsidRPr="007647EB">
        <w:t>’</w:t>
      </w:r>
      <w:r w:rsidRPr="007647EB">
        <w:t>évaluation des coûts pour établir le budget global ;</w:t>
      </w:r>
    </w:p>
    <w:p w14:paraId="16178AAD" w14:textId="0756DCD1"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Autorise</w:t>
      </w:r>
      <w:r w:rsidRPr="007647EB">
        <w:t xml:space="preserve"> la Secrétaire exécutive, à titre exceptionnel et en dernier recours, à prélever des fonds supplémentaires à concurrence de </w:t>
      </w:r>
      <w:r w:rsidR="00786301" w:rsidRPr="007647EB">
        <w:rPr>
          <w:rFonts w:asciiTheme="majorBidi" w:hAnsiTheme="majorBidi" w:cstheme="majorBidi"/>
        </w:rPr>
        <w:t>541 749</w:t>
      </w:r>
      <w:r w:rsidR="00786301" w:rsidRPr="007647EB">
        <w:rPr>
          <w:rFonts w:asciiTheme="majorBidi" w:hAnsiTheme="majorBidi"/>
        </w:rPr>
        <w:t xml:space="preserve"> </w:t>
      </w:r>
      <w:r w:rsidRPr="007647EB">
        <w:t>dollars des États-Unis sur le solde net du fonds d</w:t>
      </w:r>
      <w:r w:rsidR="00D82E47" w:rsidRPr="007647EB">
        <w:t>’</w:t>
      </w:r>
      <w:r w:rsidRPr="007647EB">
        <w:t>affectation spéciale général afin de couvrir tout déficit par rapport au tableau des effectifs approuvé</w:t>
      </w:r>
      <w:r w:rsidR="000F3664" w:rsidRPr="007647EB">
        <w:t xml:space="preserve"> </w:t>
      </w:r>
      <w:r w:rsidRPr="007647EB">
        <w:t>pour l</w:t>
      </w:r>
      <w:r w:rsidR="00D82E47" w:rsidRPr="007647EB">
        <w:t>’</w:t>
      </w:r>
      <w:r w:rsidRPr="007647EB">
        <w:t>exercice biennal 2026-2027, au cas où l</w:t>
      </w:r>
      <w:r w:rsidR="00D82E47" w:rsidRPr="007647EB">
        <w:t>’</w:t>
      </w:r>
      <w:r w:rsidRPr="007647EB">
        <w:t>augmentation annuelle appliquée au coût réel des effectifs et utilisée pour déterminer le coût budgétisé des effectifs serait insuffisante, sous réserve que le solde net ne soit pas ramené en deçà de la réserve opérationnelle ;</w:t>
      </w:r>
    </w:p>
    <w:p w14:paraId="202FDA27" w14:textId="326E72E3"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Adopte</w:t>
      </w:r>
      <w:r w:rsidRPr="007647EB">
        <w:t xml:space="preserve"> le barème indicatif des quotes-parts pour la répartition des dépenses de l</w:t>
      </w:r>
      <w:r w:rsidR="00D82E47" w:rsidRPr="007647EB">
        <w:t>’</w:t>
      </w:r>
      <w:r w:rsidRPr="007647EB">
        <w:t>exercice biennal 2026-2027 figurant dans le tableau </w:t>
      </w:r>
      <w:r w:rsidR="00786301" w:rsidRPr="007647EB">
        <w:t xml:space="preserve">2 </w:t>
      </w:r>
      <w:r w:rsidRPr="007647EB">
        <w:t>de l</w:t>
      </w:r>
      <w:r w:rsidR="00D82E47" w:rsidRPr="007647EB">
        <w:t>’</w:t>
      </w:r>
      <w:r w:rsidR="00786301" w:rsidRPr="007647EB">
        <w:t>annexe de la</w:t>
      </w:r>
      <w:r w:rsidRPr="007647EB">
        <w:t xml:space="preserve"> présente décision et autorise la Secrétaire exécutive, conformément au Règlement financier et aux règles de gestion financière de l</w:t>
      </w:r>
      <w:r w:rsidR="00D82E47" w:rsidRPr="007647EB">
        <w:t>’</w:t>
      </w:r>
      <w:r w:rsidRPr="007647EB">
        <w:t>Organisation des Nations Unies, à ajuster ce barème afin d</w:t>
      </w:r>
      <w:r w:rsidR="00D82E47" w:rsidRPr="007647EB">
        <w:t>’</w:t>
      </w:r>
      <w:r w:rsidRPr="007647EB">
        <w:t>y inclure toutes les Parties à l</w:t>
      </w:r>
      <w:r w:rsidR="00D82E47" w:rsidRPr="007647EB">
        <w:t>’</w:t>
      </w:r>
      <w:r w:rsidRPr="007647EB">
        <w:t>égard desquelles la Convention entrera en vigueur avant le 1</w:t>
      </w:r>
      <w:r w:rsidRPr="007647EB">
        <w:rPr>
          <w:vertAlign w:val="superscript"/>
        </w:rPr>
        <w:t>er </w:t>
      </w:r>
      <w:r w:rsidRPr="007647EB">
        <w:t>janvier 2026 ;</w:t>
      </w:r>
    </w:p>
    <w:p w14:paraId="66D0D2B2" w14:textId="79B83235"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Rappelle</w:t>
      </w:r>
      <w:r w:rsidRPr="007647EB">
        <w:t xml:space="preserve"> que les contributions au fonds d</w:t>
      </w:r>
      <w:r w:rsidR="00D82E47" w:rsidRPr="007647EB">
        <w:t>’</w:t>
      </w:r>
      <w:r w:rsidRPr="007647EB">
        <w:t>affectation spéciale général sont dues au 1</w:t>
      </w:r>
      <w:r w:rsidRPr="007647EB">
        <w:rPr>
          <w:vertAlign w:val="superscript"/>
        </w:rPr>
        <w:t>er </w:t>
      </w:r>
      <w:r w:rsidRPr="007647EB">
        <w:t>janvier de l</w:t>
      </w:r>
      <w:r w:rsidR="00D82E47" w:rsidRPr="007647EB">
        <w:t>’</w:t>
      </w:r>
      <w:r w:rsidRPr="007647EB">
        <w:t>année pour laquelle elles ont été inscrites au budget et au plus tard le 31 décembre de la même année et prie les Parties de régler le montant de leurs contributions dès que possible afin de permettre au secrétariat de mener à bien ses travaux ;</w:t>
      </w:r>
    </w:p>
    <w:p w14:paraId="742FF045" w14:textId="699BEE2A"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à faire des efforts pour s</w:t>
      </w:r>
      <w:r w:rsidR="00D82E47" w:rsidRPr="007647EB">
        <w:t>’</w:t>
      </w:r>
      <w:r w:rsidRPr="007647EB">
        <w:t>acquitter dès que possible de leurs arriérés de contributions et prie le secrétariat de lui faire rapport à sa septième réunion sur les progrès accomplis grâce aux efforts des Parties ;</w:t>
      </w:r>
    </w:p>
    <w:p w14:paraId="6E217FB3" w14:textId="70A7353E"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le Secrétariat, lorsqu</w:t>
      </w:r>
      <w:r w:rsidR="00D82E47" w:rsidRPr="007647EB">
        <w:t>’</w:t>
      </w:r>
      <w:r w:rsidRPr="007647EB">
        <w:t>une telle situation se produit, de travailler directement avec les missions permanentes, les ministères des affaires étrangères et les correspondant(e)s des Parties afin que celles-ci s</w:t>
      </w:r>
      <w:r w:rsidR="00D82E47" w:rsidRPr="007647EB">
        <w:t>’</w:t>
      </w:r>
      <w:r w:rsidRPr="007647EB">
        <w:t>acquittent intégralement et dès que possible de leurs arriérés de contributions, et de présenter aux réunions appropriées un état des lieux concernant les arriérés de contributions et les conséquences de cette situation ;</w:t>
      </w:r>
    </w:p>
    <w:p w14:paraId="162CE0F4" w14:textId="77777777" w:rsidR="00C65D89" w:rsidRPr="007647EB" w:rsidRDefault="00C65D89" w:rsidP="00AA31CA">
      <w:pPr>
        <w:pStyle w:val="CH2"/>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II</w:t>
      </w:r>
    </w:p>
    <w:p w14:paraId="52BEABE8" w14:textId="6704DF0B" w:rsidR="00C65D89" w:rsidRPr="007647EB" w:rsidRDefault="00C65D89" w:rsidP="00AA31CA">
      <w:pPr>
        <w:pStyle w:val="CH2"/>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Fonds d</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affectation spéciale à des fins déterminées de la Convention de Minamata sur</w:t>
      </w:r>
      <w:r w:rsidR="009E462C" w:rsidRPr="007647EB">
        <w:rPr>
          <w:rFonts w:asciiTheme="majorBidi" w:eastAsia="Times New Roman" w:hAnsiTheme="majorBidi" w:cstheme="majorBidi"/>
          <w:sz w:val="20"/>
          <w:szCs w:val="20"/>
          <w:lang w:eastAsia="en-US"/>
        </w:rPr>
        <w:t> </w:t>
      </w:r>
      <w:r w:rsidRPr="007647EB">
        <w:rPr>
          <w:rFonts w:asciiTheme="majorBidi" w:eastAsia="Times New Roman" w:hAnsiTheme="majorBidi" w:cstheme="majorBidi"/>
          <w:sz w:val="20"/>
          <w:szCs w:val="20"/>
          <w:lang w:eastAsia="en-US"/>
        </w:rPr>
        <w:t>l</w:t>
      </w:r>
      <w:r w:rsidR="009E462C" w:rsidRPr="007647EB">
        <w:rPr>
          <w:rFonts w:asciiTheme="majorBidi" w:eastAsia="Times New Roman" w:hAnsiTheme="majorBidi" w:cstheme="majorBidi"/>
          <w:sz w:val="20"/>
          <w:szCs w:val="20"/>
          <w:lang w:eastAsia="en-US"/>
        </w:rPr>
        <w:t>e </w:t>
      </w:r>
      <w:r w:rsidRPr="007647EB">
        <w:rPr>
          <w:rFonts w:asciiTheme="majorBidi" w:eastAsia="Times New Roman" w:hAnsiTheme="majorBidi" w:cstheme="majorBidi"/>
          <w:sz w:val="20"/>
          <w:szCs w:val="20"/>
          <w:lang w:eastAsia="en-US"/>
        </w:rPr>
        <w:t>mercure</w:t>
      </w:r>
    </w:p>
    <w:p w14:paraId="77D5D71E" w14:textId="3AF98B1E"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du rapport de la Secrétaire exécutive sur les activités et les dépenses de l</w:t>
      </w:r>
      <w:r w:rsidR="00D82E47" w:rsidRPr="007647EB">
        <w:t>’</w:t>
      </w:r>
      <w:r w:rsidRPr="007647EB">
        <w:t>exercice biennal 2024-2025 financées par le fonds d</w:t>
      </w:r>
      <w:r w:rsidR="00D82E47" w:rsidRPr="007647EB">
        <w:t>’</w:t>
      </w:r>
      <w:r w:rsidRPr="007647EB">
        <w:t>affectation spéciale à des fins déterminées, telles qu</w:t>
      </w:r>
      <w:r w:rsidR="00D82E47" w:rsidRPr="007647EB">
        <w:t>’</w:t>
      </w:r>
      <w:r w:rsidRPr="007647EB">
        <w:t>elles figurent dans les informations relatives aux questions financières</w:t>
      </w:r>
      <w:r w:rsidRPr="007647EB">
        <w:rPr>
          <w:rStyle w:val="FootnoteReference"/>
          <w:rFonts w:eastAsia="SimSun"/>
        </w:rPr>
        <w:footnoteReference w:id="6"/>
      </w:r>
      <w:r w:rsidRPr="007647EB">
        <w:t> ainsi que dans le rapport fourni par le secrétariat sur l</w:t>
      </w:r>
      <w:r w:rsidR="00D82E47" w:rsidRPr="007647EB">
        <w:t>’</w:t>
      </w:r>
      <w:r w:rsidRPr="007647EB">
        <w:t>exécution du programme de travail pour l</w:t>
      </w:r>
      <w:r w:rsidR="00D82E47" w:rsidRPr="007647EB">
        <w:t>’</w:t>
      </w:r>
      <w:r w:rsidRPr="007647EB">
        <w:t>exercice biennal 2024</w:t>
      </w:r>
      <w:r w:rsidRPr="007647EB">
        <w:noBreakHyphen/>
        <w:t>2025</w:t>
      </w:r>
      <w:r w:rsidRPr="007647EB">
        <w:rPr>
          <w:rStyle w:val="FootnoteReference"/>
          <w:rFonts w:eastAsia="SimSun"/>
        </w:rPr>
        <w:footnoteReference w:id="7"/>
      </w:r>
      <w:r w:rsidRPr="007647EB">
        <w:t xml:space="preserve"> ; </w:t>
      </w:r>
    </w:p>
    <w:p w14:paraId="61AA930E" w14:textId="43832EC7"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également note</w:t>
      </w:r>
      <w:r w:rsidRPr="007647EB">
        <w:t xml:space="preserve"> des projets de programme de travail et de budget pour l</w:t>
      </w:r>
      <w:r w:rsidR="00D82E47" w:rsidRPr="007647EB">
        <w:t>’</w:t>
      </w:r>
      <w:r w:rsidRPr="007647EB">
        <w:t>exercice biennal 2026-2027</w:t>
      </w:r>
      <w:r w:rsidRPr="007647EB">
        <w:rPr>
          <w:rStyle w:val="FootnoteReference"/>
          <w:rFonts w:eastAsia="SimSun"/>
        </w:rPr>
        <w:footnoteReference w:id="8"/>
      </w:r>
      <w:r w:rsidRPr="007647EB">
        <w:t> ainsi que des informations supplémentaires relatives aux questions financières</w:t>
      </w:r>
      <w:r w:rsidRPr="007647EB">
        <w:rPr>
          <w:rStyle w:val="FootnoteReference"/>
          <w:rFonts w:eastAsia="SimSun"/>
        </w:rPr>
        <w:footnoteReference w:id="9"/>
      </w:r>
      <w:r w:rsidRPr="007647EB">
        <w:t xml:space="preserve"> et des fiches descriptives des activités inscrites au budget</w:t>
      </w:r>
      <w:r w:rsidRPr="007647EB">
        <w:rPr>
          <w:rStyle w:val="FootnoteReference"/>
          <w:rFonts w:eastAsia="SimSun"/>
        </w:rPr>
        <w:footnoteReference w:id="10"/>
      </w:r>
      <w:r w:rsidRPr="007647EB">
        <w:t> ;</w:t>
      </w:r>
    </w:p>
    <w:p w14:paraId="67D87559" w14:textId="7D9412F4"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lastRenderedPageBreak/>
        <w:t>Approuve</w:t>
      </w:r>
      <w:r w:rsidRPr="007647EB">
        <w:t xml:space="preserve"> les prévisions de dépenses du fonds d</w:t>
      </w:r>
      <w:r w:rsidR="00D82E47" w:rsidRPr="007647EB">
        <w:t>’</w:t>
      </w:r>
      <w:r w:rsidRPr="007647EB">
        <w:t>affectation spéciale à des fins déterminées pour l</w:t>
      </w:r>
      <w:r w:rsidR="00D82E47" w:rsidRPr="007647EB">
        <w:t>’</w:t>
      </w:r>
      <w:r w:rsidRPr="007647EB">
        <w:t>exercice biennal 2026-2027, d</w:t>
      </w:r>
      <w:r w:rsidR="00D82E47" w:rsidRPr="007647EB">
        <w:t>’</w:t>
      </w:r>
      <w:r w:rsidRPr="007647EB">
        <w:t xml:space="preserve">un montant de </w:t>
      </w:r>
      <w:r w:rsidR="00786301" w:rsidRPr="007647EB">
        <w:rPr>
          <w:rFonts w:asciiTheme="majorBidi" w:hAnsiTheme="majorBidi" w:cstheme="majorBidi"/>
        </w:rPr>
        <w:t>4 891 770</w:t>
      </w:r>
      <w:r w:rsidR="00786301" w:rsidRPr="007647EB">
        <w:rPr>
          <w:rFonts w:asciiTheme="majorBidi" w:hAnsiTheme="majorBidi"/>
        </w:rPr>
        <w:t xml:space="preserve"> </w:t>
      </w:r>
      <w:r w:rsidRPr="007647EB">
        <w:t xml:space="preserve">dollars des États-Unis ; </w:t>
      </w:r>
    </w:p>
    <w:p w14:paraId="761ABB6F" w14:textId="46C65498"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Note</w:t>
      </w:r>
      <w:r w:rsidRPr="007647EB">
        <w:t xml:space="preserve"> que l</w:t>
      </w:r>
      <w:r w:rsidR="00D82E47" w:rsidRPr="007647EB">
        <w:t>’</w:t>
      </w:r>
      <w:r w:rsidRPr="007647EB">
        <w:t>exécution des activités prévues est subordonnée au versement de ressources au fonds d</w:t>
      </w:r>
      <w:r w:rsidR="00D82E47" w:rsidRPr="007647EB">
        <w:t>’</w:t>
      </w:r>
      <w:r w:rsidRPr="007647EB">
        <w:t>affectation spéciale à des fins déterminées ;</w:t>
      </w:r>
    </w:p>
    <w:p w14:paraId="7A9584EF" w14:textId="6B071D98"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Engage</w:t>
      </w:r>
      <w:r w:rsidRPr="007647EB">
        <w:t xml:space="preserve"> les Parties à la Convention et invite les non-Parties à la Convention et les autres intéressés en mesure de le faire à verser des contributions au fonds d</w:t>
      </w:r>
      <w:r w:rsidR="00D82E47" w:rsidRPr="007647EB">
        <w:t>’</w:t>
      </w:r>
      <w:r w:rsidRPr="007647EB">
        <w:t>affectation spéciale à des fins déterminées ;</w:t>
      </w:r>
    </w:p>
    <w:p w14:paraId="5519CF84" w14:textId="2E35A3FE"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non-Parties à la Convention et les autres intéressés en mesure de le faire à verser des contributions au fonds d</w:t>
      </w:r>
      <w:r w:rsidR="00D82E47" w:rsidRPr="007647EB">
        <w:t>’</w:t>
      </w:r>
      <w:r w:rsidRPr="007647EB">
        <w:t>affectation spéciale à des fins déterminées afin de faciliter la participation de représentant(e)s des pays en développement et en transition à ses réunions et à celles de ses organes subsidiaires ;</w:t>
      </w:r>
    </w:p>
    <w:p w14:paraId="5A3ADD2F" w14:textId="342B49A4"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la Secrétaire exécutive d</w:t>
      </w:r>
      <w:r w:rsidR="00D82E47" w:rsidRPr="007647EB">
        <w:t>’</w:t>
      </w:r>
      <w:r w:rsidRPr="007647EB">
        <w:t>organiser, sous réserve de la disponibilité des ressources, une manifestation de haut niveau pour marquer le dixième anniversaire de la Convention lors de la huitième session de l</w:t>
      </w:r>
      <w:r w:rsidR="00D82E47" w:rsidRPr="007647EB">
        <w:t>’</w:t>
      </w:r>
      <w:r w:rsidRPr="007647EB">
        <w:t>Assemblée des Nations Unies pour l</w:t>
      </w:r>
      <w:r w:rsidR="00D82E47" w:rsidRPr="007647EB">
        <w:t>’</w:t>
      </w:r>
      <w:r w:rsidRPr="007647EB">
        <w:t>environnement ;</w:t>
      </w:r>
    </w:p>
    <w:p w14:paraId="1F4432F0" w14:textId="77777777"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III</w:t>
      </w:r>
    </w:p>
    <w:p w14:paraId="1662D305" w14:textId="65F0399F"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Fonds d</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affectation spéciale particulier de la Convention de Minamata sur le mercure</w:t>
      </w:r>
    </w:p>
    <w:p w14:paraId="68461246" w14:textId="2C823DA0"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du rapport d</w:t>
      </w:r>
      <w:r w:rsidR="00D82E47" w:rsidRPr="007647EB">
        <w:t>’</w:t>
      </w:r>
      <w:r w:rsidRPr="007647EB">
        <w:t>ensemble sur le Programme international spécifique visant à soutenir le renforcement des capacités et l</w:t>
      </w:r>
      <w:r w:rsidR="00D82E47" w:rsidRPr="007647EB">
        <w:t>’</w:t>
      </w:r>
      <w:r w:rsidRPr="007647EB">
        <w:t>assistance technique et sur le fonds d</w:t>
      </w:r>
      <w:r w:rsidR="00D82E47" w:rsidRPr="007647EB">
        <w:t>’</w:t>
      </w:r>
      <w:r w:rsidRPr="007647EB">
        <w:t>affectation spéciale particulier consacré à ces activités</w:t>
      </w:r>
      <w:r w:rsidRPr="007647EB">
        <w:rPr>
          <w:rStyle w:val="FootnoteReference"/>
          <w:rFonts w:eastAsia="SimSun"/>
        </w:rPr>
        <w:footnoteReference w:id="11"/>
      </w:r>
      <w:r w:rsidRPr="007647EB">
        <w:t xml:space="preserve"> ; </w:t>
      </w:r>
    </w:p>
    <w:p w14:paraId="6337EEC1" w14:textId="5D96F292"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non-Parties à la Convention et les autres intéressés en mesure de le faire à verser des contributions au fonds d</w:t>
      </w:r>
      <w:r w:rsidR="00D82E47" w:rsidRPr="007647EB">
        <w:t>’</w:t>
      </w:r>
      <w:r w:rsidRPr="007647EB">
        <w:t>affectation spéciale particulier pour appuyer les activités de renforcement des capacités et d</w:t>
      </w:r>
      <w:r w:rsidR="00D82E47" w:rsidRPr="007647EB">
        <w:t>’</w:t>
      </w:r>
      <w:r w:rsidRPr="007647EB">
        <w:t>assistance technique conformément à l</w:t>
      </w:r>
      <w:r w:rsidR="00D82E47" w:rsidRPr="007647EB">
        <w:t>’</w:t>
      </w:r>
      <w:r w:rsidRPr="007647EB">
        <w:t>article 13 de la Convention ;</w:t>
      </w:r>
    </w:p>
    <w:p w14:paraId="73CF4E75" w14:textId="18EC5988"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Engage</w:t>
      </w:r>
      <w:r w:rsidRPr="007647EB">
        <w:t xml:space="preserve"> les Parties à financer un poste d</w:t>
      </w:r>
      <w:r w:rsidR="00D82E47" w:rsidRPr="007647EB">
        <w:t>’</w:t>
      </w:r>
      <w:r w:rsidRPr="007647EB">
        <w:t>Administrateur(trice) auxiliaire pour aider à</w:t>
      </w:r>
      <w:r w:rsidR="00684EB6" w:rsidRPr="007647EB">
        <w:t> </w:t>
      </w:r>
      <w:r w:rsidRPr="007647EB">
        <w:t>mener les activités du Programme international spécifique ;</w:t>
      </w:r>
    </w:p>
    <w:p w14:paraId="7301D15E" w14:textId="77777777"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IV</w:t>
      </w:r>
    </w:p>
    <w:p w14:paraId="27C9EE86" w14:textId="59D8B914" w:rsidR="00C65D89" w:rsidRPr="007647EB" w:rsidRDefault="00C65D89" w:rsidP="0087673A">
      <w:pPr>
        <w:pStyle w:val="CH2"/>
        <w:keepNext w:val="0"/>
        <w:keepLines w:val="0"/>
        <w:tabs>
          <w:tab w:val="left" w:pos="4990"/>
        </w:tabs>
        <w:spacing w:before="120"/>
        <w:ind w:right="624" w:firstLine="0"/>
        <w:jc w:val="center"/>
        <w:rPr>
          <w:rFonts w:asciiTheme="majorBidi" w:eastAsia="Times New Roman" w:hAnsiTheme="majorBidi" w:cstheme="majorBidi"/>
          <w:sz w:val="20"/>
          <w:szCs w:val="20"/>
          <w:lang w:eastAsia="en-US"/>
        </w:rPr>
      </w:pPr>
      <w:r w:rsidRPr="007647EB">
        <w:rPr>
          <w:rFonts w:asciiTheme="majorBidi" w:eastAsia="Times New Roman" w:hAnsiTheme="majorBidi" w:cstheme="majorBidi"/>
          <w:sz w:val="20"/>
          <w:szCs w:val="20"/>
          <w:lang w:eastAsia="en-US"/>
        </w:rPr>
        <w:t>Travaux préparatoires en vue de l</w:t>
      </w:r>
      <w:r w:rsidR="00D82E47" w:rsidRPr="007647EB">
        <w:rPr>
          <w:rFonts w:asciiTheme="majorBidi" w:eastAsia="Times New Roman" w:hAnsiTheme="majorBidi" w:cstheme="majorBidi"/>
          <w:sz w:val="20"/>
          <w:szCs w:val="20"/>
          <w:lang w:eastAsia="en-US"/>
        </w:rPr>
        <w:t>’</w:t>
      </w:r>
      <w:r w:rsidRPr="007647EB">
        <w:rPr>
          <w:rFonts w:asciiTheme="majorBidi" w:eastAsia="Times New Roman" w:hAnsiTheme="majorBidi" w:cstheme="majorBidi"/>
          <w:sz w:val="20"/>
          <w:szCs w:val="20"/>
          <w:lang w:eastAsia="en-US"/>
        </w:rPr>
        <w:t>exercice biennal 2028-2029</w:t>
      </w:r>
    </w:p>
    <w:p w14:paraId="08D04966" w14:textId="7EB7D437"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rPr>
          <w:i/>
          <w:iCs/>
        </w:rPr>
      </w:pPr>
      <w:r w:rsidRPr="007647EB">
        <w:rPr>
          <w:i/>
          <w:iCs/>
        </w:rPr>
        <w:t>Prie</w:t>
      </w:r>
      <w:r w:rsidRPr="007647EB">
        <w:t xml:space="preserve"> la Secrétaire exécutive d</w:t>
      </w:r>
      <w:r w:rsidR="00D82E47" w:rsidRPr="007647EB">
        <w:t>’</w:t>
      </w:r>
      <w:r w:rsidRPr="007647EB">
        <w:t>élaborer un budget pour l</w:t>
      </w:r>
      <w:r w:rsidR="00D82E47" w:rsidRPr="007647EB">
        <w:t>’</w:t>
      </w:r>
      <w:r w:rsidRPr="007647EB">
        <w:t>exercice biennal 2028-2029, pour examen à sa septième réunion, en 2027, en expliquant les principes fondamentaux, les hypothèses et la stratégie de programmation sur lesquels repose ce budget et en présentant les dépenses pour cet exercice biennal par programme et par activité inscrite au budget, chaque activité étant accompagnée d</w:t>
      </w:r>
      <w:r w:rsidR="00D82E47" w:rsidRPr="007647EB">
        <w:t>’</w:t>
      </w:r>
      <w:r w:rsidRPr="007647EB">
        <w:t>une fiche descriptive ;</w:t>
      </w:r>
    </w:p>
    <w:p w14:paraId="399C82CE" w14:textId="54B4BBFF"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rPr>
          <w:i/>
          <w:iCs/>
        </w:rPr>
      </w:pPr>
      <w:r w:rsidRPr="007647EB">
        <w:rPr>
          <w:i/>
          <w:iCs/>
        </w:rPr>
        <w:t>Prie également</w:t>
      </w:r>
      <w:r w:rsidRPr="007647EB">
        <w:t xml:space="preserve"> la Secrétaire exécutive de présenter, lors de l</w:t>
      </w:r>
      <w:r w:rsidR="00D82E47" w:rsidRPr="007647EB">
        <w:t>’</w:t>
      </w:r>
      <w:r w:rsidRPr="007647EB">
        <w:t>établissement du budget et du programme de travail pour l</w:t>
      </w:r>
      <w:r w:rsidR="00D82E47" w:rsidRPr="007647EB">
        <w:t>’</w:t>
      </w:r>
      <w:r w:rsidRPr="007647EB">
        <w:t>exercice biennal 2028-2029, deux scénarios dont :</w:t>
      </w:r>
    </w:p>
    <w:p w14:paraId="4452EDE1" w14:textId="300E0AFA" w:rsidR="00C65D89" w:rsidRPr="007647EB" w:rsidRDefault="00C65D89" w:rsidP="00330D4E">
      <w:pPr>
        <w:pStyle w:val="NormalNonumber"/>
        <w:numPr>
          <w:ilvl w:val="0"/>
          <w:numId w:val="50"/>
        </w:numPr>
        <w:tabs>
          <w:tab w:val="clear" w:pos="1247"/>
          <w:tab w:val="clear" w:pos="1871"/>
          <w:tab w:val="clear" w:pos="2495"/>
          <w:tab w:val="clear" w:pos="3119"/>
          <w:tab w:val="clear" w:pos="3742"/>
          <w:tab w:val="clear" w:pos="4366"/>
        </w:tabs>
        <w:ind w:left="1247" w:firstLine="624"/>
      </w:pPr>
      <w:r w:rsidRPr="007647EB">
        <w:t>Le maintien du budget opérationnel à son niveau de 2026-2027 en valeur nominale ;</w:t>
      </w:r>
    </w:p>
    <w:p w14:paraId="3C7CB0CC" w14:textId="633936AC" w:rsidR="00C65D89" w:rsidRPr="007647EB" w:rsidRDefault="00C65D89" w:rsidP="00330D4E">
      <w:pPr>
        <w:pStyle w:val="NormalNonumber"/>
        <w:numPr>
          <w:ilvl w:val="0"/>
          <w:numId w:val="50"/>
        </w:numPr>
        <w:tabs>
          <w:tab w:val="clear" w:pos="1247"/>
          <w:tab w:val="clear" w:pos="1871"/>
          <w:tab w:val="clear" w:pos="2495"/>
          <w:tab w:val="clear" w:pos="3119"/>
          <w:tab w:val="clear" w:pos="3742"/>
          <w:tab w:val="clear" w:pos="4366"/>
        </w:tabs>
        <w:ind w:left="1247" w:firstLine="624"/>
      </w:pPr>
      <w:r w:rsidRPr="007647EB">
        <w:t>Un autre faisant apparaître les changements qu</w:t>
      </w:r>
      <w:r w:rsidR="00D82E47" w:rsidRPr="007647EB">
        <w:t>’</w:t>
      </w:r>
      <w:r w:rsidRPr="007647EB">
        <w:t>il faudrait apporter au scénario susmentionné pour répondre aux besoins prévus, avec les coûts ou économies qu</w:t>
      </w:r>
      <w:r w:rsidR="00D82E47" w:rsidRPr="007647EB">
        <w:t>’</w:t>
      </w:r>
      <w:r w:rsidRPr="007647EB">
        <w:t>ils entraîneraient, qui ne devraient pas représenter, en valeur nominale, une hausse de plus de 5 % par rapport au budget de l</w:t>
      </w:r>
      <w:r w:rsidR="00D82E47" w:rsidRPr="007647EB">
        <w:t>’</w:t>
      </w:r>
      <w:r w:rsidRPr="007647EB">
        <w:t>exercice biennal 2026-2027 ;</w:t>
      </w:r>
    </w:p>
    <w:p w14:paraId="169756B5" w14:textId="62490C16"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Souligne</w:t>
      </w:r>
      <w:r w:rsidRPr="007647EB">
        <w:t xml:space="preserve"> qu</w:t>
      </w:r>
      <w:r w:rsidR="00D82E47" w:rsidRPr="007647EB">
        <w:t>’</w:t>
      </w:r>
      <w:r w:rsidRPr="007647EB">
        <w:t>il faut veiller à ce que les propositions budgétaires soient réalistes et reflètent les priorités déterminées par l</w:t>
      </w:r>
      <w:r w:rsidR="00D82E47" w:rsidRPr="007647EB">
        <w:t>’</w:t>
      </w:r>
      <w:r w:rsidRPr="007647EB">
        <w:t>ensemble des Parties dans le but d</w:t>
      </w:r>
      <w:r w:rsidR="00D82E47" w:rsidRPr="007647EB">
        <w:t>’</w:t>
      </w:r>
      <w:r w:rsidRPr="007647EB">
        <w:t>assurer la viabilité et la stabilité du fonds ainsi que du solde de trésorerie, y compris les contributions reçues ;</w:t>
      </w:r>
      <w:bookmarkStart w:id="7" w:name="_Hlk38285479"/>
      <w:bookmarkEnd w:id="7"/>
    </w:p>
    <w:p w14:paraId="46E61400" w14:textId="2C9079BF"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la Secrétaire exécutive, conformément au paragraphe 8 de l</w:t>
      </w:r>
      <w:r w:rsidR="00D82E47" w:rsidRPr="007647EB">
        <w:t>’</w:t>
      </w:r>
      <w:r w:rsidRPr="007647EB">
        <w:t>article 5 des règles de gestion financière de la Conférence des Parties à la Convention de Minamata sur le mercure, de ses organes subsidiaires et du secrétariat de la Convention, d</w:t>
      </w:r>
      <w:r w:rsidR="00D82E47" w:rsidRPr="007647EB">
        <w:t>’</w:t>
      </w:r>
      <w:r w:rsidRPr="007647EB">
        <w:t>accuser réception sans retard de toutes les annonces de contributions et de toutes les contributions acquittées et d</w:t>
      </w:r>
      <w:r w:rsidR="00D82E47" w:rsidRPr="007647EB">
        <w:t>’</w:t>
      </w:r>
      <w:r w:rsidRPr="007647EB">
        <w:t>en informer les Parties par la publication d</w:t>
      </w:r>
      <w:r w:rsidR="00D82E47" w:rsidRPr="007647EB">
        <w:t>’</w:t>
      </w:r>
      <w:r w:rsidRPr="007647EB">
        <w:t>informations actualisées sur l</w:t>
      </w:r>
      <w:r w:rsidR="00D82E47" w:rsidRPr="007647EB">
        <w:t>’</w:t>
      </w:r>
      <w:r w:rsidRPr="007647EB">
        <w:t>état des contributions annoncées et versées sur le site Web de la Convention, et de fournir des informations détaillées et actualisées sur les recettes et les dépenses effectives du fonds d</w:t>
      </w:r>
      <w:r w:rsidR="00D82E47" w:rsidRPr="007647EB">
        <w:t>’</w:t>
      </w:r>
      <w:r w:rsidRPr="007647EB">
        <w:t>affectation spéciale général et du fonds d</w:t>
      </w:r>
      <w:r w:rsidR="00D82E47" w:rsidRPr="007647EB">
        <w:t>’</w:t>
      </w:r>
      <w:r w:rsidRPr="007647EB">
        <w:t>affectation spéciale à des fins déterminées ;</w:t>
      </w:r>
      <w:bookmarkStart w:id="8" w:name="_Hlk38285636"/>
      <w:bookmarkEnd w:id="8"/>
    </w:p>
    <w:p w14:paraId="039A3153" w14:textId="1D730D45"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 également</w:t>
      </w:r>
      <w:r w:rsidRPr="007647EB">
        <w:t xml:space="preserve"> la Secrétaire exécutive de fournir, conformément au paragraphe 1 de l</w:t>
      </w:r>
      <w:r w:rsidR="00D82E47" w:rsidRPr="007647EB">
        <w:t>’</w:t>
      </w:r>
      <w:r w:rsidRPr="007647EB">
        <w:t xml:space="preserve">article 3 des règles de gestion financière de la Conférence des Parties à la Convention de Minamata </w:t>
      </w:r>
      <w:r w:rsidRPr="007647EB">
        <w:lastRenderedPageBreak/>
        <w:t>sur le mercure, de ses organes subsidiaires et du secrétariat de la Convention, des informations détaillées sur les recettes et les dépenses effectives pour chaque année de l</w:t>
      </w:r>
      <w:r w:rsidR="00D82E47" w:rsidRPr="007647EB">
        <w:t>’</w:t>
      </w:r>
      <w:r w:rsidRPr="007647EB">
        <w:t>exercice biennal 2024</w:t>
      </w:r>
      <w:r w:rsidRPr="007647EB">
        <w:noBreakHyphen/>
        <w:t>2025 et pour 2026, ainsi qu</w:t>
      </w:r>
      <w:r w:rsidR="00D82E47" w:rsidRPr="007647EB">
        <w:t>’</w:t>
      </w:r>
      <w:r w:rsidRPr="007647EB">
        <w:t>une estimation des dépenses effectives pour 2027 ;</w:t>
      </w:r>
    </w:p>
    <w:p w14:paraId="4D62F127" w14:textId="3B6DC5F5" w:rsidR="00C65D89" w:rsidRPr="007647EB" w:rsidRDefault="00C65D89" w:rsidP="00330D4E">
      <w:pPr>
        <w:pStyle w:val="NormalNonumber"/>
        <w:numPr>
          <w:ilvl w:val="0"/>
          <w:numId w:val="49"/>
        </w:numPr>
        <w:tabs>
          <w:tab w:val="clear" w:pos="1247"/>
          <w:tab w:val="clear" w:pos="1871"/>
          <w:tab w:val="clear" w:pos="2495"/>
          <w:tab w:val="clear" w:pos="3119"/>
          <w:tab w:val="clear" w:pos="3742"/>
          <w:tab w:val="clear" w:pos="4366"/>
        </w:tabs>
        <w:ind w:left="1247" w:firstLine="624"/>
      </w:pPr>
      <w:r w:rsidRPr="007647EB">
        <w:rPr>
          <w:i/>
          <w:iCs/>
        </w:rPr>
        <w:t>Prie en outre</w:t>
      </w:r>
      <w:r w:rsidRPr="007647EB">
        <w:t xml:space="preserve"> la Secrétaire exécutive d</w:t>
      </w:r>
      <w:r w:rsidR="00D82E47" w:rsidRPr="007647EB">
        <w:t>’</w:t>
      </w:r>
      <w:r w:rsidRPr="007647EB">
        <w:t>établir un rapport présentant des options de mesures d</w:t>
      </w:r>
      <w:r w:rsidR="00D82E47" w:rsidRPr="007647EB">
        <w:t>’</w:t>
      </w:r>
      <w:r w:rsidRPr="007647EB">
        <w:t>économie, sous réserve de la disponibilité des ressources, pour qu</w:t>
      </w:r>
      <w:r w:rsidR="00D82E47" w:rsidRPr="007647EB">
        <w:t>’</w:t>
      </w:r>
      <w:r w:rsidRPr="007647EB">
        <w:t>elle l</w:t>
      </w:r>
      <w:r w:rsidR="00D82E47" w:rsidRPr="007647EB">
        <w:t>’</w:t>
      </w:r>
      <w:r w:rsidRPr="007647EB">
        <w:t>examine à</w:t>
      </w:r>
      <w:r w:rsidR="00935109" w:rsidRPr="007647EB">
        <w:t> </w:t>
      </w:r>
      <w:r w:rsidRPr="007647EB">
        <w:t>sa</w:t>
      </w:r>
      <w:r w:rsidR="00935109" w:rsidRPr="007647EB">
        <w:t> </w:t>
      </w:r>
      <w:r w:rsidRPr="007647EB">
        <w:t>septième réunion. Ces options peuvent inclure, entre autres, des ajustements apportés au calendrier, au format et à la durée des réunions organisées au titre de la Convention, des considérations relatives à une technologie rentable pour les services de traduction, des considérations relatives à la dotation en effectifs du secrétariat, ainsi que des considérations sur d</w:t>
      </w:r>
      <w:r w:rsidR="00D82E47" w:rsidRPr="007647EB">
        <w:t>’</w:t>
      </w:r>
      <w:r w:rsidRPr="007647EB">
        <w:t>éventuels accords de partage des coûts avec les secrétariats d</w:t>
      </w:r>
      <w:r w:rsidR="00D82E47" w:rsidRPr="007647EB">
        <w:t>’</w:t>
      </w:r>
      <w:r w:rsidRPr="007647EB">
        <w:t>autres accords multilatéraux sur l</w:t>
      </w:r>
      <w:r w:rsidR="00D82E47" w:rsidRPr="007647EB">
        <w:t>’</w:t>
      </w:r>
      <w:r w:rsidRPr="007647EB">
        <w:t>environnement intéressés, en s</w:t>
      </w:r>
      <w:r w:rsidR="00D82E47" w:rsidRPr="007647EB">
        <w:t>’</w:t>
      </w:r>
      <w:r w:rsidRPr="007647EB">
        <w:t>inspirant des meilleures pratiques.</w:t>
      </w:r>
    </w:p>
    <w:p w14:paraId="103D408E" w14:textId="77777777" w:rsidR="00684EB6" w:rsidRPr="007647EB" w:rsidRDefault="00684EB6" w:rsidP="00684EB6">
      <w:pPr>
        <w:pStyle w:val="NormalNonumber"/>
        <w:tabs>
          <w:tab w:val="clear" w:pos="1247"/>
          <w:tab w:val="clear" w:pos="1871"/>
          <w:tab w:val="clear" w:pos="2495"/>
          <w:tab w:val="clear" w:pos="3119"/>
          <w:tab w:val="clear" w:pos="3742"/>
          <w:tab w:val="clear" w:pos="4366"/>
        </w:tabs>
        <w:ind w:left="0"/>
      </w:pPr>
    </w:p>
    <w:p w14:paraId="6A75B05D" w14:textId="67CA4141" w:rsidR="00312042" w:rsidRPr="007647EB" w:rsidRDefault="00312042" w:rsidP="00C65D89">
      <w:pPr>
        <w:pStyle w:val="CH2"/>
        <w:rPr>
          <w:rFonts w:asciiTheme="majorBidi" w:hAnsiTheme="majorBidi" w:cstheme="majorBidi"/>
        </w:rPr>
        <w:sectPr w:rsidR="00312042" w:rsidRPr="007647EB" w:rsidSect="00BB5702">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pPr>
    </w:p>
    <w:p w14:paraId="37A78ADB" w14:textId="77777777" w:rsidR="00100696" w:rsidRPr="007647EB" w:rsidRDefault="00100696" w:rsidP="00100696">
      <w:pPr>
        <w:pStyle w:val="CH2"/>
        <w:rPr>
          <w:rFonts w:asciiTheme="majorBidi" w:hAnsiTheme="majorBidi" w:cstheme="majorBidi"/>
        </w:rPr>
      </w:pPr>
      <w:r w:rsidRPr="007647EB">
        <w:lastRenderedPageBreak/>
        <w:tab/>
      </w:r>
      <w:r w:rsidRPr="007647EB">
        <w:tab/>
      </w:r>
      <w:r w:rsidRPr="007647EB">
        <w:rPr>
          <w:bCs/>
        </w:rPr>
        <w:t>Annexe à la décision MC-6/21</w:t>
      </w:r>
    </w:p>
    <w:p w14:paraId="3186CBE6" w14:textId="77777777" w:rsidR="00100696" w:rsidRPr="007647EB" w:rsidRDefault="00100696" w:rsidP="00100696">
      <w:pPr>
        <w:pStyle w:val="Titletable"/>
        <w:spacing w:after="0"/>
        <w:rPr>
          <w:b w:val="0"/>
          <w:bCs w:val="0"/>
        </w:rPr>
      </w:pPr>
      <w:r w:rsidRPr="007647EB">
        <w:rPr>
          <w:b w:val="0"/>
          <w:bCs w:val="0"/>
        </w:rPr>
        <w:t xml:space="preserve">Tableau 1 </w:t>
      </w:r>
    </w:p>
    <w:p w14:paraId="1B491651" w14:textId="68DFAC88" w:rsidR="00100696" w:rsidRPr="007647EB" w:rsidRDefault="00100696" w:rsidP="00100696">
      <w:pPr>
        <w:pStyle w:val="Titletable"/>
        <w:spacing w:after="0"/>
        <w:rPr>
          <w:rFonts w:asciiTheme="majorBidi" w:hAnsiTheme="majorBidi" w:cstheme="majorBidi"/>
        </w:rPr>
      </w:pPr>
      <w:r w:rsidRPr="007647EB">
        <w:t>Programme de travail et budget de l</w:t>
      </w:r>
      <w:r w:rsidR="00D82E47" w:rsidRPr="007647EB">
        <w:t>’</w:t>
      </w:r>
      <w:r w:rsidRPr="007647EB">
        <w:t>exercice biennal 2026-2027</w:t>
      </w:r>
    </w:p>
    <w:p w14:paraId="6F62AA89" w14:textId="22FEEBE6" w:rsidR="00100696" w:rsidRPr="007647EB" w:rsidRDefault="00100696" w:rsidP="008963D0">
      <w:pPr>
        <w:pStyle w:val="Titletable"/>
        <w:spacing w:after="0"/>
        <w:rPr>
          <w:b w:val="0"/>
          <w:bCs w:val="0"/>
        </w:rPr>
      </w:pPr>
      <w:r w:rsidRPr="007647EB">
        <w:rPr>
          <w:b w:val="0"/>
          <w:bCs w:val="0"/>
        </w:rPr>
        <w:t>(En dollars des États-Unis)</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100696" w:rsidRPr="007647EB" w14:paraId="2FA05DD2" w14:textId="77777777" w:rsidTr="008123FC">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37353598"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single" w:sz="4" w:space="0" w:color="auto"/>
              <w:bottom w:val="single" w:sz="4" w:space="0" w:color="auto"/>
            </w:tcBorders>
            <w:shd w:val="clear" w:color="000000" w:fill="DBB731"/>
            <w:noWrap/>
            <w:vAlign w:val="bottom"/>
            <w:hideMark/>
          </w:tcPr>
          <w:p w14:paraId="0F55CA62" w14:textId="77777777" w:rsidR="00100696" w:rsidRPr="007647EB" w:rsidRDefault="00100696" w:rsidP="008123FC">
            <w:pPr>
              <w:spacing w:before="40" w:after="40"/>
              <w:rPr>
                <w:i/>
                <w:iCs/>
                <w:sz w:val="18"/>
                <w:szCs w:val="18"/>
              </w:rPr>
            </w:pPr>
            <w:r w:rsidRPr="007647EB">
              <w:rPr>
                <w:i/>
                <w:iCs/>
                <w:color w:val="000000"/>
                <w:sz w:val="18"/>
                <w:szCs w:val="18"/>
              </w:rPr>
              <w:t>Budget 2026-2027</w:t>
            </w:r>
          </w:p>
        </w:tc>
        <w:tc>
          <w:tcPr>
            <w:tcW w:w="3685" w:type="dxa"/>
            <w:gridSpan w:val="3"/>
            <w:tcBorders>
              <w:top w:val="single" w:sz="4" w:space="0" w:color="auto"/>
              <w:bottom w:val="single" w:sz="4" w:space="0" w:color="auto"/>
            </w:tcBorders>
            <w:shd w:val="clear" w:color="000000" w:fill="DBB731"/>
            <w:vAlign w:val="bottom"/>
            <w:hideMark/>
          </w:tcPr>
          <w:p w14:paraId="6941D3FC" w14:textId="331A36D6" w:rsidR="00100696" w:rsidRPr="007647EB" w:rsidRDefault="00100696" w:rsidP="008123FC">
            <w:pPr>
              <w:spacing w:before="40" w:after="40"/>
              <w:jc w:val="center"/>
              <w:rPr>
                <w:i/>
                <w:iCs/>
                <w:sz w:val="18"/>
                <w:szCs w:val="18"/>
              </w:rPr>
            </w:pPr>
            <w:r w:rsidRPr="007647EB">
              <w:rPr>
                <w:i/>
                <w:iCs/>
                <w:color w:val="000000"/>
                <w:sz w:val="18"/>
                <w:szCs w:val="18"/>
              </w:rPr>
              <w:t>Fonds d</w:t>
            </w:r>
            <w:r w:rsidR="00D82E47" w:rsidRPr="007647EB">
              <w:rPr>
                <w:i/>
                <w:iCs/>
                <w:color w:val="000000"/>
                <w:sz w:val="18"/>
                <w:szCs w:val="18"/>
              </w:rPr>
              <w:t>’</w:t>
            </w:r>
            <w:r w:rsidRPr="007647EB">
              <w:rPr>
                <w:i/>
                <w:iCs/>
                <w:color w:val="000000"/>
                <w:sz w:val="18"/>
                <w:szCs w:val="18"/>
              </w:rPr>
              <w:t>affectation spéciale général</w:t>
            </w:r>
          </w:p>
        </w:tc>
        <w:tc>
          <w:tcPr>
            <w:tcW w:w="3513" w:type="dxa"/>
            <w:gridSpan w:val="3"/>
            <w:tcBorders>
              <w:top w:val="single" w:sz="4" w:space="0" w:color="auto"/>
              <w:bottom w:val="single" w:sz="4" w:space="0" w:color="auto"/>
            </w:tcBorders>
            <w:shd w:val="clear" w:color="000000" w:fill="DBB731"/>
            <w:vAlign w:val="bottom"/>
            <w:hideMark/>
          </w:tcPr>
          <w:p w14:paraId="1D6E6834" w14:textId="6559525F" w:rsidR="00100696" w:rsidRPr="007647EB" w:rsidRDefault="00100696" w:rsidP="008123FC">
            <w:pPr>
              <w:spacing w:before="40" w:after="40"/>
              <w:jc w:val="center"/>
              <w:rPr>
                <w:i/>
                <w:iCs/>
                <w:sz w:val="18"/>
                <w:szCs w:val="18"/>
              </w:rPr>
            </w:pPr>
            <w:r w:rsidRPr="007647EB">
              <w:rPr>
                <w:i/>
                <w:iCs/>
                <w:color w:val="000000"/>
                <w:sz w:val="18"/>
                <w:szCs w:val="18"/>
              </w:rPr>
              <w:t>Fonds d</w:t>
            </w:r>
            <w:r w:rsidR="00D82E47" w:rsidRPr="007647EB">
              <w:rPr>
                <w:i/>
                <w:iCs/>
                <w:color w:val="000000"/>
                <w:sz w:val="18"/>
                <w:szCs w:val="18"/>
              </w:rPr>
              <w:t>’</w:t>
            </w:r>
            <w:r w:rsidRPr="007647EB">
              <w:rPr>
                <w:i/>
                <w:iCs/>
                <w:color w:val="000000"/>
                <w:sz w:val="18"/>
                <w:szCs w:val="18"/>
              </w:rPr>
              <w:t>affectation spéciale à des fins déterminées</w:t>
            </w:r>
          </w:p>
        </w:tc>
      </w:tr>
      <w:tr w:rsidR="00100696" w:rsidRPr="007647EB" w14:paraId="2B726140" w14:textId="77777777" w:rsidTr="008123FC">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63C0D58"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single" w:sz="4" w:space="0" w:color="auto"/>
              <w:bottom w:val="single" w:sz="12" w:space="0" w:color="auto"/>
            </w:tcBorders>
            <w:shd w:val="clear" w:color="000000" w:fill="DBB731"/>
            <w:noWrap/>
            <w:vAlign w:val="center"/>
            <w:hideMark/>
          </w:tcPr>
          <w:p w14:paraId="38D8AA75" w14:textId="77777777" w:rsidR="00100696" w:rsidRPr="007647EB" w:rsidRDefault="00100696" w:rsidP="008123FC">
            <w:pPr>
              <w:spacing w:before="40" w:after="40"/>
              <w:rPr>
                <w:i/>
                <w:iCs/>
                <w:sz w:val="18"/>
                <w:szCs w:val="18"/>
              </w:rPr>
            </w:pPr>
            <w:r w:rsidRPr="007647EB">
              <w:rPr>
                <w:i/>
                <w:iCs/>
                <w:color w:val="000000"/>
                <w:sz w:val="18"/>
                <w:szCs w:val="18"/>
              </w:rPr>
              <w:t>Activité</w:t>
            </w:r>
          </w:p>
        </w:tc>
        <w:tc>
          <w:tcPr>
            <w:tcW w:w="1275" w:type="dxa"/>
            <w:tcBorders>
              <w:top w:val="single" w:sz="4" w:space="0" w:color="auto"/>
              <w:bottom w:val="single" w:sz="12" w:space="0" w:color="auto"/>
            </w:tcBorders>
            <w:shd w:val="clear" w:color="000000" w:fill="DBB731"/>
            <w:vAlign w:val="center"/>
            <w:hideMark/>
          </w:tcPr>
          <w:p w14:paraId="6B101AE6" w14:textId="77777777" w:rsidR="00100696" w:rsidRPr="007647EB" w:rsidRDefault="00100696" w:rsidP="008123FC">
            <w:pPr>
              <w:spacing w:before="40" w:after="40"/>
              <w:jc w:val="right"/>
              <w:rPr>
                <w:i/>
                <w:iCs/>
                <w:sz w:val="18"/>
                <w:szCs w:val="18"/>
              </w:rPr>
            </w:pPr>
            <w:r w:rsidRPr="007647EB">
              <w:rPr>
                <w:i/>
                <w:iCs/>
                <w:color w:val="000000"/>
                <w:sz w:val="18"/>
                <w:szCs w:val="18"/>
              </w:rPr>
              <w:t>2026</w:t>
            </w:r>
          </w:p>
        </w:tc>
        <w:tc>
          <w:tcPr>
            <w:tcW w:w="1134" w:type="dxa"/>
            <w:tcBorders>
              <w:top w:val="single" w:sz="4" w:space="0" w:color="auto"/>
              <w:bottom w:val="single" w:sz="12" w:space="0" w:color="auto"/>
            </w:tcBorders>
            <w:shd w:val="clear" w:color="000000" w:fill="DBB731"/>
            <w:vAlign w:val="center"/>
            <w:hideMark/>
          </w:tcPr>
          <w:p w14:paraId="63E4E5EF" w14:textId="77777777" w:rsidR="00100696" w:rsidRPr="007647EB" w:rsidRDefault="00100696" w:rsidP="008123FC">
            <w:pPr>
              <w:spacing w:before="40" w:after="40"/>
              <w:jc w:val="right"/>
              <w:rPr>
                <w:i/>
                <w:iCs/>
                <w:sz w:val="18"/>
                <w:szCs w:val="18"/>
              </w:rPr>
            </w:pPr>
            <w:r w:rsidRPr="007647EB">
              <w:rPr>
                <w:i/>
                <w:iCs/>
                <w:color w:val="000000"/>
                <w:sz w:val="18"/>
                <w:szCs w:val="18"/>
              </w:rPr>
              <w:t>2027</w:t>
            </w:r>
          </w:p>
        </w:tc>
        <w:tc>
          <w:tcPr>
            <w:tcW w:w="1276" w:type="dxa"/>
            <w:tcBorders>
              <w:top w:val="single" w:sz="4" w:space="0" w:color="auto"/>
              <w:bottom w:val="single" w:sz="12" w:space="0" w:color="auto"/>
            </w:tcBorders>
            <w:shd w:val="clear" w:color="000000" w:fill="DBB731"/>
            <w:vAlign w:val="center"/>
            <w:hideMark/>
          </w:tcPr>
          <w:p w14:paraId="5F55EFBE" w14:textId="77777777" w:rsidR="00100696" w:rsidRPr="007647EB" w:rsidRDefault="00100696" w:rsidP="008123FC">
            <w:pPr>
              <w:spacing w:before="40" w:after="40"/>
              <w:jc w:val="right"/>
              <w:rPr>
                <w:i/>
                <w:iCs/>
                <w:sz w:val="18"/>
                <w:szCs w:val="18"/>
              </w:rPr>
            </w:pPr>
            <w:r w:rsidRPr="007647EB">
              <w:rPr>
                <w:i/>
                <w:iCs/>
                <w:color w:val="000000"/>
                <w:sz w:val="18"/>
                <w:szCs w:val="18"/>
              </w:rPr>
              <w:t>Total</w:t>
            </w:r>
          </w:p>
        </w:tc>
        <w:tc>
          <w:tcPr>
            <w:tcW w:w="1134" w:type="dxa"/>
            <w:tcBorders>
              <w:top w:val="single" w:sz="4" w:space="0" w:color="auto"/>
              <w:bottom w:val="single" w:sz="12" w:space="0" w:color="auto"/>
            </w:tcBorders>
            <w:shd w:val="clear" w:color="000000" w:fill="DBB731"/>
            <w:vAlign w:val="center"/>
            <w:hideMark/>
          </w:tcPr>
          <w:p w14:paraId="7EDB37C4" w14:textId="77777777" w:rsidR="00100696" w:rsidRPr="007647EB" w:rsidRDefault="00100696" w:rsidP="008123FC">
            <w:pPr>
              <w:spacing w:before="40" w:after="40"/>
              <w:jc w:val="right"/>
              <w:rPr>
                <w:i/>
                <w:iCs/>
                <w:sz w:val="18"/>
                <w:szCs w:val="18"/>
              </w:rPr>
            </w:pPr>
            <w:r w:rsidRPr="007647EB">
              <w:rPr>
                <w:i/>
                <w:iCs/>
                <w:color w:val="000000"/>
                <w:sz w:val="18"/>
                <w:szCs w:val="18"/>
              </w:rPr>
              <w:t>2026</w:t>
            </w:r>
          </w:p>
        </w:tc>
        <w:tc>
          <w:tcPr>
            <w:tcW w:w="1134" w:type="dxa"/>
            <w:tcBorders>
              <w:top w:val="single" w:sz="4" w:space="0" w:color="auto"/>
              <w:bottom w:val="single" w:sz="12" w:space="0" w:color="auto"/>
            </w:tcBorders>
            <w:shd w:val="clear" w:color="000000" w:fill="DBB731"/>
            <w:vAlign w:val="center"/>
            <w:hideMark/>
          </w:tcPr>
          <w:p w14:paraId="3AF7620C" w14:textId="77777777" w:rsidR="00100696" w:rsidRPr="007647EB" w:rsidRDefault="00100696" w:rsidP="008123FC">
            <w:pPr>
              <w:spacing w:before="40" w:after="40"/>
              <w:jc w:val="right"/>
              <w:rPr>
                <w:i/>
                <w:iCs/>
                <w:sz w:val="18"/>
                <w:szCs w:val="18"/>
              </w:rPr>
            </w:pPr>
            <w:r w:rsidRPr="007647EB">
              <w:rPr>
                <w:i/>
                <w:iCs/>
                <w:color w:val="000000"/>
                <w:sz w:val="18"/>
                <w:szCs w:val="18"/>
              </w:rPr>
              <w:t>2027</w:t>
            </w:r>
          </w:p>
        </w:tc>
        <w:tc>
          <w:tcPr>
            <w:tcW w:w="1245" w:type="dxa"/>
            <w:tcBorders>
              <w:top w:val="single" w:sz="4" w:space="0" w:color="auto"/>
              <w:bottom w:val="single" w:sz="12" w:space="0" w:color="auto"/>
            </w:tcBorders>
            <w:shd w:val="clear" w:color="000000" w:fill="DBB731"/>
            <w:vAlign w:val="center"/>
            <w:hideMark/>
          </w:tcPr>
          <w:p w14:paraId="3F794C56" w14:textId="77777777" w:rsidR="00100696" w:rsidRPr="007647EB" w:rsidRDefault="00100696" w:rsidP="008123FC">
            <w:pPr>
              <w:spacing w:before="40" w:after="40"/>
              <w:jc w:val="right"/>
              <w:rPr>
                <w:i/>
                <w:iCs/>
                <w:sz w:val="18"/>
                <w:szCs w:val="18"/>
              </w:rPr>
            </w:pPr>
            <w:r w:rsidRPr="007647EB">
              <w:rPr>
                <w:i/>
                <w:iCs/>
                <w:color w:val="000000"/>
                <w:sz w:val="18"/>
                <w:szCs w:val="18"/>
              </w:rPr>
              <w:t>Total</w:t>
            </w:r>
          </w:p>
        </w:tc>
      </w:tr>
      <w:tr w:rsidR="00100696" w:rsidRPr="007647EB" w14:paraId="1EF95A99" w14:textId="77777777" w:rsidTr="008123FC">
        <w:trPr>
          <w:trHeight w:val="153"/>
          <w:jc w:val="right"/>
        </w:trPr>
        <w:tc>
          <w:tcPr>
            <w:tcW w:w="7230" w:type="dxa"/>
            <w:gridSpan w:val="2"/>
            <w:tcBorders>
              <w:top w:val="single" w:sz="4" w:space="0" w:color="auto"/>
            </w:tcBorders>
            <w:noWrap/>
            <w:vAlign w:val="center"/>
            <w:hideMark/>
          </w:tcPr>
          <w:p w14:paraId="5E099E34" w14:textId="77777777" w:rsidR="00100696" w:rsidRPr="007647EB" w:rsidRDefault="00100696" w:rsidP="008123FC">
            <w:pPr>
              <w:spacing w:before="40" w:after="40"/>
              <w:rPr>
                <w:b/>
                <w:bCs/>
                <w:sz w:val="18"/>
                <w:szCs w:val="18"/>
              </w:rPr>
            </w:pPr>
            <w:r w:rsidRPr="007647EB">
              <w:rPr>
                <w:b/>
                <w:bCs/>
                <w:color w:val="000000"/>
                <w:sz w:val="18"/>
                <w:szCs w:val="18"/>
              </w:rPr>
              <w:t>A.</w:t>
            </w:r>
            <w:r w:rsidRPr="007647EB">
              <w:rPr>
                <w:color w:val="000000"/>
                <w:sz w:val="18"/>
                <w:szCs w:val="18"/>
              </w:rPr>
              <w:t xml:space="preserve"> </w:t>
            </w:r>
            <w:r w:rsidRPr="007647EB">
              <w:rPr>
                <w:b/>
                <w:bCs/>
                <w:color w:val="000000"/>
                <w:sz w:val="18"/>
                <w:szCs w:val="18"/>
              </w:rPr>
              <w:t>Conférences et réunions</w:t>
            </w:r>
          </w:p>
        </w:tc>
        <w:tc>
          <w:tcPr>
            <w:tcW w:w="1275" w:type="dxa"/>
            <w:tcBorders>
              <w:top w:val="single" w:sz="4" w:space="0" w:color="auto"/>
            </w:tcBorders>
            <w:noWrap/>
            <w:vAlign w:val="center"/>
            <w:hideMark/>
          </w:tcPr>
          <w:p w14:paraId="32071572"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54CE871C"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12222F11"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44745640"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E1D9C22"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10FB97C0" w14:textId="77777777" w:rsidR="00100696" w:rsidRPr="007647EB" w:rsidRDefault="00100696" w:rsidP="008123FC">
            <w:pPr>
              <w:spacing w:before="40" w:after="40"/>
              <w:jc w:val="right"/>
              <w:rPr>
                <w:b/>
                <w:bCs/>
                <w:sz w:val="18"/>
                <w:szCs w:val="18"/>
              </w:rPr>
            </w:pPr>
          </w:p>
        </w:tc>
      </w:tr>
      <w:tr w:rsidR="00100696" w:rsidRPr="007647EB" w14:paraId="305E7204" w14:textId="77777777" w:rsidTr="008123FC">
        <w:trPr>
          <w:trHeight w:val="315"/>
          <w:jc w:val="right"/>
        </w:trPr>
        <w:tc>
          <w:tcPr>
            <w:tcW w:w="7230" w:type="dxa"/>
            <w:gridSpan w:val="2"/>
            <w:noWrap/>
            <w:vAlign w:val="center"/>
            <w:hideMark/>
          </w:tcPr>
          <w:p w14:paraId="5F155BBF" w14:textId="77777777" w:rsidR="00100696" w:rsidRPr="007647EB" w:rsidRDefault="00100696" w:rsidP="008123FC">
            <w:pPr>
              <w:spacing w:before="40" w:after="40"/>
              <w:rPr>
                <w:b/>
                <w:bCs/>
                <w:sz w:val="18"/>
                <w:szCs w:val="18"/>
              </w:rPr>
            </w:pPr>
            <w:r w:rsidRPr="007647EB">
              <w:rPr>
                <w:b/>
                <w:bCs/>
                <w:color w:val="000000"/>
                <w:sz w:val="18"/>
                <w:szCs w:val="18"/>
              </w:rPr>
              <w:t>1.</w:t>
            </w:r>
            <w:r w:rsidRPr="007647EB">
              <w:rPr>
                <w:color w:val="000000"/>
                <w:sz w:val="18"/>
                <w:szCs w:val="18"/>
              </w:rPr>
              <w:t xml:space="preserve"> </w:t>
            </w:r>
            <w:r w:rsidRPr="007647EB">
              <w:rPr>
                <w:b/>
                <w:bCs/>
                <w:color w:val="000000"/>
                <w:sz w:val="18"/>
                <w:szCs w:val="18"/>
              </w:rPr>
              <w:t>Septième réunion de la Conférence des Parties</w:t>
            </w:r>
          </w:p>
        </w:tc>
        <w:tc>
          <w:tcPr>
            <w:tcW w:w="1275" w:type="dxa"/>
            <w:noWrap/>
            <w:vAlign w:val="center"/>
            <w:hideMark/>
          </w:tcPr>
          <w:p w14:paraId="516DA91E" w14:textId="77777777" w:rsidR="00100696" w:rsidRPr="007647EB" w:rsidRDefault="00100696" w:rsidP="008123FC">
            <w:pPr>
              <w:spacing w:before="40" w:after="40"/>
              <w:jc w:val="right"/>
              <w:rPr>
                <w:b/>
                <w:bCs/>
                <w:sz w:val="18"/>
                <w:szCs w:val="18"/>
              </w:rPr>
            </w:pPr>
          </w:p>
        </w:tc>
        <w:tc>
          <w:tcPr>
            <w:tcW w:w="1134" w:type="dxa"/>
            <w:noWrap/>
            <w:vAlign w:val="center"/>
            <w:hideMark/>
          </w:tcPr>
          <w:p w14:paraId="76FDD1F7" w14:textId="77777777" w:rsidR="00100696" w:rsidRPr="007647EB" w:rsidRDefault="00100696" w:rsidP="008123FC">
            <w:pPr>
              <w:spacing w:before="40" w:after="40"/>
              <w:jc w:val="right"/>
              <w:rPr>
                <w:b/>
                <w:bCs/>
                <w:sz w:val="18"/>
                <w:szCs w:val="18"/>
              </w:rPr>
            </w:pPr>
          </w:p>
        </w:tc>
        <w:tc>
          <w:tcPr>
            <w:tcW w:w="1276" w:type="dxa"/>
            <w:noWrap/>
            <w:vAlign w:val="center"/>
            <w:hideMark/>
          </w:tcPr>
          <w:p w14:paraId="026CEA6B" w14:textId="77777777" w:rsidR="00100696" w:rsidRPr="007647EB" w:rsidRDefault="00100696" w:rsidP="008123FC">
            <w:pPr>
              <w:spacing w:before="40" w:after="40"/>
              <w:jc w:val="right"/>
              <w:rPr>
                <w:b/>
                <w:bCs/>
                <w:sz w:val="18"/>
                <w:szCs w:val="18"/>
              </w:rPr>
            </w:pPr>
          </w:p>
        </w:tc>
        <w:tc>
          <w:tcPr>
            <w:tcW w:w="1134" w:type="dxa"/>
            <w:noWrap/>
            <w:vAlign w:val="center"/>
            <w:hideMark/>
          </w:tcPr>
          <w:p w14:paraId="2769BDC0" w14:textId="77777777" w:rsidR="00100696" w:rsidRPr="007647EB" w:rsidRDefault="00100696" w:rsidP="008123FC">
            <w:pPr>
              <w:spacing w:before="40" w:after="40"/>
              <w:jc w:val="right"/>
              <w:rPr>
                <w:b/>
                <w:bCs/>
                <w:sz w:val="18"/>
                <w:szCs w:val="18"/>
              </w:rPr>
            </w:pPr>
          </w:p>
        </w:tc>
        <w:tc>
          <w:tcPr>
            <w:tcW w:w="1134" w:type="dxa"/>
            <w:noWrap/>
            <w:vAlign w:val="center"/>
            <w:hideMark/>
          </w:tcPr>
          <w:p w14:paraId="1EA12F0B" w14:textId="77777777" w:rsidR="00100696" w:rsidRPr="007647EB" w:rsidRDefault="00100696" w:rsidP="008123FC">
            <w:pPr>
              <w:spacing w:before="40" w:after="40"/>
              <w:jc w:val="right"/>
              <w:rPr>
                <w:b/>
                <w:bCs/>
                <w:sz w:val="18"/>
                <w:szCs w:val="18"/>
              </w:rPr>
            </w:pPr>
          </w:p>
        </w:tc>
        <w:tc>
          <w:tcPr>
            <w:tcW w:w="1245" w:type="dxa"/>
            <w:noWrap/>
            <w:vAlign w:val="center"/>
            <w:hideMark/>
          </w:tcPr>
          <w:p w14:paraId="28967DA2" w14:textId="77777777" w:rsidR="00100696" w:rsidRPr="007647EB" w:rsidRDefault="00100696" w:rsidP="008123FC">
            <w:pPr>
              <w:spacing w:before="40" w:after="40"/>
              <w:jc w:val="right"/>
              <w:rPr>
                <w:b/>
                <w:bCs/>
                <w:sz w:val="18"/>
                <w:szCs w:val="18"/>
              </w:rPr>
            </w:pPr>
          </w:p>
        </w:tc>
      </w:tr>
      <w:tr w:rsidR="00100696" w:rsidRPr="007647EB" w14:paraId="431341DF" w14:textId="77777777" w:rsidTr="008123FC">
        <w:trPr>
          <w:trHeight w:val="52"/>
          <w:jc w:val="right"/>
        </w:trPr>
        <w:tc>
          <w:tcPr>
            <w:tcW w:w="284" w:type="dxa"/>
            <w:tcBorders>
              <w:top w:val="nil"/>
            </w:tcBorders>
            <w:noWrap/>
            <w:hideMark/>
          </w:tcPr>
          <w:p w14:paraId="3248C5D7" w14:textId="77777777" w:rsidR="00100696" w:rsidRPr="007647EB" w:rsidRDefault="00100696" w:rsidP="008123FC">
            <w:pPr>
              <w:spacing w:before="40" w:after="40"/>
              <w:rPr>
                <w:sz w:val="18"/>
                <w:szCs w:val="18"/>
              </w:rPr>
            </w:pPr>
          </w:p>
        </w:tc>
        <w:tc>
          <w:tcPr>
            <w:tcW w:w="6946" w:type="dxa"/>
            <w:tcBorders>
              <w:top w:val="nil"/>
            </w:tcBorders>
            <w:noWrap/>
            <w:vAlign w:val="center"/>
            <w:hideMark/>
          </w:tcPr>
          <w:p w14:paraId="2CDAA066" w14:textId="77777777" w:rsidR="00100696" w:rsidRPr="007647EB" w:rsidRDefault="00100696" w:rsidP="008123FC">
            <w:pPr>
              <w:spacing w:before="40" w:after="40"/>
              <w:rPr>
                <w:sz w:val="18"/>
                <w:szCs w:val="18"/>
              </w:rPr>
            </w:pPr>
            <w:r w:rsidRPr="007647EB">
              <w:rPr>
                <w:color w:val="000000"/>
                <w:sz w:val="18"/>
                <w:szCs w:val="18"/>
              </w:rPr>
              <w:t>1.1. Septième réunion</w:t>
            </w:r>
          </w:p>
        </w:tc>
        <w:tc>
          <w:tcPr>
            <w:tcW w:w="1275" w:type="dxa"/>
            <w:tcBorders>
              <w:top w:val="nil"/>
            </w:tcBorders>
            <w:noWrap/>
            <w:vAlign w:val="center"/>
            <w:hideMark/>
          </w:tcPr>
          <w:p w14:paraId="5A4833FB"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1EFF169A" w14:textId="77777777" w:rsidR="00100696" w:rsidRPr="007647EB" w:rsidRDefault="00100696" w:rsidP="008123FC">
            <w:pPr>
              <w:spacing w:before="40" w:after="40"/>
              <w:jc w:val="right"/>
              <w:rPr>
                <w:sz w:val="18"/>
                <w:szCs w:val="18"/>
              </w:rPr>
            </w:pPr>
            <w:r w:rsidRPr="007647EB">
              <w:rPr>
                <w:color w:val="000000"/>
                <w:sz w:val="18"/>
                <w:szCs w:val="18"/>
              </w:rPr>
              <w:t>1 045 000</w:t>
            </w:r>
          </w:p>
        </w:tc>
        <w:tc>
          <w:tcPr>
            <w:tcW w:w="1276" w:type="dxa"/>
            <w:tcBorders>
              <w:top w:val="nil"/>
            </w:tcBorders>
            <w:noWrap/>
            <w:vAlign w:val="center"/>
            <w:hideMark/>
          </w:tcPr>
          <w:p w14:paraId="3B12D36F" w14:textId="77777777" w:rsidR="00100696" w:rsidRPr="007647EB" w:rsidRDefault="00100696" w:rsidP="008123FC">
            <w:pPr>
              <w:spacing w:before="40" w:after="40"/>
              <w:jc w:val="right"/>
              <w:rPr>
                <w:sz w:val="18"/>
                <w:szCs w:val="18"/>
              </w:rPr>
            </w:pPr>
            <w:r w:rsidRPr="007647EB">
              <w:rPr>
                <w:color w:val="000000"/>
                <w:sz w:val="18"/>
                <w:szCs w:val="18"/>
              </w:rPr>
              <w:t>1 045 000</w:t>
            </w:r>
          </w:p>
        </w:tc>
        <w:tc>
          <w:tcPr>
            <w:tcW w:w="1134" w:type="dxa"/>
            <w:tcBorders>
              <w:top w:val="nil"/>
            </w:tcBorders>
            <w:noWrap/>
            <w:vAlign w:val="center"/>
            <w:hideMark/>
          </w:tcPr>
          <w:p w14:paraId="5C4619B9"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855A43A" w14:textId="77777777" w:rsidR="00100696" w:rsidRPr="007647EB" w:rsidRDefault="00100696" w:rsidP="008123FC">
            <w:pPr>
              <w:spacing w:before="40" w:after="40"/>
              <w:jc w:val="right"/>
              <w:rPr>
                <w:sz w:val="18"/>
                <w:szCs w:val="18"/>
              </w:rPr>
            </w:pPr>
            <w:r w:rsidRPr="007647EB">
              <w:rPr>
                <w:color w:val="000000"/>
                <w:sz w:val="18"/>
                <w:szCs w:val="18"/>
              </w:rPr>
              <w:t>475 000</w:t>
            </w:r>
          </w:p>
        </w:tc>
        <w:tc>
          <w:tcPr>
            <w:tcW w:w="1245" w:type="dxa"/>
            <w:tcBorders>
              <w:top w:val="nil"/>
            </w:tcBorders>
            <w:noWrap/>
            <w:vAlign w:val="center"/>
            <w:hideMark/>
          </w:tcPr>
          <w:p w14:paraId="588A0CA0" w14:textId="77777777" w:rsidR="00100696" w:rsidRPr="007647EB" w:rsidRDefault="00100696" w:rsidP="008123FC">
            <w:pPr>
              <w:spacing w:before="40" w:after="40"/>
              <w:jc w:val="right"/>
              <w:rPr>
                <w:sz w:val="18"/>
                <w:szCs w:val="18"/>
              </w:rPr>
            </w:pPr>
            <w:r w:rsidRPr="007647EB">
              <w:rPr>
                <w:color w:val="000000"/>
                <w:sz w:val="18"/>
                <w:szCs w:val="18"/>
              </w:rPr>
              <w:t>475 000</w:t>
            </w:r>
          </w:p>
        </w:tc>
      </w:tr>
      <w:tr w:rsidR="00100696" w:rsidRPr="007647EB" w14:paraId="469DE7DE" w14:textId="77777777" w:rsidTr="008123FC">
        <w:trPr>
          <w:trHeight w:val="183"/>
          <w:jc w:val="right"/>
        </w:trPr>
        <w:tc>
          <w:tcPr>
            <w:tcW w:w="284" w:type="dxa"/>
            <w:noWrap/>
            <w:hideMark/>
          </w:tcPr>
          <w:p w14:paraId="54D2E97E" w14:textId="77777777" w:rsidR="00100696" w:rsidRPr="007647EB" w:rsidRDefault="00100696" w:rsidP="008123FC">
            <w:pPr>
              <w:spacing w:before="40" w:after="40"/>
              <w:rPr>
                <w:sz w:val="18"/>
                <w:szCs w:val="18"/>
              </w:rPr>
            </w:pPr>
          </w:p>
        </w:tc>
        <w:tc>
          <w:tcPr>
            <w:tcW w:w="6946" w:type="dxa"/>
            <w:noWrap/>
            <w:vAlign w:val="center"/>
            <w:hideMark/>
          </w:tcPr>
          <w:p w14:paraId="3A546CAD" w14:textId="77777777" w:rsidR="00100696" w:rsidRPr="007647EB" w:rsidRDefault="00100696" w:rsidP="008123FC">
            <w:pPr>
              <w:spacing w:before="40" w:after="40"/>
              <w:rPr>
                <w:sz w:val="18"/>
                <w:szCs w:val="18"/>
              </w:rPr>
            </w:pPr>
            <w:r w:rsidRPr="007647EB">
              <w:rPr>
                <w:color w:val="000000"/>
                <w:sz w:val="18"/>
                <w:szCs w:val="18"/>
              </w:rPr>
              <w:t>1.2. Réunions préparatoires régionales</w:t>
            </w:r>
          </w:p>
        </w:tc>
        <w:tc>
          <w:tcPr>
            <w:tcW w:w="1275" w:type="dxa"/>
            <w:noWrap/>
            <w:vAlign w:val="center"/>
            <w:hideMark/>
          </w:tcPr>
          <w:p w14:paraId="53DA03E2" w14:textId="77777777" w:rsidR="00100696" w:rsidRPr="007647EB" w:rsidRDefault="00100696" w:rsidP="008123FC">
            <w:pPr>
              <w:spacing w:before="40" w:after="40"/>
              <w:jc w:val="right"/>
              <w:rPr>
                <w:sz w:val="18"/>
                <w:szCs w:val="18"/>
              </w:rPr>
            </w:pPr>
          </w:p>
        </w:tc>
        <w:tc>
          <w:tcPr>
            <w:tcW w:w="1134" w:type="dxa"/>
            <w:noWrap/>
            <w:vAlign w:val="center"/>
            <w:hideMark/>
          </w:tcPr>
          <w:p w14:paraId="6DD3E98A" w14:textId="77777777" w:rsidR="00100696" w:rsidRPr="007647EB" w:rsidRDefault="00100696" w:rsidP="008123FC">
            <w:pPr>
              <w:spacing w:before="40" w:after="40"/>
              <w:jc w:val="right"/>
              <w:rPr>
                <w:sz w:val="18"/>
                <w:szCs w:val="18"/>
              </w:rPr>
            </w:pPr>
          </w:p>
        </w:tc>
        <w:tc>
          <w:tcPr>
            <w:tcW w:w="1276" w:type="dxa"/>
            <w:noWrap/>
            <w:vAlign w:val="center"/>
            <w:hideMark/>
          </w:tcPr>
          <w:p w14:paraId="75B3374F" w14:textId="77777777" w:rsidR="00100696" w:rsidRPr="007647EB" w:rsidRDefault="00100696" w:rsidP="008123FC">
            <w:pPr>
              <w:spacing w:before="40" w:after="40"/>
              <w:jc w:val="right"/>
              <w:rPr>
                <w:sz w:val="18"/>
                <w:szCs w:val="18"/>
              </w:rPr>
            </w:pPr>
          </w:p>
        </w:tc>
        <w:tc>
          <w:tcPr>
            <w:tcW w:w="1134" w:type="dxa"/>
            <w:noWrap/>
            <w:vAlign w:val="center"/>
            <w:hideMark/>
          </w:tcPr>
          <w:p w14:paraId="775DCC5B" w14:textId="77777777" w:rsidR="00100696" w:rsidRPr="007647EB" w:rsidRDefault="00100696" w:rsidP="008123FC">
            <w:pPr>
              <w:spacing w:before="40" w:after="40"/>
              <w:jc w:val="right"/>
              <w:rPr>
                <w:sz w:val="18"/>
                <w:szCs w:val="18"/>
              </w:rPr>
            </w:pPr>
          </w:p>
        </w:tc>
        <w:tc>
          <w:tcPr>
            <w:tcW w:w="1134" w:type="dxa"/>
            <w:noWrap/>
            <w:vAlign w:val="center"/>
            <w:hideMark/>
          </w:tcPr>
          <w:p w14:paraId="6475A63C" w14:textId="77777777" w:rsidR="00100696" w:rsidRPr="007647EB" w:rsidRDefault="00100696" w:rsidP="008123FC">
            <w:pPr>
              <w:spacing w:before="40" w:after="40"/>
              <w:jc w:val="right"/>
              <w:rPr>
                <w:sz w:val="18"/>
                <w:szCs w:val="18"/>
              </w:rPr>
            </w:pPr>
            <w:r w:rsidRPr="007647EB">
              <w:rPr>
                <w:color w:val="000000"/>
                <w:sz w:val="18"/>
                <w:szCs w:val="18"/>
              </w:rPr>
              <w:t>420 000</w:t>
            </w:r>
          </w:p>
        </w:tc>
        <w:tc>
          <w:tcPr>
            <w:tcW w:w="1245" w:type="dxa"/>
            <w:noWrap/>
            <w:vAlign w:val="center"/>
            <w:hideMark/>
          </w:tcPr>
          <w:p w14:paraId="10772A49" w14:textId="77777777" w:rsidR="00100696" w:rsidRPr="007647EB" w:rsidRDefault="00100696" w:rsidP="008123FC">
            <w:pPr>
              <w:spacing w:before="40" w:after="40"/>
              <w:jc w:val="right"/>
              <w:rPr>
                <w:sz w:val="18"/>
                <w:szCs w:val="18"/>
              </w:rPr>
            </w:pPr>
            <w:r w:rsidRPr="007647EB">
              <w:rPr>
                <w:color w:val="000000"/>
                <w:sz w:val="18"/>
                <w:szCs w:val="18"/>
              </w:rPr>
              <w:t>420 000</w:t>
            </w:r>
          </w:p>
        </w:tc>
      </w:tr>
      <w:tr w:rsidR="00100696" w:rsidRPr="007647EB" w14:paraId="492102BE" w14:textId="77777777" w:rsidTr="008123FC">
        <w:trPr>
          <w:trHeight w:val="315"/>
          <w:jc w:val="right"/>
        </w:trPr>
        <w:tc>
          <w:tcPr>
            <w:tcW w:w="7230" w:type="dxa"/>
            <w:gridSpan w:val="2"/>
            <w:shd w:val="clear" w:color="000000" w:fill="B4C6E7"/>
            <w:noWrap/>
            <w:vAlign w:val="center"/>
            <w:hideMark/>
          </w:tcPr>
          <w:p w14:paraId="32D51614" w14:textId="77777777" w:rsidR="00100696" w:rsidRPr="007647EB" w:rsidRDefault="00100696" w:rsidP="008123FC">
            <w:pPr>
              <w:spacing w:before="40" w:after="40"/>
              <w:rPr>
                <w:b/>
                <w:bCs/>
                <w:sz w:val="18"/>
                <w:szCs w:val="18"/>
              </w:rPr>
            </w:pPr>
            <w:r w:rsidRPr="007647EB">
              <w:rPr>
                <w:b/>
                <w:bCs/>
                <w:color w:val="000000"/>
                <w:sz w:val="18"/>
                <w:szCs w:val="18"/>
              </w:rPr>
              <w:t>1.</w:t>
            </w:r>
            <w:r w:rsidRPr="007647EB">
              <w:rPr>
                <w:color w:val="000000"/>
                <w:sz w:val="18"/>
                <w:szCs w:val="18"/>
              </w:rPr>
              <w:t xml:space="preserve"> </w:t>
            </w:r>
            <w:r w:rsidRPr="007647EB">
              <w:rPr>
                <w:b/>
                <w:bCs/>
                <w:color w:val="000000"/>
                <w:sz w:val="18"/>
                <w:szCs w:val="18"/>
              </w:rPr>
              <w:t>Septième réunion de la Conférence des Parties</w:t>
            </w:r>
          </w:p>
        </w:tc>
        <w:tc>
          <w:tcPr>
            <w:tcW w:w="1275" w:type="dxa"/>
            <w:shd w:val="clear" w:color="000000" w:fill="B4C6E7"/>
            <w:noWrap/>
            <w:vAlign w:val="center"/>
            <w:hideMark/>
          </w:tcPr>
          <w:p w14:paraId="33BCBC5B"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6A92C6A6" w14:textId="77777777" w:rsidR="00100696" w:rsidRPr="007647EB" w:rsidRDefault="00100696" w:rsidP="008123FC">
            <w:pPr>
              <w:spacing w:before="40" w:after="40"/>
              <w:jc w:val="right"/>
              <w:rPr>
                <w:b/>
                <w:bCs/>
                <w:sz w:val="18"/>
                <w:szCs w:val="18"/>
              </w:rPr>
            </w:pPr>
            <w:r w:rsidRPr="007647EB">
              <w:rPr>
                <w:b/>
                <w:bCs/>
                <w:color w:val="000000"/>
                <w:sz w:val="18"/>
                <w:szCs w:val="18"/>
              </w:rPr>
              <w:t>1 045 000</w:t>
            </w:r>
          </w:p>
        </w:tc>
        <w:tc>
          <w:tcPr>
            <w:tcW w:w="1276" w:type="dxa"/>
            <w:shd w:val="clear" w:color="000000" w:fill="B4C6E7"/>
            <w:noWrap/>
            <w:vAlign w:val="center"/>
            <w:hideMark/>
          </w:tcPr>
          <w:p w14:paraId="1BDBB51C" w14:textId="77777777" w:rsidR="00100696" w:rsidRPr="007647EB" w:rsidRDefault="00100696" w:rsidP="008123FC">
            <w:pPr>
              <w:spacing w:before="40" w:after="40"/>
              <w:jc w:val="right"/>
              <w:rPr>
                <w:b/>
                <w:bCs/>
                <w:sz w:val="18"/>
                <w:szCs w:val="18"/>
              </w:rPr>
            </w:pPr>
            <w:r w:rsidRPr="007647EB">
              <w:rPr>
                <w:b/>
                <w:bCs/>
                <w:color w:val="000000"/>
                <w:sz w:val="18"/>
                <w:szCs w:val="18"/>
              </w:rPr>
              <w:t>1 045 000</w:t>
            </w:r>
          </w:p>
        </w:tc>
        <w:tc>
          <w:tcPr>
            <w:tcW w:w="1134" w:type="dxa"/>
            <w:shd w:val="clear" w:color="000000" w:fill="B4C6E7"/>
            <w:noWrap/>
            <w:vAlign w:val="center"/>
            <w:hideMark/>
          </w:tcPr>
          <w:p w14:paraId="56BFAEBD"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29F7203" w14:textId="77777777" w:rsidR="00100696" w:rsidRPr="007647EB" w:rsidRDefault="00100696" w:rsidP="008123FC">
            <w:pPr>
              <w:spacing w:before="40" w:after="40"/>
              <w:jc w:val="right"/>
              <w:rPr>
                <w:b/>
                <w:bCs/>
                <w:sz w:val="18"/>
                <w:szCs w:val="18"/>
              </w:rPr>
            </w:pPr>
            <w:r w:rsidRPr="007647EB">
              <w:rPr>
                <w:b/>
                <w:bCs/>
                <w:color w:val="000000"/>
                <w:sz w:val="18"/>
                <w:szCs w:val="18"/>
              </w:rPr>
              <w:t>895 000</w:t>
            </w:r>
          </w:p>
        </w:tc>
        <w:tc>
          <w:tcPr>
            <w:tcW w:w="1245" w:type="dxa"/>
            <w:shd w:val="clear" w:color="000000" w:fill="B4C6E7"/>
            <w:noWrap/>
            <w:vAlign w:val="center"/>
            <w:hideMark/>
          </w:tcPr>
          <w:p w14:paraId="09E59F68" w14:textId="77777777" w:rsidR="00100696" w:rsidRPr="007647EB" w:rsidRDefault="00100696" w:rsidP="008123FC">
            <w:pPr>
              <w:spacing w:before="40" w:after="40"/>
              <w:jc w:val="right"/>
              <w:rPr>
                <w:b/>
                <w:bCs/>
                <w:sz w:val="18"/>
                <w:szCs w:val="18"/>
              </w:rPr>
            </w:pPr>
            <w:r w:rsidRPr="007647EB">
              <w:rPr>
                <w:b/>
                <w:bCs/>
                <w:color w:val="000000"/>
                <w:sz w:val="18"/>
                <w:szCs w:val="18"/>
              </w:rPr>
              <w:t>895 000</w:t>
            </w:r>
          </w:p>
        </w:tc>
      </w:tr>
      <w:tr w:rsidR="00100696" w:rsidRPr="007647EB" w14:paraId="7907409C" w14:textId="77777777" w:rsidTr="008123FC">
        <w:trPr>
          <w:trHeight w:val="163"/>
          <w:jc w:val="right"/>
        </w:trPr>
        <w:tc>
          <w:tcPr>
            <w:tcW w:w="7230" w:type="dxa"/>
            <w:gridSpan w:val="2"/>
            <w:noWrap/>
            <w:vAlign w:val="center"/>
            <w:hideMark/>
          </w:tcPr>
          <w:p w14:paraId="12730213" w14:textId="77777777" w:rsidR="00100696" w:rsidRPr="007647EB" w:rsidRDefault="00100696" w:rsidP="008123FC">
            <w:pPr>
              <w:spacing w:before="40" w:after="40"/>
              <w:rPr>
                <w:b/>
                <w:bCs/>
                <w:sz w:val="18"/>
                <w:szCs w:val="18"/>
              </w:rPr>
            </w:pPr>
            <w:r w:rsidRPr="007647EB">
              <w:rPr>
                <w:b/>
                <w:bCs/>
                <w:color w:val="000000"/>
                <w:sz w:val="18"/>
                <w:szCs w:val="18"/>
              </w:rPr>
              <w:t>2.</w:t>
            </w:r>
            <w:r w:rsidRPr="007647EB">
              <w:rPr>
                <w:color w:val="000000"/>
                <w:sz w:val="18"/>
                <w:szCs w:val="18"/>
              </w:rPr>
              <w:t xml:space="preserve"> </w:t>
            </w:r>
            <w:r w:rsidRPr="007647EB">
              <w:rPr>
                <w:b/>
                <w:bCs/>
                <w:color w:val="000000"/>
                <w:sz w:val="18"/>
                <w:szCs w:val="18"/>
              </w:rPr>
              <w:t>Bureau de la Conférence des Parties</w:t>
            </w:r>
          </w:p>
        </w:tc>
        <w:tc>
          <w:tcPr>
            <w:tcW w:w="1275" w:type="dxa"/>
            <w:noWrap/>
            <w:vAlign w:val="center"/>
            <w:hideMark/>
          </w:tcPr>
          <w:p w14:paraId="61235E94" w14:textId="77777777" w:rsidR="00100696" w:rsidRPr="007647EB" w:rsidRDefault="00100696" w:rsidP="008123FC">
            <w:pPr>
              <w:spacing w:before="40" w:after="40"/>
              <w:jc w:val="right"/>
              <w:rPr>
                <w:b/>
                <w:bCs/>
                <w:sz w:val="18"/>
                <w:szCs w:val="18"/>
              </w:rPr>
            </w:pPr>
          </w:p>
        </w:tc>
        <w:tc>
          <w:tcPr>
            <w:tcW w:w="1134" w:type="dxa"/>
            <w:noWrap/>
            <w:vAlign w:val="center"/>
            <w:hideMark/>
          </w:tcPr>
          <w:p w14:paraId="24F03F24" w14:textId="77777777" w:rsidR="00100696" w:rsidRPr="007647EB" w:rsidRDefault="00100696" w:rsidP="008123FC">
            <w:pPr>
              <w:spacing w:before="40" w:after="40"/>
              <w:jc w:val="right"/>
              <w:rPr>
                <w:b/>
                <w:bCs/>
                <w:sz w:val="18"/>
                <w:szCs w:val="18"/>
              </w:rPr>
            </w:pPr>
          </w:p>
        </w:tc>
        <w:tc>
          <w:tcPr>
            <w:tcW w:w="1276" w:type="dxa"/>
            <w:noWrap/>
            <w:vAlign w:val="center"/>
            <w:hideMark/>
          </w:tcPr>
          <w:p w14:paraId="2FB306B8" w14:textId="77777777" w:rsidR="00100696" w:rsidRPr="007647EB" w:rsidRDefault="00100696" w:rsidP="008123FC">
            <w:pPr>
              <w:spacing w:before="40" w:after="40"/>
              <w:jc w:val="right"/>
              <w:rPr>
                <w:b/>
                <w:bCs/>
                <w:sz w:val="18"/>
                <w:szCs w:val="18"/>
              </w:rPr>
            </w:pPr>
          </w:p>
        </w:tc>
        <w:tc>
          <w:tcPr>
            <w:tcW w:w="1134" w:type="dxa"/>
            <w:noWrap/>
            <w:vAlign w:val="center"/>
            <w:hideMark/>
          </w:tcPr>
          <w:p w14:paraId="021594FE" w14:textId="77777777" w:rsidR="00100696" w:rsidRPr="007647EB" w:rsidRDefault="00100696" w:rsidP="008123FC">
            <w:pPr>
              <w:spacing w:before="40" w:after="40"/>
              <w:jc w:val="right"/>
              <w:rPr>
                <w:b/>
                <w:bCs/>
                <w:sz w:val="18"/>
                <w:szCs w:val="18"/>
              </w:rPr>
            </w:pPr>
          </w:p>
        </w:tc>
        <w:tc>
          <w:tcPr>
            <w:tcW w:w="1134" w:type="dxa"/>
            <w:noWrap/>
            <w:vAlign w:val="center"/>
            <w:hideMark/>
          </w:tcPr>
          <w:p w14:paraId="11018714" w14:textId="77777777" w:rsidR="00100696" w:rsidRPr="007647EB" w:rsidRDefault="00100696" w:rsidP="008123FC">
            <w:pPr>
              <w:spacing w:before="40" w:after="40"/>
              <w:jc w:val="right"/>
              <w:rPr>
                <w:b/>
                <w:bCs/>
                <w:sz w:val="18"/>
                <w:szCs w:val="18"/>
              </w:rPr>
            </w:pPr>
          </w:p>
        </w:tc>
        <w:tc>
          <w:tcPr>
            <w:tcW w:w="1245" w:type="dxa"/>
            <w:noWrap/>
            <w:vAlign w:val="center"/>
            <w:hideMark/>
          </w:tcPr>
          <w:p w14:paraId="02A7C398" w14:textId="77777777" w:rsidR="00100696" w:rsidRPr="007647EB" w:rsidRDefault="00100696" w:rsidP="008123FC">
            <w:pPr>
              <w:spacing w:before="40" w:after="40"/>
              <w:jc w:val="right"/>
              <w:rPr>
                <w:b/>
                <w:bCs/>
                <w:sz w:val="18"/>
                <w:szCs w:val="18"/>
              </w:rPr>
            </w:pPr>
          </w:p>
        </w:tc>
      </w:tr>
      <w:tr w:rsidR="00100696" w:rsidRPr="007647EB" w14:paraId="56B94267" w14:textId="77777777" w:rsidTr="008123FC">
        <w:trPr>
          <w:trHeight w:val="52"/>
          <w:jc w:val="right"/>
        </w:trPr>
        <w:tc>
          <w:tcPr>
            <w:tcW w:w="284" w:type="dxa"/>
            <w:tcBorders>
              <w:bottom w:val="nil"/>
            </w:tcBorders>
            <w:noWrap/>
            <w:hideMark/>
          </w:tcPr>
          <w:p w14:paraId="264688D4"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bottom w:val="nil"/>
            </w:tcBorders>
            <w:noWrap/>
            <w:vAlign w:val="center"/>
            <w:hideMark/>
          </w:tcPr>
          <w:p w14:paraId="7AFBE3A3" w14:textId="77777777" w:rsidR="00100696" w:rsidRPr="007647EB" w:rsidRDefault="00100696" w:rsidP="008123FC">
            <w:pPr>
              <w:spacing w:before="40" w:after="40"/>
              <w:rPr>
                <w:sz w:val="18"/>
                <w:szCs w:val="18"/>
              </w:rPr>
            </w:pPr>
            <w:r w:rsidRPr="007647EB">
              <w:rPr>
                <w:color w:val="000000"/>
                <w:sz w:val="18"/>
                <w:szCs w:val="18"/>
              </w:rPr>
              <w:t>2.1. Réunions du Bureau</w:t>
            </w:r>
          </w:p>
        </w:tc>
        <w:tc>
          <w:tcPr>
            <w:tcW w:w="1275" w:type="dxa"/>
            <w:tcBorders>
              <w:bottom w:val="nil"/>
            </w:tcBorders>
            <w:noWrap/>
            <w:vAlign w:val="center"/>
            <w:hideMark/>
          </w:tcPr>
          <w:p w14:paraId="2C58CE04" w14:textId="77777777" w:rsidR="00100696" w:rsidRPr="007647EB" w:rsidRDefault="00100696" w:rsidP="008123FC">
            <w:pPr>
              <w:spacing w:before="40" w:after="40"/>
              <w:jc w:val="right"/>
              <w:rPr>
                <w:sz w:val="18"/>
                <w:szCs w:val="18"/>
              </w:rPr>
            </w:pPr>
            <w:r w:rsidRPr="007647EB">
              <w:rPr>
                <w:color w:val="000000"/>
                <w:sz w:val="18"/>
                <w:szCs w:val="18"/>
              </w:rPr>
              <w:t>26 000</w:t>
            </w:r>
          </w:p>
        </w:tc>
        <w:tc>
          <w:tcPr>
            <w:tcW w:w="1134" w:type="dxa"/>
            <w:tcBorders>
              <w:bottom w:val="nil"/>
            </w:tcBorders>
            <w:noWrap/>
            <w:vAlign w:val="center"/>
            <w:hideMark/>
          </w:tcPr>
          <w:p w14:paraId="65E43536" w14:textId="77777777" w:rsidR="00100696" w:rsidRPr="007647EB" w:rsidRDefault="00100696" w:rsidP="008123FC">
            <w:pPr>
              <w:spacing w:before="40" w:after="40"/>
              <w:jc w:val="right"/>
              <w:rPr>
                <w:sz w:val="18"/>
                <w:szCs w:val="18"/>
              </w:rPr>
            </w:pPr>
          </w:p>
        </w:tc>
        <w:tc>
          <w:tcPr>
            <w:tcW w:w="1276" w:type="dxa"/>
            <w:tcBorders>
              <w:bottom w:val="nil"/>
            </w:tcBorders>
            <w:noWrap/>
            <w:vAlign w:val="center"/>
            <w:hideMark/>
          </w:tcPr>
          <w:p w14:paraId="7EDA3693" w14:textId="77777777" w:rsidR="00100696" w:rsidRPr="007647EB" w:rsidRDefault="00100696" w:rsidP="008123FC">
            <w:pPr>
              <w:spacing w:before="40" w:after="40"/>
              <w:jc w:val="right"/>
              <w:rPr>
                <w:sz w:val="18"/>
                <w:szCs w:val="18"/>
              </w:rPr>
            </w:pPr>
            <w:r w:rsidRPr="007647EB">
              <w:rPr>
                <w:color w:val="000000"/>
                <w:sz w:val="18"/>
                <w:szCs w:val="18"/>
              </w:rPr>
              <w:t>26 000</w:t>
            </w:r>
          </w:p>
        </w:tc>
        <w:tc>
          <w:tcPr>
            <w:tcW w:w="1134" w:type="dxa"/>
            <w:tcBorders>
              <w:bottom w:val="nil"/>
            </w:tcBorders>
            <w:noWrap/>
            <w:vAlign w:val="center"/>
            <w:hideMark/>
          </w:tcPr>
          <w:p w14:paraId="146C9D11" w14:textId="77777777" w:rsidR="00100696" w:rsidRPr="007647EB" w:rsidRDefault="00100696" w:rsidP="008123FC">
            <w:pPr>
              <w:spacing w:before="40" w:after="40"/>
              <w:jc w:val="right"/>
              <w:rPr>
                <w:sz w:val="18"/>
                <w:szCs w:val="18"/>
              </w:rPr>
            </w:pPr>
          </w:p>
        </w:tc>
        <w:tc>
          <w:tcPr>
            <w:tcW w:w="1134" w:type="dxa"/>
            <w:tcBorders>
              <w:bottom w:val="nil"/>
            </w:tcBorders>
            <w:noWrap/>
            <w:vAlign w:val="center"/>
            <w:hideMark/>
          </w:tcPr>
          <w:p w14:paraId="25D24BCD" w14:textId="77777777" w:rsidR="00100696" w:rsidRPr="007647EB" w:rsidRDefault="00100696" w:rsidP="008123FC">
            <w:pPr>
              <w:spacing w:before="40" w:after="40"/>
              <w:jc w:val="right"/>
              <w:rPr>
                <w:sz w:val="18"/>
                <w:szCs w:val="18"/>
              </w:rPr>
            </w:pPr>
          </w:p>
        </w:tc>
        <w:tc>
          <w:tcPr>
            <w:tcW w:w="1245" w:type="dxa"/>
            <w:tcBorders>
              <w:bottom w:val="nil"/>
            </w:tcBorders>
            <w:noWrap/>
            <w:vAlign w:val="center"/>
            <w:hideMark/>
          </w:tcPr>
          <w:p w14:paraId="0FB2BAE9" w14:textId="77777777" w:rsidR="00100696" w:rsidRPr="007647EB" w:rsidRDefault="00100696" w:rsidP="008123FC">
            <w:pPr>
              <w:spacing w:before="40" w:after="40"/>
              <w:jc w:val="right"/>
              <w:rPr>
                <w:sz w:val="18"/>
                <w:szCs w:val="18"/>
              </w:rPr>
            </w:pPr>
          </w:p>
        </w:tc>
      </w:tr>
      <w:tr w:rsidR="00100696" w:rsidRPr="007647EB" w14:paraId="70BA86CA" w14:textId="77777777" w:rsidTr="008123FC">
        <w:trPr>
          <w:trHeight w:val="315"/>
          <w:jc w:val="right"/>
        </w:trPr>
        <w:tc>
          <w:tcPr>
            <w:tcW w:w="7230" w:type="dxa"/>
            <w:gridSpan w:val="2"/>
            <w:shd w:val="clear" w:color="000000" w:fill="B4C6E7"/>
            <w:noWrap/>
            <w:vAlign w:val="center"/>
            <w:hideMark/>
          </w:tcPr>
          <w:p w14:paraId="1C354761" w14:textId="77777777" w:rsidR="00100696" w:rsidRPr="007647EB" w:rsidRDefault="00100696" w:rsidP="008123FC">
            <w:pPr>
              <w:spacing w:before="40" w:after="40"/>
              <w:rPr>
                <w:b/>
                <w:bCs/>
                <w:sz w:val="18"/>
                <w:szCs w:val="18"/>
              </w:rPr>
            </w:pPr>
            <w:r w:rsidRPr="007647EB">
              <w:rPr>
                <w:b/>
                <w:bCs/>
                <w:color w:val="000000"/>
                <w:sz w:val="18"/>
                <w:szCs w:val="18"/>
              </w:rPr>
              <w:t>2.</w:t>
            </w:r>
            <w:r w:rsidRPr="007647EB">
              <w:rPr>
                <w:color w:val="000000"/>
                <w:sz w:val="18"/>
                <w:szCs w:val="18"/>
              </w:rPr>
              <w:t xml:space="preserve"> </w:t>
            </w:r>
            <w:r w:rsidRPr="007647EB">
              <w:rPr>
                <w:b/>
                <w:bCs/>
                <w:color w:val="000000"/>
                <w:sz w:val="18"/>
                <w:szCs w:val="18"/>
              </w:rPr>
              <w:t>Bureau de la Conférence des Parties</w:t>
            </w:r>
          </w:p>
        </w:tc>
        <w:tc>
          <w:tcPr>
            <w:tcW w:w="1275" w:type="dxa"/>
            <w:shd w:val="clear" w:color="000000" w:fill="B4C6E7"/>
            <w:noWrap/>
            <w:vAlign w:val="center"/>
            <w:hideMark/>
          </w:tcPr>
          <w:p w14:paraId="43002589" w14:textId="77777777" w:rsidR="00100696" w:rsidRPr="007647EB" w:rsidRDefault="00100696" w:rsidP="008123FC">
            <w:pPr>
              <w:spacing w:before="40" w:after="40"/>
              <w:jc w:val="right"/>
              <w:rPr>
                <w:b/>
                <w:bCs/>
                <w:sz w:val="18"/>
                <w:szCs w:val="18"/>
              </w:rPr>
            </w:pPr>
            <w:r w:rsidRPr="007647EB">
              <w:rPr>
                <w:b/>
                <w:bCs/>
                <w:color w:val="000000"/>
                <w:sz w:val="18"/>
                <w:szCs w:val="18"/>
              </w:rPr>
              <w:t>26 000</w:t>
            </w:r>
          </w:p>
        </w:tc>
        <w:tc>
          <w:tcPr>
            <w:tcW w:w="1134" w:type="dxa"/>
            <w:shd w:val="clear" w:color="000000" w:fill="B4C6E7"/>
            <w:noWrap/>
            <w:vAlign w:val="center"/>
            <w:hideMark/>
          </w:tcPr>
          <w:p w14:paraId="77ACD5AD" w14:textId="77777777" w:rsidR="00100696" w:rsidRPr="007647EB" w:rsidRDefault="00100696" w:rsidP="008123FC">
            <w:pPr>
              <w:spacing w:before="40" w:after="40"/>
              <w:jc w:val="right"/>
              <w:rPr>
                <w:b/>
                <w:bCs/>
                <w:sz w:val="18"/>
                <w:szCs w:val="18"/>
              </w:rPr>
            </w:pPr>
          </w:p>
        </w:tc>
        <w:tc>
          <w:tcPr>
            <w:tcW w:w="1276" w:type="dxa"/>
            <w:shd w:val="clear" w:color="000000" w:fill="B4C6E7"/>
            <w:noWrap/>
            <w:vAlign w:val="center"/>
            <w:hideMark/>
          </w:tcPr>
          <w:p w14:paraId="3C8E570B" w14:textId="77777777" w:rsidR="00100696" w:rsidRPr="007647EB" w:rsidRDefault="00100696" w:rsidP="008123FC">
            <w:pPr>
              <w:spacing w:before="40" w:after="40"/>
              <w:jc w:val="right"/>
              <w:rPr>
                <w:b/>
                <w:bCs/>
                <w:sz w:val="18"/>
                <w:szCs w:val="18"/>
              </w:rPr>
            </w:pPr>
            <w:r w:rsidRPr="007647EB">
              <w:rPr>
                <w:b/>
                <w:bCs/>
                <w:color w:val="000000"/>
                <w:sz w:val="18"/>
                <w:szCs w:val="18"/>
              </w:rPr>
              <w:t>26 000</w:t>
            </w:r>
          </w:p>
        </w:tc>
        <w:tc>
          <w:tcPr>
            <w:tcW w:w="1134" w:type="dxa"/>
            <w:shd w:val="clear" w:color="000000" w:fill="B4C6E7"/>
            <w:noWrap/>
            <w:vAlign w:val="center"/>
            <w:hideMark/>
          </w:tcPr>
          <w:p w14:paraId="3BAE0AF3"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EE6F0D5"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1CB1EC14" w14:textId="77777777" w:rsidR="00100696" w:rsidRPr="007647EB" w:rsidRDefault="00100696" w:rsidP="008123FC">
            <w:pPr>
              <w:spacing w:before="40" w:after="40"/>
              <w:jc w:val="right"/>
              <w:rPr>
                <w:b/>
                <w:bCs/>
                <w:sz w:val="18"/>
                <w:szCs w:val="18"/>
              </w:rPr>
            </w:pPr>
          </w:p>
        </w:tc>
      </w:tr>
      <w:tr w:rsidR="00100696" w:rsidRPr="007647EB" w14:paraId="00B83249" w14:textId="77777777" w:rsidTr="008123FC">
        <w:trPr>
          <w:trHeight w:val="52"/>
          <w:jc w:val="right"/>
        </w:trPr>
        <w:tc>
          <w:tcPr>
            <w:tcW w:w="7230" w:type="dxa"/>
            <w:gridSpan w:val="2"/>
            <w:noWrap/>
            <w:vAlign w:val="center"/>
            <w:hideMark/>
          </w:tcPr>
          <w:p w14:paraId="3ED1F72F" w14:textId="26A5F442" w:rsidR="00100696" w:rsidRPr="007647EB" w:rsidRDefault="00100696" w:rsidP="008123FC">
            <w:pPr>
              <w:spacing w:before="40" w:after="40"/>
              <w:rPr>
                <w:b/>
                <w:bCs/>
                <w:sz w:val="18"/>
                <w:szCs w:val="18"/>
              </w:rPr>
            </w:pPr>
            <w:r w:rsidRPr="007647EB">
              <w:rPr>
                <w:b/>
                <w:bCs/>
                <w:color w:val="000000"/>
                <w:sz w:val="18"/>
                <w:szCs w:val="18"/>
              </w:rPr>
              <w:t>3.</w:t>
            </w:r>
            <w:r w:rsidRPr="007647EB">
              <w:rPr>
                <w:color w:val="000000"/>
                <w:sz w:val="18"/>
                <w:szCs w:val="18"/>
              </w:rPr>
              <w:t xml:space="preserve"> </w:t>
            </w:r>
            <w:r w:rsidRPr="007647EB">
              <w:rPr>
                <w:b/>
                <w:bCs/>
                <w:color w:val="000000"/>
                <w:sz w:val="18"/>
                <w:szCs w:val="18"/>
              </w:rPr>
              <w:t xml:space="preserve">Comité de mise en œuvre et du respect des </w:t>
            </w:r>
            <w:r w:rsidR="008949EE" w:rsidRPr="007647EB">
              <w:rPr>
                <w:b/>
                <w:bCs/>
                <w:color w:val="000000"/>
                <w:sz w:val="18"/>
                <w:szCs w:val="18"/>
              </w:rPr>
              <w:t>obligations</w:t>
            </w:r>
          </w:p>
        </w:tc>
        <w:tc>
          <w:tcPr>
            <w:tcW w:w="1275" w:type="dxa"/>
            <w:noWrap/>
            <w:vAlign w:val="center"/>
            <w:hideMark/>
          </w:tcPr>
          <w:p w14:paraId="18048D09" w14:textId="77777777" w:rsidR="00100696" w:rsidRPr="007647EB" w:rsidRDefault="00100696" w:rsidP="008123FC">
            <w:pPr>
              <w:spacing w:before="40" w:after="40"/>
              <w:jc w:val="right"/>
              <w:rPr>
                <w:b/>
                <w:bCs/>
                <w:sz w:val="18"/>
                <w:szCs w:val="18"/>
              </w:rPr>
            </w:pPr>
          </w:p>
        </w:tc>
        <w:tc>
          <w:tcPr>
            <w:tcW w:w="1134" w:type="dxa"/>
            <w:noWrap/>
            <w:vAlign w:val="center"/>
            <w:hideMark/>
          </w:tcPr>
          <w:p w14:paraId="01A34646" w14:textId="77777777" w:rsidR="00100696" w:rsidRPr="007647EB" w:rsidRDefault="00100696" w:rsidP="008123FC">
            <w:pPr>
              <w:spacing w:before="40" w:after="40"/>
              <w:jc w:val="right"/>
              <w:rPr>
                <w:b/>
                <w:bCs/>
                <w:sz w:val="18"/>
                <w:szCs w:val="18"/>
              </w:rPr>
            </w:pPr>
          </w:p>
        </w:tc>
        <w:tc>
          <w:tcPr>
            <w:tcW w:w="1276" w:type="dxa"/>
            <w:noWrap/>
            <w:vAlign w:val="center"/>
            <w:hideMark/>
          </w:tcPr>
          <w:p w14:paraId="6FCBA127" w14:textId="77777777" w:rsidR="00100696" w:rsidRPr="007647EB" w:rsidRDefault="00100696" w:rsidP="008123FC">
            <w:pPr>
              <w:spacing w:before="40" w:after="40"/>
              <w:jc w:val="right"/>
              <w:rPr>
                <w:b/>
                <w:bCs/>
                <w:sz w:val="18"/>
                <w:szCs w:val="18"/>
              </w:rPr>
            </w:pPr>
          </w:p>
        </w:tc>
        <w:tc>
          <w:tcPr>
            <w:tcW w:w="1134" w:type="dxa"/>
            <w:noWrap/>
            <w:vAlign w:val="center"/>
            <w:hideMark/>
          </w:tcPr>
          <w:p w14:paraId="71F23812" w14:textId="77777777" w:rsidR="00100696" w:rsidRPr="007647EB" w:rsidRDefault="00100696" w:rsidP="008123FC">
            <w:pPr>
              <w:spacing w:before="40" w:after="40"/>
              <w:jc w:val="right"/>
              <w:rPr>
                <w:b/>
                <w:bCs/>
                <w:sz w:val="18"/>
                <w:szCs w:val="18"/>
              </w:rPr>
            </w:pPr>
          </w:p>
        </w:tc>
        <w:tc>
          <w:tcPr>
            <w:tcW w:w="1134" w:type="dxa"/>
            <w:noWrap/>
            <w:vAlign w:val="center"/>
            <w:hideMark/>
          </w:tcPr>
          <w:p w14:paraId="745E0D49" w14:textId="77777777" w:rsidR="00100696" w:rsidRPr="007647EB" w:rsidRDefault="00100696" w:rsidP="008123FC">
            <w:pPr>
              <w:spacing w:before="40" w:after="40"/>
              <w:jc w:val="right"/>
              <w:rPr>
                <w:b/>
                <w:bCs/>
                <w:sz w:val="18"/>
                <w:szCs w:val="18"/>
              </w:rPr>
            </w:pPr>
          </w:p>
        </w:tc>
        <w:tc>
          <w:tcPr>
            <w:tcW w:w="1245" w:type="dxa"/>
            <w:noWrap/>
            <w:vAlign w:val="center"/>
            <w:hideMark/>
          </w:tcPr>
          <w:p w14:paraId="5730A85F" w14:textId="77777777" w:rsidR="00100696" w:rsidRPr="007647EB" w:rsidRDefault="00100696" w:rsidP="008123FC">
            <w:pPr>
              <w:spacing w:before="40" w:after="40"/>
              <w:jc w:val="right"/>
              <w:rPr>
                <w:b/>
                <w:bCs/>
                <w:sz w:val="18"/>
                <w:szCs w:val="18"/>
              </w:rPr>
            </w:pPr>
          </w:p>
        </w:tc>
      </w:tr>
      <w:tr w:rsidR="00100696" w:rsidRPr="007647EB" w14:paraId="4731E4B6" w14:textId="77777777" w:rsidTr="008123FC">
        <w:trPr>
          <w:trHeight w:val="52"/>
          <w:jc w:val="right"/>
        </w:trPr>
        <w:tc>
          <w:tcPr>
            <w:tcW w:w="284" w:type="dxa"/>
            <w:tcBorders>
              <w:top w:val="nil"/>
            </w:tcBorders>
            <w:noWrap/>
            <w:hideMark/>
          </w:tcPr>
          <w:p w14:paraId="356DD1F8"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511CDA74" w14:textId="77777777" w:rsidR="00100696" w:rsidRPr="007647EB" w:rsidRDefault="00100696" w:rsidP="008123FC">
            <w:pPr>
              <w:spacing w:before="40" w:after="40"/>
              <w:rPr>
                <w:sz w:val="18"/>
                <w:szCs w:val="18"/>
              </w:rPr>
            </w:pPr>
            <w:r w:rsidRPr="007647EB">
              <w:rPr>
                <w:color w:val="000000"/>
                <w:sz w:val="18"/>
                <w:szCs w:val="18"/>
              </w:rPr>
              <w:t>3.1. Réunion du Comité</w:t>
            </w:r>
          </w:p>
        </w:tc>
        <w:tc>
          <w:tcPr>
            <w:tcW w:w="1275" w:type="dxa"/>
            <w:tcBorders>
              <w:top w:val="nil"/>
            </w:tcBorders>
            <w:noWrap/>
            <w:vAlign w:val="center"/>
            <w:hideMark/>
          </w:tcPr>
          <w:p w14:paraId="5AF584C2" w14:textId="77777777" w:rsidR="00100696" w:rsidRPr="007647EB" w:rsidRDefault="00100696" w:rsidP="008123FC">
            <w:pPr>
              <w:spacing w:before="40" w:after="40"/>
              <w:jc w:val="right"/>
              <w:rPr>
                <w:sz w:val="18"/>
                <w:szCs w:val="18"/>
              </w:rPr>
            </w:pPr>
            <w:r w:rsidRPr="007647EB">
              <w:rPr>
                <w:color w:val="000000"/>
                <w:sz w:val="18"/>
                <w:szCs w:val="18"/>
              </w:rPr>
              <w:t>33 000</w:t>
            </w:r>
          </w:p>
        </w:tc>
        <w:tc>
          <w:tcPr>
            <w:tcW w:w="1134" w:type="dxa"/>
            <w:tcBorders>
              <w:top w:val="nil"/>
            </w:tcBorders>
            <w:noWrap/>
            <w:vAlign w:val="center"/>
            <w:hideMark/>
          </w:tcPr>
          <w:p w14:paraId="17F2E08B"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5B9CF4B5" w14:textId="77777777" w:rsidR="00100696" w:rsidRPr="007647EB" w:rsidRDefault="00100696" w:rsidP="008123FC">
            <w:pPr>
              <w:spacing w:before="40" w:after="40"/>
              <w:jc w:val="right"/>
              <w:rPr>
                <w:sz w:val="18"/>
                <w:szCs w:val="18"/>
              </w:rPr>
            </w:pPr>
            <w:r w:rsidRPr="007647EB">
              <w:rPr>
                <w:color w:val="000000"/>
                <w:sz w:val="18"/>
                <w:szCs w:val="18"/>
              </w:rPr>
              <w:t>33 000</w:t>
            </w:r>
          </w:p>
        </w:tc>
        <w:tc>
          <w:tcPr>
            <w:tcW w:w="1134" w:type="dxa"/>
            <w:tcBorders>
              <w:top w:val="nil"/>
            </w:tcBorders>
            <w:noWrap/>
            <w:vAlign w:val="center"/>
            <w:hideMark/>
          </w:tcPr>
          <w:p w14:paraId="2F64B725" w14:textId="77777777" w:rsidR="00100696" w:rsidRPr="007647EB" w:rsidRDefault="00100696" w:rsidP="008123FC">
            <w:pPr>
              <w:spacing w:before="40" w:after="40"/>
              <w:jc w:val="right"/>
              <w:rPr>
                <w:sz w:val="18"/>
                <w:szCs w:val="18"/>
              </w:rPr>
            </w:pPr>
            <w:r w:rsidRPr="007647EB">
              <w:rPr>
                <w:color w:val="000000"/>
                <w:sz w:val="18"/>
                <w:szCs w:val="18"/>
              </w:rPr>
              <w:t>12 000</w:t>
            </w:r>
          </w:p>
        </w:tc>
        <w:tc>
          <w:tcPr>
            <w:tcW w:w="1134" w:type="dxa"/>
            <w:tcBorders>
              <w:top w:val="nil"/>
            </w:tcBorders>
            <w:noWrap/>
            <w:vAlign w:val="center"/>
            <w:hideMark/>
          </w:tcPr>
          <w:p w14:paraId="45D2D5CA"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44608DEF" w14:textId="77777777" w:rsidR="00100696" w:rsidRPr="007647EB" w:rsidRDefault="00100696" w:rsidP="008123FC">
            <w:pPr>
              <w:spacing w:before="40" w:after="40"/>
              <w:jc w:val="right"/>
              <w:rPr>
                <w:sz w:val="18"/>
                <w:szCs w:val="18"/>
              </w:rPr>
            </w:pPr>
            <w:r w:rsidRPr="007647EB">
              <w:rPr>
                <w:color w:val="000000"/>
                <w:sz w:val="18"/>
                <w:szCs w:val="18"/>
              </w:rPr>
              <w:t>12 000</w:t>
            </w:r>
          </w:p>
        </w:tc>
      </w:tr>
      <w:tr w:rsidR="00100696" w:rsidRPr="007647EB" w14:paraId="60FD43B6" w14:textId="77777777" w:rsidTr="008123FC">
        <w:trPr>
          <w:trHeight w:val="52"/>
          <w:jc w:val="right"/>
        </w:trPr>
        <w:tc>
          <w:tcPr>
            <w:tcW w:w="7230" w:type="dxa"/>
            <w:gridSpan w:val="2"/>
            <w:tcBorders>
              <w:bottom w:val="single" w:sz="4" w:space="0" w:color="auto"/>
            </w:tcBorders>
            <w:shd w:val="clear" w:color="000000" w:fill="B4C6E7"/>
            <w:noWrap/>
            <w:vAlign w:val="center"/>
            <w:hideMark/>
          </w:tcPr>
          <w:p w14:paraId="6020009E" w14:textId="399D3B3D" w:rsidR="00100696" w:rsidRPr="007647EB" w:rsidRDefault="00100696" w:rsidP="008123FC">
            <w:pPr>
              <w:spacing w:before="40" w:after="40"/>
              <w:rPr>
                <w:b/>
                <w:bCs/>
                <w:sz w:val="18"/>
                <w:szCs w:val="18"/>
              </w:rPr>
            </w:pPr>
            <w:r w:rsidRPr="007647EB">
              <w:rPr>
                <w:b/>
                <w:bCs/>
                <w:color w:val="000000"/>
                <w:sz w:val="18"/>
                <w:szCs w:val="18"/>
              </w:rPr>
              <w:t>3.</w:t>
            </w:r>
            <w:r w:rsidRPr="007647EB">
              <w:rPr>
                <w:color w:val="000000"/>
                <w:sz w:val="18"/>
                <w:szCs w:val="18"/>
              </w:rPr>
              <w:t xml:space="preserve"> </w:t>
            </w:r>
            <w:r w:rsidRPr="007647EB">
              <w:rPr>
                <w:b/>
                <w:bCs/>
                <w:color w:val="000000"/>
                <w:sz w:val="18"/>
                <w:szCs w:val="18"/>
              </w:rPr>
              <w:t xml:space="preserve">Comité de mise en œuvre et du respect des </w:t>
            </w:r>
            <w:r w:rsidR="008949EE" w:rsidRPr="007647EB">
              <w:rPr>
                <w:b/>
                <w:bCs/>
                <w:color w:val="000000"/>
                <w:sz w:val="18"/>
                <w:szCs w:val="18"/>
              </w:rPr>
              <w:t>obligations</w:t>
            </w:r>
          </w:p>
        </w:tc>
        <w:tc>
          <w:tcPr>
            <w:tcW w:w="1275" w:type="dxa"/>
            <w:tcBorders>
              <w:bottom w:val="single" w:sz="4" w:space="0" w:color="auto"/>
            </w:tcBorders>
            <w:shd w:val="clear" w:color="000000" w:fill="B4C6E7"/>
            <w:noWrap/>
            <w:vAlign w:val="center"/>
            <w:hideMark/>
          </w:tcPr>
          <w:p w14:paraId="46C499D2" w14:textId="77777777" w:rsidR="00100696" w:rsidRPr="007647EB" w:rsidRDefault="00100696" w:rsidP="008123FC">
            <w:pPr>
              <w:spacing w:before="40" w:after="40"/>
              <w:jc w:val="right"/>
              <w:rPr>
                <w:b/>
                <w:bCs/>
                <w:sz w:val="18"/>
                <w:szCs w:val="18"/>
              </w:rPr>
            </w:pPr>
            <w:r w:rsidRPr="007647EB">
              <w:rPr>
                <w:b/>
                <w:bCs/>
                <w:color w:val="000000"/>
                <w:sz w:val="18"/>
                <w:szCs w:val="18"/>
              </w:rPr>
              <w:t>33 000</w:t>
            </w:r>
          </w:p>
        </w:tc>
        <w:tc>
          <w:tcPr>
            <w:tcW w:w="1134" w:type="dxa"/>
            <w:tcBorders>
              <w:bottom w:val="single" w:sz="4" w:space="0" w:color="auto"/>
            </w:tcBorders>
            <w:shd w:val="clear" w:color="000000" w:fill="B4C6E7"/>
            <w:noWrap/>
            <w:vAlign w:val="center"/>
            <w:hideMark/>
          </w:tcPr>
          <w:p w14:paraId="7F4DE0C1"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69B459A7" w14:textId="77777777" w:rsidR="00100696" w:rsidRPr="007647EB" w:rsidRDefault="00100696" w:rsidP="008123FC">
            <w:pPr>
              <w:spacing w:before="40" w:after="40"/>
              <w:jc w:val="right"/>
              <w:rPr>
                <w:b/>
                <w:bCs/>
                <w:sz w:val="18"/>
                <w:szCs w:val="18"/>
              </w:rPr>
            </w:pPr>
            <w:r w:rsidRPr="007647EB">
              <w:rPr>
                <w:b/>
                <w:bCs/>
                <w:color w:val="000000"/>
                <w:sz w:val="18"/>
                <w:szCs w:val="18"/>
              </w:rPr>
              <w:t>33 000</w:t>
            </w:r>
          </w:p>
        </w:tc>
        <w:tc>
          <w:tcPr>
            <w:tcW w:w="1134" w:type="dxa"/>
            <w:tcBorders>
              <w:bottom w:val="single" w:sz="4" w:space="0" w:color="auto"/>
            </w:tcBorders>
            <w:shd w:val="clear" w:color="000000" w:fill="B4C6E7"/>
            <w:noWrap/>
            <w:vAlign w:val="center"/>
            <w:hideMark/>
          </w:tcPr>
          <w:p w14:paraId="46E03A27"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c>
          <w:tcPr>
            <w:tcW w:w="1134" w:type="dxa"/>
            <w:tcBorders>
              <w:bottom w:val="single" w:sz="4" w:space="0" w:color="auto"/>
            </w:tcBorders>
            <w:shd w:val="clear" w:color="000000" w:fill="B4C6E7"/>
            <w:noWrap/>
            <w:vAlign w:val="center"/>
            <w:hideMark/>
          </w:tcPr>
          <w:p w14:paraId="2323C5E2" w14:textId="77777777" w:rsidR="00100696" w:rsidRPr="007647EB" w:rsidRDefault="00100696" w:rsidP="008123FC">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2E6B2F2B"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r>
      <w:tr w:rsidR="00100696" w:rsidRPr="007647EB" w14:paraId="632EA708"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6F1B74B5"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(A)</w:t>
            </w:r>
          </w:p>
        </w:tc>
        <w:tc>
          <w:tcPr>
            <w:tcW w:w="1275" w:type="dxa"/>
            <w:tcBorders>
              <w:top w:val="single" w:sz="4" w:space="0" w:color="auto"/>
              <w:bottom w:val="single" w:sz="4" w:space="0" w:color="auto"/>
            </w:tcBorders>
            <w:shd w:val="clear" w:color="000000" w:fill="DBB731"/>
            <w:noWrap/>
            <w:vAlign w:val="center"/>
            <w:hideMark/>
          </w:tcPr>
          <w:p w14:paraId="0B592A8F" w14:textId="77777777" w:rsidR="00100696" w:rsidRPr="007647EB" w:rsidRDefault="00100696" w:rsidP="008123FC">
            <w:pPr>
              <w:spacing w:before="40" w:after="40"/>
              <w:jc w:val="right"/>
              <w:rPr>
                <w:b/>
                <w:bCs/>
                <w:sz w:val="18"/>
                <w:szCs w:val="18"/>
              </w:rPr>
            </w:pPr>
            <w:r w:rsidRPr="007647EB">
              <w:rPr>
                <w:b/>
                <w:bCs/>
                <w:color w:val="000000"/>
                <w:sz w:val="18"/>
                <w:szCs w:val="18"/>
              </w:rPr>
              <w:t>59 000</w:t>
            </w:r>
          </w:p>
        </w:tc>
        <w:tc>
          <w:tcPr>
            <w:tcW w:w="1134" w:type="dxa"/>
            <w:tcBorders>
              <w:top w:val="single" w:sz="4" w:space="0" w:color="auto"/>
              <w:bottom w:val="single" w:sz="4" w:space="0" w:color="auto"/>
            </w:tcBorders>
            <w:shd w:val="clear" w:color="000000" w:fill="DBB731"/>
            <w:noWrap/>
            <w:vAlign w:val="center"/>
            <w:hideMark/>
          </w:tcPr>
          <w:p w14:paraId="76C26B84" w14:textId="77777777" w:rsidR="00100696" w:rsidRPr="007647EB" w:rsidRDefault="00100696" w:rsidP="008123FC">
            <w:pPr>
              <w:spacing w:before="40" w:after="40"/>
              <w:jc w:val="right"/>
              <w:rPr>
                <w:b/>
                <w:bCs/>
                <w:sz w:val="18"/>
                <w:szCs w:val="18"/>
              </w:rPr>
            </w:pPr>
            <w:r w:rsidRPr="007647EB">
              <w:rPr>
                <w:b/>
                <w:bCs/>
                <w:color w:val="000000"/>
                <w:sz w:val="18"/>
                <w:szCs w:val="18"/>
              </w:rPr>
              <w:t>1 045 000</w:t>
            </w:r>
          </w:p>
        </w:tc>
        <w:tc>
          <w:tcPr>
            <w:tcW w:w="1276" w:type="dxa"/>
            <w:tcBorders>
              <w:top w:val="single" w:sz="4" w:space="0" w:color="auto"/>
              <w:bottom w:val="single" w:sz="4" w:space="0" w:color="auto"/>
            </w:tcBorders>
            <w:shd w:val="clear" w:color="000000" w:fill="DBB731"/>
            <w:noWrap/>
            <w:vAlign w:val="center"/>
            <w:hideMark/>
          </w:tcPr>
          <w:p w14:paraId="1BA3904E" w14:textId="77777777" w:rsidR="00100696" w:rsidRPr="007647EB" w:rsidRDefault="00100696" w:rsidP="008123FC">
            <w:pPr>
              <w:spacing w:before="40" w:after="40"/>
              <w:jc w:val="right"/>
              <w:rPr>
                <w:b/>
                <w:bCs/>
                <w:sz w:val="18"/>
                <w:szCs w:val="18"/>
              </w:rPr>
            </w:pPr>
            <w:r w:rsidRPr="007647EB">
              <w:rPr>
                <w:b/>
                <w:bCs/>
                <w:color w:val="000000"/>
                <w:sz w:val="18"/>
                <w:szCs w:val="18"/>
              </w:rPr>
              <w:t>1 104 000</w:t>
            </w:r>
          </w:p>
        </w:tc>
        <w:tc>
          <w:tcPr>
            <w:tcW w:w="1134" w:type="dxa"/>
            <w:tcBorders>
              <w:top w:val="single" w:sz="4" w:space="0" w:color="auto"/>
              <w:bottom w:val="single" w:sz="4" w:space="0" w:color="auto"/>
            </w:tcBorders>
            <w:shd w:val="clear" w:color="000000" w:fill="DBB731"/>
            <w:noWrap/>
            <w:vAlign w:val="center"/>
            <w:hideMark/>
          </w:tcPr>
          <w:p w14:paraId="6CE3C2CB"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c>
          <w:tcPr>
            <w:tcW w:w="1134" w:type="dxa"/>
            <w:tcBorders>
              <w:top w:val="single" w:sz="4" w:space="0" w:color="auto"/>
              <w:bottom w:val="single" w:sz="4" w:space="0" w:color="auto"/>
            </w:tcBorders>
            <w:shd w:val="clear" w:color="000000" w:fill="DBB731"/>
            <w:noWrap/>
            <w:vAlign w:val="center"/>
            <w:hideMark/>
          </w:tcPr>
          <w:p w14:paraId="78B4EA5E" w14:textId="77777777" w:rsidR="00100696" w:rsidRPr="007647EB" w:rsidRDefault="00100696" w:rsidP="008123FC">
            <w:pPr>
              <w:spacing w:before="40" w:after="40"/>
              <w:jc w:val="right"/>
              <w:rPr>
                <w:b/>
                <w:bCs/>
                <w:sz w:val="18"/>
                <w:szCs w:val="18"/>
              </w:rPr>
            </w:pPr>
            <w:r w:rsidRPr="007647EB">
              <w:rPr>
                <w:b/>
                <w:bCs/>
                <w:color w:val="000000"/>
                <w:sz w:val="18"/>
                <w:szCs w:val="18"/>
              </w:rPr>
              <w:t>895 000</w:t>
            </w:r>
          </w:p>
        </w:tc>
        <w:tc>
          <w:tcPr>
            <w:tcW w:w="1245" w:type="dxa"/>
            <w:tcBorders>
              <w:top w:val="single" w:sz="4" w:space="0" w:color="auto"/>
              <w:bottom w:val="single" w:sz="4" w:space="0" w:color="auto"/>
            </w:tcBorders>
            <w:shd w:val="clear" w:color="000000" w:fill="DBB731"/>
            <w:noWrap/>
            <w:vAlign w:val="center"/>
            <w:hideMark/>
          </w:tcPr>
          <w:p w14:paraId="4F900578" w14:textId="77777777" w:rsidR="00100696" w:rsidRPr="007647EB" w:rsidRDefault="00100696" w:rsidP="008123FC">
            <w:pPr>
              <w:spacing w:before="40" w:after="40"/>
              <w:jc w:val="right"/>
              <w:rPr>
                <w:b/>
                <w:bCs/>
                <w:sz w:val="18"/>
                <w:szCs w:val="18"/>
              </w:rPr>
            </w:pPr>
            <w:r w:rsidRPr="007647EB">
              <w:rPr>
                <w:b/>
                <w:bCs/>
                <w:color w:val="000000"/>
                <w:sz w:val="18"/>
                <w:szCs w:val="18"/>
              </w:rPr>
              <w:t>907 000</w:t>
            </w:r>
          </w:p>
        </w:tc>
      </w:tr>
      <w:tr w:rsidR="00100696" w:rsidRPr="007647EB" w14:paraId="3D0654C7" w14:textId="77777777" w:rsidTr="008123FC">
        <w:trPr>
          <w:trHeight w:val="42"/>
          <w:jc w:val="right"/>
        </w:trPr>
        <w:tc>
          <w:tcPr>
            <w:tcW w:w="7230" w:type="dxa"/>
            <w:gridSpan w:val="2"/>
            <w:tcBorders>
              <w:top w:val="single" w:sz="4" w:space="0" w:color="auto"/>
            </w:tcBorders>
            <w:noWrap/>
            <w:vAlign w:val="center"/>
            <w:hideMark/>
          </w:tcPr>
          <w:p w14:paraId="0FCAC0F7" w14:textId="77777777" w:rsidR="00100696" w:rsidRPr="007647EB" w:rsidRDefault="00100696" w:rsidP="008123FC">
            <w:pPr>
              <w:spacing w:before="40" w:after="40"/>
              <w:rPr>
                <w:b/>
                <w:bCs/>
                <w:sz w:val="18"/>
                <w:szCs w:val="18"/>
              </w:rPr>
            </w:pPr>
            <w:r w:rsidRPr="007647EB">
              <w:rPr>
                <w:b/>
                <w:bCs/>
                <w:color w:val="000000"/>
                <w:sz w:val="18"/>
                <w:szCs w:val="18"/>
              </w:rPr>
              <w:t>B.</w:t>
            </w:r>
            <w:r w:rsidRPr="007647EB">
              <w:rPr>
                <w:color w:val="000000"/>
                <w:sz w:val="18"/>
                <w:szCs w:val="18"/>
              </w:rPr>
              <w:t xml:space="preserve"> </w:t>
            </w:r>
            <w:r w:rsidRPr="007647EB">
              <w:rPr>
                <w:b/>
                <w:bCs/>
                <w:color w:val="000000"/>
                <w:sz w:val="18"/>
                <w:szCs w:val="18"/>
              </w:rPr>
              <w:t>Renforcement des capacités et assistance technique</w:t>
            </w:r>
          </w:p>
        </w:tc>
        <w:tc>
          <w:tcPr>
            <w:tcW w:w="1275" w:type="dxa"/>
            <w:tcBorders>
              <w:top w:val="single" w:sz="4" w:space="0" w:color="auto"/>
            </w:tcBorders>
            <w:noWrap/>
            <w:vAlign w:val="center"/>
            <w:hideMark/>
          </w:tcPr>
          <w:p w14:paraId="70597C26"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3FCB564"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00C79346"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0369A506"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06EC7A53"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391D8865" w14:textId="77777777" w:rsidR="00100696" w:rsidRPr="007647EB" w:rsidRDefault="00100696" w:rsidP="008123FC">
            <w:pPr>
              <w:spacing w:before="40" w:after="40"/>
              <w:jc w:val="right"/>
              <w:rPr>
                <w:b/>
                <w:bCs/>
                <w:sz w:val="18"/>
                <w:szCs w:val="18"/>
              </w:rPr>
            </w:pPr>
          </w:p>
        </w:tc>
      </w:tr>
      <w:tr w:rsidR="00100696" w:rsidRPr="007647EB" w14:paraId="4FA2EE31" w14:textId="77777777" w:rsidTr="008123FC">
        <w:trPr>
          <w:trHeight w:val="52"/>
          <w:jc w:val="right"/>
        </w:trPr>
        <w:tc>
          <w:tcPr>
            <w:tcW w:w="7230" w:type="dxa"/>
            <w:gridSpan w:val="2"/>
            <w:vAlign w:val="center"/>
            <w:hideMark/>
          </w:tcPr>
          <w:p w14:paraId="36EF2A4A" w14:textId="55B4786D" w:rsidR="00100696" w:rsidRPr="007647EB" w:rsidRDefault="00100696" w:rsidP="008123FC">
            <w:pPr>
              <w:spacing w:before="40" w:after="40"/>
              <w:rPr>
                <w:b/>
                <w:bCs/>
                <w:sz w:val="18"/>
                <w:szCs w:val="18"/>
              </w:rPr>
            </w:pPr>
            <w:r w:rsidRPr="007647EB">
              <w:rPr>
                <w:b/>
                <w:bCs/>
                <w:color w:val="000000"/>
                <w:sz w:val="18"/>
                <w:szCs w:val="18"/>
              </w:rPr>
              <w:t>4.</w:t>
            </w:r>
            <w:r w:rsidRPr="007647EB">
              <w:rPr>
                <w:color w:val="000000"/>
                <w:sz w:val="18"/>
                <w:szCs w:val="18"/>
              </w:rPr>
              <w:t xml:space="preserve"> </w:t>
            </w:r>
            <w:r w:rsidRPr="007647EB">
              <w:rPr>
                <w:b/>
                <w:bCs/>
                <w:color w:val="000000"/>
                <w:sz w:val="18"/>
                <w:szCs w:val="18"/>
              </w:rPr>
              <w:t>Programme de renforcement des capacités et d</w:t>
            </w:r>
            <w:r w:rsidR="00D82E47" w:rsidRPr="007647EB">
              <w:rPr>
                <w:b/>
                <w:bCs/>
                <w:color w:val="000000"/>
                <w:sz w:val="18"/>
                <w:szCs w:val="18"/>
              </w:rPr>
              <w:t>’</w:t>
            </w:r>
            <w:r w:rsidRPr="007647EB">
              <w:rPr>
                <w:b/>
                <w:bCs/>
                <w:color w:val="000000"/>
                <w:sz w:val="18"/>
                <w:szCs w:val="18"/>
              </w:rPr>
              <w:t>assistance technique de la Convention de</w:t>
            </w:r>
            <w:r w:rsidR="00B66948" w:rsidRPr="007647EB">
              <w:rPr>
                <w:b/>
                <w:bCs/>
                <w:color w:val="000000"/>
                <w:sz w:val="18"/>
                <w:szCs w:val="18"/>
              </w:rPr>
              <w:t> </w:t>
            </w:r>
            <w:r w:rsidRPr="007647EB">
              <w:rPr>
                <w:b/>
                <w:bCs/>
                <w:color w:val="000000"/>
                <w:sz w:val="18"/>
                <w:szCs w:val="18"/>
              </w:rPr>
              <w:t>Minamata</w:t>
            </w:r>
          </w:p>
        </w:tc>
        <w:tc>
          <w:tcPr>
            <w:tcW w:w="1275" w:type="dxa"/>
            <w:noWrap/>
            <w:vAlign w:val="center"/>
            <w:hideMark/>
          </w:tcPr>
          <w:p w14:paraId="1036241D" w14:textId="77777777" w:rsidR="00100696" w:rsidRPr="007647EB" w:rsidRDefault="00100696" w:rsidP="008123FC">
            <w:pPr>
              <w:spacing w:before="40" w:after="40"/>
              <w:jc w:val="right"/>
              <w:rPr>
                <w:b/>
                <w:bCs/>
                <w:sz w:val="18"/>
                <w:szCs w:val="18"/>
              </w:rPr>
            </w:pPr>
          </w:p>
        </w:tc>
        <w:tc>
          <w:tcPr>
            <w:tcW w:w="1134" w:type="dxa"/>
            <w:noWrap/>
            <w:vAlign w:val="center"/>
            <w:hideMark/>
          </w:tcPr>
          <w:p w14:paraId="08142E1A" w14:textId="77777777" w:rsidR="00100696" w:rsidRPr="007647EB" w:rsidRDefault="00100696" w:rsidP="008123FC">
            <w:pPr>
              <w:spacing w:before="40" w:after="40"/>
              <w:jc w:val="right"/>
              <w:rPr>
                <w:b/>
                <w:bCs/>
                <w:sz w:val="18"/>
                <w:szCs w:val="18"/>
              </w:rPr>
            </w:pPr>
          </w:p>
        </w:tc>
        <w:tc>
          <w:tcPr>
            <w:tcW w:w="1276" w:type="dxa"/>
            <w:noWrap/>
            <w:vAlign w:val="center"/>
            <w:hideMark/>
          </w:tcPr>
          <w:p w14:paraId="09394C74" w14:textId="77777777" w:rsidR="00100696" w:rsidRPr="007647EB" w:rsidRDefault="00100696" w:rsidP="008123FC">
            <w:pPr>
              <w:spacing w:before="40" w:after="40"/>
              <w:jc w:val="right"/>
              <w:rPr>
                <w:b/>
                <w:bCs/>
                <w:sz w:val="18"/>
                <w:szCs w:val="18"/>
              </w:rPr>
            </w:pPr>
          </w:p>
        </w:tc>
        <w:tc>
          <w:tcPr>
            <w:tcW w:w="1134" w:type="dxa"/>
            <w:noWrap/>
            <w:vAlign w:val="center"/>
            <w:hideMark/>
          </w:tcPr>
          <w:p w14:paraId="7636A9AC" w14:textId="77777777" w:rsidR="00100696" w:rsidRPr="007647EB" w:rsidRDefault="00100696" w:rsidP="008123FC">
            <w:pPr>
              <w:spacing w:before="40" w:after="40"/>
              <w:jc w:val="right"/>
              <w:rPr>
                <w:b/>
                <w:bCs/>
                <w:sz w:val="18"/>
                <w:szCs w:val="18"/>
              </w:rPr>
            </w:pPr>
          </w:p>
        </w:tc>
        <w:tc>
          <w:tcPr>
            <w:tcW w:w="1134" w:type="dxa"/>
            <w:noWrap/>
            <w:vAlign w:val="center"/>
            <w:hideMark/>
          </w:tcPr>
          <w:p w14:paraId="2A1819C8" w14:textId="77777777" w:rsidR="00100696" w:rsidRPr="007647EB" w:rsidRDefault="00100696" w:rsidP="008123FC">
            <w:pPr>
              <w:spacing w:before="40" w:after="40"/>
              <w:jc w:val="right"/>
              <w:rPr>
                <w:b/>
                <w:bCs/>
                <w:sz w:val="18"/>
                <w:szCs w:val="18"/>
              </w:rPr>
            </w:pPr>
          </w:p>
        </w:tc>
        <w:tc>
          <w:tcPr>
            <w:tcW w:w="1245" w:type="dxa"/>
            <w:noWrap/>
            <w:vAlign w:val="center"/>
            <w:hideMark/>
          </w:tcPr>
          <w:p w14:paraId="79A1CF84" w14:textId="77777777" w:rsidR="00100696" w:rsidRPr="007647EB" w:rsidRDefault="00100696" w:rsidP="008123FC">
            <w:pPr>
              <w:spacing w:before="40" w:after="40"/>
              <w:jc w:val="right"/>
              <w:rPr>
                <w:b/>
                <w:bCs/>
                <w:sz w:val="18"/>
                <w:szCs w:val="18"/>
              </w:rPr>
            </w:pPr>
          </w:p>
        </w:tc>
      </w:tr>
      <w:tr w:rsidR="00100696" w:rsidRPr="007647EB" w14:paraId="5F07A4C2" w14:textId="77777777" w:rsidTr="008123FC">
        <w:trPr>
          <w:trHeight w:val="300"/>
          <w:jc w:val="right"/>
        </w:trPr>
        <w:tc>
          <w:tcPr>
            <w:tcW w:w="284" w:type="dxa"/>
            <w:noWrap/>
            <w:hideMark/>
          </w:tcPr>
          <w:p w14:paraId="3898B5BA"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558077F0" w14:textId="446CC693" w:rsidR="00100696" w:rsidRPr="007647EB" w:rsidRDefault="00100696" w:rsidP="008123FC">
            <w:pPr>
              <w:spacing w:before="40" w:after="40"/>
              <w:rPr>
                <w:sz w:val="18"/>
                <w:szCs w:val="18"/>
              </w:rPr>
            </w:pPr>
            <w:r w:rsidRPr="007647EB">
              <w:rPr>
                <w:color w:val="000000"/>
                <w:sz w:val="18"/>
                <w:szCs w:val="18"/>
              </w:rPr>
              <w:t>4.1. Outils, méthodes et modalités d</w:t>
            </w:r>
            <w:r w:rsidR="00D82E47" w:rsidRPr="007647EB">
              <w:rPr>
                <w:color w:val="000000"/>
                <w:sz w:val="18"/>
                <w:szCs w:val="18"/>
              </w:rPr>
              <w:t>’</w:t>
            </w:r>
            <w:r w:rsidRPr="007647EB">
              <w:rPr>
                <w:color w:val="000000"/>
                <w:sz w:val="18"/>
                <w:szCs w:val="18"/>
              </w:rPr>
              <w:t xml:space="preserve">exécution </w:t>
            </w:r>
          </w:p>
        </w:tc>
        <w:tc>
          <w:tcPr>
            <w:tcW w:w="1275" w:type="dxa"/>
            <w:noWrap/>
            <w:vAlign w:val="center"/>
            <w:hideMark/>
          </w:tcPr>
          <w:p w14:paraId="3C860416" w14:textId="77777777" w:rsidR="00100696" w:rsidRPr="007647EB" w:rsidRDefault="00100696" w:rsidP="008123FC">
            <w:pPr>
              <w:spacing w:before="40" w:after="40"/>
              <w:jc w:val="right"/>
              <w:rPr>
                <w:sz w:val="18"/>
                <w:szCs w:val="18"/>
              </w:rPr>
            </w:pPr>
          </w:p>
        </w:tc>
        <w:tc>
          <w:tcPr>
            <w:tcW w:w="1134" w:type="dxa"/>
            <w:noWrap/>
            <w:vAlign w:val="center"/>
            <w:hideMark/>
          </w:tcPr>
          <w:p w14:paraId="7C5787EC" w14:textId="77777777" w:rsidR="00100696" w:rsidRPr="007647EB" w:rsidRDefault="00100696" w:rsidP="008123FC">
            <w:pPr>
              <w:spacing w:before="40" w:after="40"/>
              <w:jc w:val="right"/>
              <w:rPr>
                <w:sz w:val="18"/>
                <w:szCs w:val="18"/>
              </w:rPr>
            </w:pPr>
          </w:p>
        </w:tc>
        <w:tc>
          <w:tcPr>
            <w:tcW w:w="1276" w:type="dxa"/>
            <w:noWrap/>
            <w:vAlign w:val="center"/>
            <w:hideMark/>
          </w:tcPr>
          <w:p w14:paraId="450650F6" w14:textId="77777777" w:rsidR="00100696" w:rsidRPr="007647EB" w:rsidRDefault="00100696" w:rsidP="008123FC">
            <w:pPr>
              <w:spacing w:before="40" w:after="40"/>
              <w:jc w:val="right"/>
              <w:rPr>
                <w:sz w:val="18"/>
                <w:szCs w:val="18"/>
              </w:rPr>
            </w:pPr>
          </w:p>
        </w:tc>
        <w:tc>
          <w:tcPr>
            <w:tcW w:w="1134" w:type="dxa"/>
            <w:noWrap/>
            <w:vAlign w:val="center"/>
            <w:hideMark/>
          </w:tcPr>
          <w:p w14:paraId="1E5CBA52" w14:textId="77777777" w:rsidR="00100696" w:rsidRPr="007647EB" w:rsidRDefault="00100696" w:rsidP="008123FC">
            <w:pPr>
              <w:spacing w:before="40" w:after="40"/>
              <w:jc w:val="right"/>
              <w:rPr>
                <w:sz w:val="18"/>
                <w:szCs w:val="18"/>
              </w:rPr>
            </w:pPr>
            <w:r w:rsidRPr="007647EB">
              <w:rPr>
                <w:color w:val="000000"/>
                <w:sz w:val="18"/>
                <w:szCs w:val="18"/>
              </w:rPr>
              <w:t>160 000</w:t>
            </w:r>
          </w:p>
        </w:tc>
        <w:tc>
          <w:tcPr>
            <w:tcW w:w="1134" w:type="dxa"/>
            <w:noWrap/>
            <w:vAlign w:val="center"/>
            <w:hideMark/>
          </w:tcPr>
          <w:p w14:paraId="6664A42B" w14:textId="77777777" w:rsidR="00100696" w:rsidRPr="007647EB" w:rsidRDefault="00100696" w:rsidP="008123FC">
            <w:pPr>
              <w:spacing w:before="40" w:after="40"/>
              <w:jc w:val="right"/>
              <w:rPr>
                <w:sz w:val="18"/>
                <w:szCs w:val="18"/>
              </w:rPr>
            </w:pPr>
            <w:r w:rsidRPr="007647EB">
              <w:rPr>
                <w:color w:val="000000"/>
                <w:sz w:val="18"/>
                <w:szCs w:val="18"/>
              </w:rPr>
              <w:t>160 000</w:t>
            </w:r>
          </w:p>
        </w:tc>
        <w:tc>
          <w:tcPr>
            <w:tcW w:w="1245" w:type="dxa"/>
            <w:noWrap/>
            <w:vAlign w:val="center"/>
            <w:hideMark/>
          </w:tcPr>
          <w:p w14:paraId="3DFAF14B" w14:textId="77777777" w:rsidR="00100696" w:rsidRPr="007647EB" w:rsidRDefault="00100696" w:rsidP="008123FC">
            <w:pPr>
              <w:spacing w:before="40" w:after="40"/>
              <w:jc w:val="right"/>
              <w:rPr>
                <w:sz w:val="18"/>
                <w:szCs w:val="18"/>
              </w:rPr>
            </w:pPr>
            <w:r w:rsidRPr="007647EB">
              <w:rPr>
                <w:color w:val="000000"/>
                <w:sz w:val="18"/>
                <w:szCs w:val="18"/>
              </w:rPr>
              <w:t>320 000</w:t>
            </w:r>
          </w:p>
        </w:tc>
      </w:tr>
      <w:tr w:rsidR="00100696" w:rsidRPr="007647EB" w14:paraId="6472B3B2" w14:textId="77777777" w:rsidTr="008123FC">
        <w:trPr>
          <w:trHeight w:val="300"/>
          <w:jc w:val="right"/>
        </w:trPr>
        <w:tc>
          <w:tcPr>
            <w:tcW w:w="284" w:type="dxa"/>
            <w:noWrap/>
            <w:hideMark/>
          </w:tcPr>
          <w:p w14:paraId="43489080"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51DC592A" w14:textId="77777777" w:rsidR="00100696" w:rsidRPr="007647EB" w:rsidRDefault="00100696" w:rsidP="008123FC">
            <w:pPr>
              <w:spacing w:before="40" w:after="40"/>
              <w:rPr>
                <w:sz w:val="18"/>
                <w:szCs w:val="18"/>
              </w:rPr>
            </w:pPr>
            <w:r w:rsidRPr="007647EB">
              <w:rPr>
                <w:color w:val="000000"/>
                <w:sz w:val="18"/>
                <w:szCs w:val="18"/>
              </w:rPr>
              <w:t xml:space="preserve">4.2. Activités spécifiques de développement des capacités   </w:t>
            </w:r>
          </w:p>
        </w:tc>
        <w:tc>
          <w:tcPr>
            <w:tcW w:w="1275" w:type="dxa"/>
            <w:noWrap/>
            <w:vAlign w:val="center"/>
            <w:hideMark/>
          </w:tcPr>
          <w:p w14:paraId="0D5571DC" w14:textId="77777777" w:rsidR="00100696" w:rsidRPr="007647EB" w:rsidRDefault="00100696" w:rsidP="008123FC">
            <w:pPr>
              <w:spacing w:before="40" w:after="40"/>
              <w:jc w:val="right"/>
              <w:rPr>
                <w:sz w:val="18"/>
                <w:szCs w:val="18"/>
              </w:rPr>
            </w:pPr>
          </w:p>
        </w:tc>
        <w:tc>
          <w:tcPr>
            <w:tcW w:w="1134" w:type="dxa"/>
            <w:noWrap/>
            <w:vAlign w:val="center"/>
            <w:hideMark/>
          </w:tcPr>
          <w:p w14:paraId="21FDB0FB" w14:textId="77777777" w:rsidR="00100696" w:rsidRPr="007647EB" w:rsidRDefault="00100696" w:rsidP="008123FC">
            <w:pPr>
              <w:spacing w:before="40" w:after="40"/>
              <w:jc w:val="right"/>
              <w:rPr>
                <w:sz w:val="18"/>
                <w:szCs w:val="18"/>
              </w:rPr>
            </w:pPr>
          </w:p>
        </w:tc>
        <w:tc>
          <w:tcPr>
            <w:tcW w:w="1276" w:type="dxa"/>
            <w:noWrap/>
            <w:vAlign w:val="center"/>
            <w:hideMark/>
          </w:tcPr>
          <w:p w14:paraId="1C7B5F88" w14:textId="77777777" w:rsidR="00100696" w:rsidRPr="007647EB" w:rsidRDefault="00100696" w:rsidP="008123FC">
            <w:pPr>
              <w:spacing w:before="40" w:after="40"/>
              <w:jc w:val="right"/>
              <w:rPr>
                <w:sz w:val="18"/>
                <w:szCs w:val="18"/>
              </w:rPr>
            </w:pPr>
          </w:p>
        </w:tc>
        <w:tc>
          <w:tcPr>
            <w:tcW w:w="1134" w:type="dxa"/>
            <w:noWrap/>
            <w:vAlign w:val="center"/>
            <w:hideMark/>
          </w:tcPr>
          <w:p w14:paraId="440CAFC9" w14:textId="77777777" w:rsidR="00100696" w:rsidRPr="007647EB" w:rsidRDefault="00100696" w:rsidP="008123FC">
            <w:pPr>
              <w:spacing w:before="40" w:after="40"/>
              <w:jc w:val="right"/>
              <w:rPr>
                <w:sz w:val="18"/>
                <w:szCs w:val="18"/>
              </w:rPr>
            </w:pPr>
            <w:r w:rsidRPr="007647EB">
              <w:rPr>
                <w:color w:val="000000"/>
                <w:sz w:val="18"/>
                <w:szCs w:val="18"/>
              </w:rPr>
              <w:t>270 000</w:t>
            </w:r>
          </w:p>
        </w:tc>
        <w:tc>
          <w:tcPr>
            <w:tcW w:w="1134" w:type="dxa"/>
            <w:noWrap/>
            <w:vAlign w:val="center"/>
            <w:hideMark/>
          </w:tcPr>
          <w:p w14:paraId="35C08185" w14:textId="77777777" w:rsidR="00100696" w:rsidRPr="007647EB" w:rsidRDefault="00100696" w:rsidP="008123FC">
            <w:pPr>
              <w:spacing w:before="40" w:after="40"/>
              <w:jc w:val="right"/>
              <w:rPr>
                <w:sz w:val="18"/>
                <w:szCs w:val="18"/>
              </w:rPr>
            </w:pPr>
            <w:r w:rsidRPr="007647EB">
              <w:rPr>
                <w:color w:val="000000"/>
                <w:sz w:val="18"/>
                <w:szCs w:val="18"/>
              </w:rPr>
              <w:t>260 000</w:t>
            </w:r>
          </w:p>
        </w:tc>
        <w:tc>
          <w:tcPr>
            <w:tcW w:w="1245" w:type="dxa"/>
            <w:noWrap/>
            <w:vAlign w:val="center"/>
            <w:hideMark/>
          </w:tcPr>
          <w:p w14:paraId="35359A71" w14:textId="77777777" w:rsidR="00100696" w:rsidRPr="007647EB" w:rsidRDefault="00100696" w:rsidP="008123FC">
            <w:pPr>
              <w:spacing w:before="40" w:after="40"/>
              <w:jc w:val="right"/>
              <w:rPr>
                <w:sz w:val="18"/>
                <w:szCs w:val="18"/>
              </w:rPr>
            </w:pPr>
            <w:r w:rsidRPr="007647EB">
              <w:rPr>
                <w:color w:val="000000"/>
                <w:sz w:val="18"/>
                <w:szCs w:val="18"/>
              </w:rPr>
              <w:t>530 000</w:t>
            </w:r>
          </w:p>
        </w:tc>
      </w:tr>
      <w:tr w:rsidR="00100696" w:rsidRPr="007647EB" w14:paraId="67676FEF" w14:textId="77777777" w:rsidTr="008123FC">
        <w:trPr>
          <w:trHeight w:val="300"/>
          <w:jc w:val="right"/>
        </w:trPr>
        <w:tc>
          <w:tcPr>
            <w:tcW w:w="284" w:type="dxa"/>
            <w:noWrap/>
            <w:hideMark/>
          </w:tcPr>
          <w:p w14:paraId="1F649AEB"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7197E862" w14:textId="77777777" w:rsidR="00100696" w:rsidRPr="007647EB" w:rsidRDefault="00100696" w:rsidP="008123FC">
            <w:pPr>
              <w:spacing w:before="40" w:after="40"/>
              <w:rPr>
                <w:sz w:val="18"/>
                <w:szCs w:val="18"/>
              </w:rPr>
            </w:pPr>
            <w:r w:rsidRPr="007647EB">
              <w:rPr>
                <w:color w:val="000000"/>
                <w:sz w:val="18"/>
                <w:szCs w:val="18"/>
              </w:rPr>
              <w:t xml:space="preserve">4.3. Activités de renforcement des capacités sur demande  </w:t>
            </w:r>
          </w:p>
        </w:tc>
        <w:tc>
          <w:tcPr>
            <w:tcW w:w="1275" w:type="dxa"/>
            <w:noWrap/>
            <w:vAlign w:val="center"/>
            <w:hideMark/>
          </w:tcPr>
          <w:p w14:paraId="6BBAEE96" w14:textId="77777777" w:rsidR="00100696" w:rsidRPr="007647EB" w:rsidRDefault="00100696" w:rsidP="008123FC">
            <w:pPr>
              <w:spacing w:before="40" w:after="40"/>
              <w:jc w:val="right"/>
              <w:rPr>
                <w:sz w:val="18"/>
                <w:szCs w:val="18"/>
              </w:rPr>
            </w:pPr>
          </w:p>
        </w:tc>
        <w:tc>
          <w:tcPr>
            <w:tcW w:w="1134" w:type="dxa"/>
            <w:noWrap/>
            <w:vAlign w:val="center"/>
            <w:hideMark/>
          </w:tcPr>
          <w:p w14:paraId="7D5FDB69" w14:textId="77777777" w:rsidR="00100696" w:rsidRPr="007647EB" w:rsidRDefault="00100696" w:rsidP="008123FC">
            <w:pPr>
              <w:spacing w:before="40" w:after="40"/>
              <w:jc w:val="right"/>
              <w:rPr>
                <w:sz w:val="18"/>
                <w:szCs w:val="18"/>
              </w:rPr>
            </w:pPr>
          </w:p>
        </w:tc>
        <w:tc>
          <w:tcPr>
            <w:tcW w:w="1276" w:type="dxa"/>
            <w:noWrap/>
            <w:vAlign w:val="center"/>
            <w:hideMark/>
          </w:tcPr>
          <w:p w14:paraId="61715323" w14:textId="77777777" w:rsidR="00100696" w:rsidRPr="007647EB" w:rsidRDefault="00100696" w:rsidP="008123FC">
            <w:pPr>
              <w:spacing w:before="40" w:after="40"/>
              <w:jc w:val="right"/>
              <w:rPr>
                <w:sz w:val="18"/>
                <w:szCs w:val="18"/>
              </w:rPr>
            </w:pPr>
          </w:p>
        </w:tc>
        <w:tc>
          <w:tcPr>
            <w:tcW w:w="1134" w:type="dxa"/>
            <w:noWrap/>
            <w:vAlign w:val="center"/>
            <w:hideMark/>
          </w:tcPr>
          <w:p w14:paraId="538F59A1" w14:textId="77777777" w:rsidR="00100696" w:rsidRPr="007647EB" w:rsidRDefault="00100696" w:rsidP="008123FC">
            <w:pPr>
              <w:spacing w:before="40" w:after="40"/>
              <w:jc w:val="right"/>
              <w:rPr>
                <w:sz w:val="18"/>
                <w:szCs w:val="18"/>
              </w:rPr>
            </w:pPr>
            <w:r w:rsidRPr="007647EB">
              <w:rPr>
                <w:color w:val="000000"/>
                <w:sz w:val="18"/>
                <w:szCs w:val="18"/>
              </w:rPr>
              <w:t>160 000</w:t>
            </w:r>
          </w:p>
        </w:tc>
        <w:tc>
          <w:tcPr>
            <w:tcW w:w="1134" w:type="dxa"/>
            <w:noWrap/>
            <w:vAlign w:val="center"/>
            <w:hideMark/>
          </w:tcPr>
          <w:p w14:paraId="3D6E4F41" w14:textId="77777777" w:rsidR="00100696" w:rsidRPr="007647EB" w:rsidRDefault="00100696" w:rsidP="008123FC">
            <w:pPr>
              <w:spacing w:before="40" w:after="40"/>
              <w:jc w:val="right"/>
              <w:rPr>
                <w:sz w:val="18"/>
                <w:szCs w:val="18"/>
              </w:rPr>
            </w:pPr>
            <w:r w:rsidRPr="007647EB">
              <w:rPr>
                <w:color w:val="000000"/>
                <w:sz w:val="18"/>
                <w:szCs w:val="18"/>
              </w:rPr>
              <w:t>130 000</w:t>
            </w:r>
          </w:p>
        </w:tc>
        <w:tc>
          <w:tcPr>
            <w:tcW w:w="1245" w:type="dxa"/>
            <w:noWrap/>
            <w:vAlign w:val="center"/>
            <w:hideMark/>
          </w:tcPr>
          <w:p w14:paraId="4BE33B51" w14:textId="77777777" w:rsidR="00100696" w:rsidRPr="007647EB" w:rsidRDefault="00100696" w:rsidP="008123FC">
            <w:pPr>
              <w:spacing w:before="40" w:after="40"/>
              <w:jc w:val="right"/>
              <w:rPr>
                <w:sz w:val="18"/>
                <w:szCs w:val="18"/>
              </w:rPr>
            </w:pPr>
            <w:r w:rsidRPr="007647EB">
              <w:rPr>
                <w:color w:val="000000"/>
                <w:sz w:val="18"/>
                <w:szCs w:val="18"/>
              </w:rPr>
              <w:t>290 000</w:t>
            </w:r>
          </w:p>
        </w:tc>
      </w:tr>
      <w:tr w:rsidR="00100696" w:rsidRPr="007647EB" w14:paraId="72310560" w14:textId="77777777" w:rsidTr="008123FC">
        <w:trPr>
          <w:trHeight w:val="52"/>
          <w:jc w:val="right"/>
        </w:trPr>
        <w:tc>
          <w:tcPr>
            <w:tcW w:w="284" w:type="dxa"/>
            <w:noWrap/>
            <w:hideMark/>
          </w:tcPr>
          <w:p w14:paraId="063E180B"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172D06E9" w14:textId="77777777" w:rsidR="00100696" w:rsidRPr="007647EB" w:rsidRDefault="00100696" w:rsidP="008123FC">
            <w:pPr>
              <w:spacing w:before="40" w:after="40"/>
              <w:rPr>
                <w:sz w:val="18"/>
                <w:szCs w:val="18"/>
              </w:rPr>
            </w:pPr>
            <w:r w:rsidRPr="007647EB">
              <w:rPr>
                <w:color w:val="000000"/>
                <w:sz w:val="18"/>
                <w:szCs w:val="18"/>
              </w:rPr>
              <w:t xml:space="preserve">4.4. Activités transversales </w:t>
            </w:r>
          </w:p>
        </w:tc>
        <w:tc>
          <w:tcPr>
            <w:tcW w:w="1275" w:type="dxa"/>
            <w:noWrap/>
            <w:vAlign w:val="center"/>
            <w:hideMark/>
          </w:tcPr>
          <w:p w14:paraId="356ED2DD" w14:textId="77777777" w:rsidR="00100696" w:rsidRPr="007647EB" w:rsidRDefault="00100696" w:rsidP="008123FC">
            <w:pPr>
              <w:spacing w:before="40" w:after="40"/>
              <w:jc w:val="right"/>
              <w:rPr>
                <w:sz w:val="18"/>
                <w:szCs w:val="18"/>
              </w:rPr>
            </w:pPr>
          </w:p>
        </w:tc>
        <w:tc>
          <w:tcPr>
            <w:tcW w:w="1134" w:type="dxa"/>
            <w:noWrap/>
            <w:vAlign w:val="center"/>
            <w:hideMark/>
          </w:tcPr>
          <w:p w14:paraId="779C474B" w14:textId="77777777" w:rsidR="00100696" w:rsidRPr="007647EB" w:rsidRDefault="00100696" w:rsidP="008123FC">
            <w:pPr>
              <w:spacing w:before="40" w:after="40"/>
              <w:jc w:val="right"/>
              <w:rPr>
                <w:sz w:val="18"/>
                <w:szCs w:val="18"/>
              </w:rPr>
            </w:pPr>
          </w:p>
        </w:tc>
        <w:tc>
          <w:tcPr>
            <w:tcW w:w="1276" w:type="dxa"/>
            <w:noWrap/>
            <w:vAlign w:val="center"/>
            <w:hideMark/>
          </w:tcPr>
          <w:p w14:paraId="4167EE60" w14:textId="77777777" w:rsidR="00100696" w:rsidRPr="007647EB" w:rsidRDefault="00100696" w:rsidP="008123FC">
            <w:pPr>
              <w:spacing w:before="40" w:after="40"/>
              <w:jc w:val="right"/>
              <w:rPr>
                <w:sz w:val="18"/>
                <w:szCs w:val="18"/>
              </w:rPr>
            </w:pPr>
          </w:p>
        </w:tc>
        <w:tc>
          <w:tcPr>
            <w:tcW w:w="1134" w:type="dxa"/>
            <w:noWrap/>
            <w:vAlign w:val="center"/>
            <w:hideMark/>
          </w:tcPr>
          <w:p w14:paraId="4B30A287" w14:textId="77777777" w:rsidR="00100696" w:rsidRPr="007647EB" w:rsidRDefault="00100696" w:rsidP="008123FC">
            <w:pPr>
              <w:spacing w:before="40" w:after="40"/>
              <w:jc w:val="right"/>
              <w:rPr>
                <w:sz w:val="18"/>
                <w:szCs w:val="18"/>
              </w:rPr>
            </w:pPr>
            <w:r w:rsidRPr="007647EB">
              <w:rPr>
                <w:color w:val="000000"/>
                <w:sz w:val="18"/>
                <w:szCs w:val="18"/>
              </w:rPr>
              <w:t>180 000</w:t>
            </w:r>
          </w:p>
        </w:tc>
        <w:tc>
          <w:tcPr>
            <w:tcW w:w="1134" w:type="dxa"/>
            <w:noWrap/>
            <w:vAlign w:val="center"/>
            <w:hideMark/>
          </w:tcPr>
          <w:p w14:paraId="23D80417" w14:textId="77777777" w:rsidR="00100696" w:rsidRPr="007647EB" w:rsidRDefault="00100696" w:rsidP="008123FC">
            <w:pPr>
              <w:spacing w:before="40" w:after="40"/>
              <w:jc w:val="right"/>
              <w:rPr>
                <w:sz w:val="18"/>
                <w:szCs w:val="18"/>
              </w:rPr>
            </w:pPr>
            <w:r w:rsidRPr="007647EB">
              <w:rPr>
                <w:color w:val="000000"/>
                <w:sz w:val="18"/>
                <w:szCs w:val="18"/>
              </w:rPr>
              <w:t>200 000</w:t>
            </w:r>
          </w:p>
        </w:tc>
        <w:tc>
          <w:tcPr>
            <w:tcW w:w="1245" w:type="dxa"/>
            <w:noWrap/>
            <w:vAlign w:val="center"/>
            <w:hideMark/>
          </w:tcPr>
          <w:p w14:paraId="3121A12D" w14:textId="77777777" w:rsidR="00100696" w:rsidRPr="007647EB" w:rsidRDefault="00100696" w:rsidP="008123FC">
            <w:pPr>
              <w:spacing w:before="40" w:after="40"/>
              <w:jc w:val="right"/>
              <w:rPr>
                <w:sz w:val="18"/>
                <w:szCs w:val="18"/>
              </w:rPr>
            </w:pPr>
            <w:r w:rsidRPr="007647EB">
              <w:rPr>
                <w:color w:val="000000"/>
                <w:sz w:val="18"/>
                <w:szCs w:val="18"/>
              </w:rPr>
              <w:t>380 000</w:t>
            </w:r>
          </w:p>
        </w:tc>
      </w:tr>
      <w:tr w:rsidR="00100696" w:rsidRPr="007647EB" w14:paraId="3CFCF06D" w14:textId="77777777" w:rsidTr="008123FC">
        <w:trPr>
          <w:trHeight w:val="315"/>
          <w:jc w:val="right"/>
        </w:trPr>
        <w:tc>
          <w:tcPr>
            <w:tcW w:w="7230" w:type="dxa"/>
            <w:gridSpan w:val="2"/>
            <w:tcBorders>
              <w:bottom w:val="single" w:sz="4" w:space="0" w:color="auto"/>
            </w:tcBorders>
            <w:shd w:val="clear" w:color="000000" w:fill="B4C6E7"/>
            <w:noWrap/>
            <w:vAlign w:val="center"/>
            <w:hideMark/>
          </w:tcPr>
          <w:p w14:paraId="5DA81F65" w14:textId="749CC651" w:rsidR="00100696" w:rsidRPr="007647EB" w:rsidRDefault="00100696" w:rsidP="008123FC">
            <w:pPr>
              <w:spacing w:before="40" w:after="40"/>
              <w:rPr>
                <w:b/>
                <w:bCs/>
                <w:sz w:val="18"/>
                <w:szCs w:val="18"/>
              </w:rPr>
            </w:pPr>
            <w:r w:rsidRPr="007647EB">
              <w:rPr>
                <w:b/>
                <w:bCs/>
                <w:color w:val="000000"/>
                <w:sz w:val="18"/>
                <w:szCs w:val="18"/>
              </w:rPr>
              <w:t>4.</w:t>
            </w:r>
            <w:r w:rsidRPr="007647EB">
              <w:rPr>
                <w:color w:val="000000"/>
                <w:sz w:val="18"/>
                <w:szCs w:val="18"/>
              </w:rPr>
              <w:t xml:space="preserve"> </w:t>
            </w:r>
            <w:r w:rsidRPr="007647EB">
              <w:rPr>
                <w:b/>
                <w:bCs/>
                <w:color w:val="000000"/>
                <w:sz w:val="18"/>
                <w:szCs w:val="18"/>
              </w:rPr>
              <w:t>Programme de renforcement des capacités et d</w:t>
            </w:r>
            <w:r w:rsidR="00D82E47" w:rsidRPr="007647EB">
              <w:rPr>
                <w:b/>
                <w:bCs/>
                <w:color w:val="000000"/>
                <w:sz w:val="18"/>
                <w:szCs w:val="18"/>
              </w:rPr>
              <w:t>’</w:t>
            </w:r>
            <w:r w:rsidRPr="007647EB">
              <w:rPr>
                <w:b/>
                <w:bCs/>
                <w:color w:val="000000"/>
                <w:sz w:val="18"/>
                <w:szCs w:val="18"/>
              </w:rPr>
              <w:t>assistance technique de la</w:t>
            </w:r>
            <w:r w:rsidR="00684EB6" w:rsidRPr="007647EB">
              <w:rPr>
                <w:b/>
                <w:bCs/>
                <w:color w:val="000000"/>
                <w:sz w:val="18"/>
                <w:szCs w:val="18"/>
              </w:rPr>
              <w:t> </w:t>
            </w:r>
            <w:r w:rsidRPr="007647EB">
              <w:rPr>
                <w:b/>
                <w:bCs/>
                <w:color w:val="000000"/>
                <w:sz w:val="18"/>
                <w:szCs w:val="18"/>
              </w:rPr>
              <w:t>Convention de</w:t>
            </w:r>
            <w:r w:rsidR="00A2002B" w:rsidRPr="007647EB">
              <w:rPr>
                <w:b/>
                <w:bCs/>
                <w:color w:val="000000"/>
                <w:sz w:val="18"/>
                <w:szCs w:val="18"/>
              </w:rPr>
              <w:t> </w:t>
            </w:r>
            <w:r w:rsidRPr="007647EB">
              <w:rPr>
                <w:b/>
                <w:bCs/>
                <w:color w:val="000000"/>
                <w:sz w:val="18"/>
                <w:szCs w:val="18"/>
              </w:rPr>
              <w:t>Minamata</w:t>
            </w:r>
          </w:p>
        </w:tc>
        <w:tc>
          <w:tcPr>
            <w:tcW w:w="1275" w:type="dxa"/>
            <w:tcBorders>
              <w:bottom w:val="single" w:sz="4" w:space="0" w:color="auto"/>
            </w:tcBorders>
            <w:shd w:val="clear" w:color="000000" w:fill="B4C6E7"/>
            <w:noWrap/>
            <w:vAlign w:val="center"/>
            <w:hideMark/>
          </w:tcPr>
          <w:p w14:paraId="15C958B6"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685CEA9F"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4FA1D1EB"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0DFEFD64" w14:textId="77777777" w:rsidR="00100696" w:rsidRPr="007647EB" w:rsidRDefault="00100696" w:rsidP="008123FC">
            <w:pPr>
              <w:spacing w:before="40" w:after="40"/>
              <w:jc w:val="right"/>
              <w:rPr>
                <w:b/>
                <w:bCs/>
                <w:sz w:val="18"/>
                <w:szCs w:val="18"/>
              </w:rPr>
            </w:pPr>
            <w:r w:rsidRPr="007647EB">
              <w:rPr>
                <w:b/>
                <w:bCs/>
                <w:color w:val="000000"/>
                <w:sz w:val="18"/>
                <w:szCs w:val="18"/>
              </w:rPr>
              <w:t>770 000</w:t>
            </w:r>
          </w:p>
        </w:tc>
        <w:tc>
          <w:tcPr>
            <w:tcW w:w="1134" w:type="dxa"/>
            <w:tcBorders>
              <w:bottom w:val="single" w:sz="4" w:space="0" w:color="auto"/>
            </w:tcBorders>
            <w:shd w:val="clear" w:color="000000" w:fill="B4C6E7"/>
            <w:noWrap/>
            <w:vAlign w:val="center"/>
            <w:hideMark/>
          </w:tcPr>
          <w:p w14:paraId="0A4B90B7" w14:textId="77777777" w:rsidR="00100696" w:rsidRPr="007647EB" w:rsidRDefault="00100696" w:rsidP="008123FC">
            <w:pPr>
              <w:spacing w:before="40" w:after="40"/>
              <w:jc w:val="right"/>
              <w:rPr>
                <w:b/>
                <w:bCs/>
                <w:sz w:val="18"/>
                <w:szCs w:val="18"/>
              </w:rPr>
            </w:pPr>
            <w:r w:rsidRPr="007647EB">
              <w:rPr>
                <w:b/>
                <w:bCs/>
                <w:color w:val="000000"/>
                <w:sz w:val="18"/>
                <w:szCs w:val="18"/>
              </w:rPr>
              <w:t>750 000</w:t>
            </w:r>
          </w:p>
        </w:tc>
        <w:tc>
          <w:tcPr>
            <w:tcW w:w="1245" w:type="dxa"/>
            <w:tcBorders>
              <w:bottom w:val="single" w:sz="4" w:space="0" w:color="auto"/>
            </w:tcBorders>
            <w:shd w:val="clear" w:color="000000" w:fill="B4C6E7"/>
            <w:noWrap/>
            <w:vAlign w:val="center"/>
            <w:hideMark/>
          </w:tcPr>
          <w:p w14:paraId="0FFB767A" w14:textId="77777777" w:rsidR="00100696" w:rsidRPr="007647EB" w:rsidRDefault="00100696" w:rsidP="008123FC">
            <w:pPr>
              <w:spacing w:before="40" w:after="40"/>
              <w:jc w:val="right"/>
              <w:rPr>
                <w:b/>
                <w:bCs/>
                <w:sz w:val="18"/>
                <w:szCs w:val="18"/>
              </w:rPr>
            </w:pPr>
            <w:r w:rsidRPr="007647EB">
              <w:rPr>
                <w:b/>
                <w:bCs/>
                <w:color w:val="000000"/>
                <w:sz w:val="18"/>
                <w:szCs w:val="18"/>
              </w:rPr>
              <w:t>1 520 000</w:t>
            </w:r>
          </w:p>
        </w:tc>
      </w:tr>
      <w:tr w:rsidR="00100696" w:rsidRPr="007647EB" w14:paraId="5798A367"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4EA051B9"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(B)</w:t>
            </w:r>
            <w:r w:rsidRPr="007647EB">
              <w:rPr>
                <w:color w:val="000000"/>
                <w:sz w:val="18"/>
                <w:szCs w:val="18"/>
              </w:rPr>
              <w:t xml:space="preserve"> </w:t>
            </w:r>
          </w:p>
        </w:tc>
        <w:tc>
          <w:tcPr>
            <w:tcW w:w="1275" w:type="dxa"/>
            <w:tcBorders>
              <w:top w:val="single" w:sz="4" w:space="0" w:color="auto"/>
              <w:bottom w:val="single" w:sz="4" w:space="0" w:color="auto"/>
            </w:tcBorders>
            <w:shd w:val="clear" w:color="000000" w:fill="DBB731"/>
            <w:noWrap/>
            <w:vAlign w:val="center"/>
            <w:hideMark/>
          </w:tcPr>
          <w:p w14:paraId="776C1506"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86F79D3" w14:textId="77777777" w:rsidR="00100696" w:rsidRPr="007647EB" w:rsidRDefault="00100696" w:rsidP="008123FC">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37A143D5"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40B4145A" w14:textId="77777777" w:rsidR="00100696" w:rsidRPr="007647EB" w:rsidRDefault="00100696" w:rsidP="008123FC">
            <w:pPr>
              <w:spacing w:before="40" w:after="40"/>
              <w:jc w:val="right"/>
              <w:rPr>
                <w:b/>
                <w:bCs/>
                <w:sz w:val="18"/>
                <w:szCs w:val="18"/>
              </w:rPr>
            </w:pPr>
            <w:r w:rsidRPr="007647EB">
              <w:rPr>
                <w:b/>
                <w:bCs/>
                <w:color w:val="000000"/>
                <w:sz w:val="18"/>
                <w:szCs w:val="18"/>
              </w:rPr>
              <w:t>770 000</w:t>
            </w:r>
          </w:p>
        </w:tc>
        <w:tc>
          <w:tcPr>
            <w:tcW w:w="1134" w:type="dxa"/>
            <w:tcBorders>
              <w:top w:val="single" w:sz="4" w:space="0" w:color="auto"/>
              <w:bottom w:val="single" w:sz="4" w:space="0" w:color="auto"/>
            </w:tcBorders>
            <w:shd w:val="clear" w:color="000000" w:fill="DBB731"/>
            <w:noWrap/>
            <w:vAlign w:val="center"/>
            <w:hideMark/>
          </w:tcPr>
          <w:p w14:paraId="577D8F98" w14:textId="77777777" w:rsidR="00100696" w:rsidRPr="007647EB" w:rsidRDefault="00100696" w:rsidP="008123FC">
            <w:pPr>
              <w:spacing w:before="40" w:after="40"/>
              <w:jc w:val="right"/>
              <w:rPr>
                <w:b/>
                <w:bCs/>
                <w:sz w:val="18"/>
                <w:szCs w:val="18"/>
              </w:rPr>
            </w:pPr>
            <w:r w:rsidRPr="007647EB">
              <w:rPr>
                <w:b/>
                <w:bCs/>
                <w:color w:val="000000"/>
                <w:sz w:val="18"/>
                <w:szCs w:val="18"/>
              </w:rPr>
              <w:t>750 000</w:t>
            </w:r>
          </w:p>
        </w:tc>
        <w:tc>
          <w:tcPr>
            <w:tcW w:w="1245" w:type="dxa"/>
            <w:tcBorders>
              <w:top w:val="single" w:sz="4" w:space="0" w:color="auto"/>
              <w:bottom w:val="single" w:sz="4" w:space="0" w:color="auto"/>
            </w:tcBorders>
            <w:shd w:val="clear" w:color="000000" w:fill="DBB731"/>
            <w:noWrap/>
            <w:vAlign w:val="center"/>
            <w:hideMark/>
          </w:tcPr>
          <w:p w14:paraId="06FA9E54" w14:textId="77777777" w:rsidR="00100696" w:rsidRPr="007647EB" w:rsidRDefault="00100696" w:rsidP="008123FC">
            <w:pPr>
              <w:spacing w:before="40" w:after="40"/>
              <w:jc w:val="right"/>
              <w:rPr>
                <w:b/>
                <w:bCs/>
                <w:sz w:val="18"/>
                <w:szCs w:val="18"/>
              </w:rPr>
            </w:pPr>
            <w:r w:rsidRPr="007647EB">
              <w:rPr>
                <w:b/>
                <w:bCs/>
                <w:color w:val="000000"/>
                <w:sz w:val="18"/>
                <w:szCs w:val="18"/>
              </w:rPr>
              <w:t>1 520 000</w:t>
            </w:r>
          </w:p>
        </w:tc>
      </w:tr>
      <w:tr w:rsidR="00100696" w:rsidRPr="007647EB" w14:paraId="4DE6F521" w14:textId="77777777" w:rsidTr="008123FC">
        <w:trPr>
          <w:trHeight w:val="42"/>
          <w:jc w:val="right"/>
        </w:trPr>
        <w:tc>
          <w:tcPr>
            <w:tcW w:w="7230" w:type="dxa"/>
            <w:gridSpan w:val="2"/>
            <w:tcBorders>
              <w:top w:val="single" w:sz="4" w:space="0" w:color="auto"/>
            </w:tcBorders>
            <w:noWrap/>
            <w:vAlign w:val="center"/>
            <w:hideMark/>
          </w:tcPr>
          <w:p w14:paraId="15C18AAD" w14:textId="77777777" w:rsidR="00100696" w:rsidRPr="007647EB" w:rsidRDefault="00100696" w:rsidP="008123FC">
            <w:pPr>
              <w:keepNext/>
              <w:keepLines/>
              <w:spacing w:before="40" w:after="40"/>
              <w:rPr>
                <w:b/>
                <w:bCs/>
                <w:sz w:val="18"/>
                <w:szCs w:val="18"/>
              </w:rPr>
            </w:pPr>
            <w:r w:rsidRPr="007647EB">
              <w:rPr>
                <w:b/>
                <w:bCs/>
                <w:color w:val="000000"/>
                <w:sz w:val="18"/>
                <w:szCs w:val="18"/>
              </w:rPr>
              <w:t>C.</w:t>
            </w:r>
            <w:r w:rsidRPr="007647EB">
              <w:rPr>
                <w:color w:val="000000"/>
                <w:sz w:val="18"/>
                <w:szCs w:val="18"/>
              </w:rPr>
              <w:t xml:space="preserve"> </w:t>
            </w:r>
            <w:r w:rsidRPr="007647EB">
              <w:rPr>
                <w:b/>
                <w:bCs/>
                <w:color w:val="000000"/>
                <w:sz w:val="18"/>
                <w:szCs w:val="18"/>
              </w:rPr>
              <w:t>Activités scientifiques et techniques</w:t>
            </w:r>
          </w:p>
        </w:tc>
        <w:tc>
          <w:tcPr>
            <w:tcW w:w="1275" w:type="dxa"/>
            <w:tcBorders>
              <w:top w:val="single" w:sz="4" w:space="0" w:color="auto"/>
            </w:tcBorders>
            <w:noWrap/>
            <w:vAlign w:val="center"/>
            <w:hideMark/>
          </w:tcPr>
          <w:p w14:paraId="3CF1C3AC"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21EC7980" w14:textId="77777777" w:rsidR="00100696" w:rsidRPr="007647EB" w:rsidRDefault="00100696" w:rsidP="008123FC">
            <w:pPr>
              <w:keepNext/>
              <w:keepLines/>
              <w:spacing w:before="40" w:after="40"/>
              <w:jc w:val="right"/>
              <w:rPr>
                <w:b/>
                <w:bCs/>
                <w:sz w:val="18"/>
                <w:szCs w:val="18"/>
              </w:rPr>
            </w:pPr>
          </w:p>
        </w:tc>
        <w:tc>
          <w:tcPr>
            <w:tcW w:w="1276" w:type="dxa"/>
            <w:tcBorders>
              <w:top w:val="single" w:sz="4" w:space="0" w:color="auto"/>
            </w:tcBorders>
            <w:noWrap/>
            <w:vAlign w:val="center"/>
            <w:hideMark/>
          </w:tcPr>
          <w:p w14:paraId="07FDD914"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307D82DF"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A127E1A" w14:textId="77777777" w:rsidR="00100696" w:rsidRPr="007647EB" w:rsidRDefault="00100696" w:rsidP="008123FC">
            <w:pPr>
              <w:keepNext/>
              <w:keepLines/>
              <w:spacing w:before="40" w:after="40"/>
              <w:jc w:val="right"/>
              <w:rPr>
                <w:b/>
                <w:bCs/>
                <w:sz w:val="18"/>
                <w:szCs w:val="18"/>
              </w:rPr>
            </w:pPr>
          </w:p>
        </w:tc>
        <w:tc>
          <w:tcPr>
            <w:tcW w:w="1245" w:type="dxa"/>
            <w:tcBorders>
              <w:top w:val="single" w:sz="4" w:space="0" w:color="auto"/>
            </w:tcBorders>
            <w:noWrap/>
            <w:vAlign w:val="center"/>
            <w:hideMark/>
          </w:tcPr>
          <w:p w14:paraId="127C842A" w14:textId="77777777" w:rsidR="00100696" w:rsidRPr="007647EB" w:rsidRDefault="00100696" w:rsidP="008123FC">
            <w:pPr>
              <w:keepNext/>
              <w:keepLines/>
              <w:spacing w:before="40" w:after="40"/>
              <w:jc w:val="right"/>
              <w:rPr>
                <w:b/>
                <w:bCs/>
                <w:sz w:val="18"/>
                <w:szCs w:val="18"/>
              </w:rPr>
            </w:pPr>
          </w:p>
        </w:tc>
      </w:tr>
      <w:tr w:rsidR="00100696" w:rsidRPr="007647EB" w14:paraId="7C10C630" w14:textId="77777777" w:rsidTr="008123FC">
        <w:trPr>
          <w:trHeight w:val="52"/>
          <w:jc w:val="right"/>
        </w:trPr>
        <w:tc>
          <w:tcPr>
            <w:tcW w:w="7230" w:type="dxa"/>
            <w:gridSpan w:val="2"/>
            <w:tcBorders>
              <w:top w:val="nil"/>
            </w:tcBorders>
            <w:noWrap/>
            <w:vAlign w:val="center"/>
            <w:hideMark/>
          </w:tcPr>
          <w:p w14:paraId="3056E3D5" w14:textId="77777777" w:rsidR="00100696" w:rsidRPr="007647EB" w:rsidRDefault="00100696" w:rsidP="008123FC">
            <w:pPr>
              <w:keepNext/>
              <w:keepLines/>
              <w:spacing w:before="40" w:after="40"/>
              <w:rPr>
                <w:b/>
                <w:bCs/>
                <w:sz w:val="18"/>
                <w:szCs w:val="18"/>
              </w:rPr>
            </w:pPr>
            <w:r w:rsidRPr="007647EB">
              <w:rPr>
                <w:b/>
                <w:bCs/>
                <w:color w:val="000000"/>
                <w:sz w:val="18"/>
                <w:szCs w:val="18"/>
              </w:rPr>
              <w:t>5.</w:t>
            </w:r>
            <w:r w:rsidRPr="007647EB">
              <w:rPr>
                <w:color w:val="000000"/>
                <w:sz w:val="18"/>
                <w:szCs w:val="18"/>
              </w:rPr>
              <w:t xml:space="preserve"> </w:t>
            </w:r>
            <w:r w:rsidRPr="007647EB">
              <w:rPr>
                <w:b/>
                <w:bCs/>
                <w:color w:val="000000"/>
                <w:sz w:val="18"/>
                <w:szCs w:val="18"/>
              </w:rPr>
              <w:t>Appui scientifique aux Parties à la Convention de Minamata</w:t>
            </w:r>
          </w:p>
        </w:tc>
        <w:tc>
          <w:tcPr>
            <w:tcW w:w="1275" w:type="dxa"/>
            <w:tcBorders>
              <w:top w:val="nil"/>
            </w:tcBorders>
            <w:noWrap/>
            <w:vAlign w:val="center"/>
            <w:hideMark/>
          </w:tcPr>
          <w:p w14:paraId="106F2AFD" w14:textId="77777777" w:rsidR="00100696" w:rsidRPr="007647EB" w:rsidRDefault="00100696" w:rsidP="008123FC">
            <w:pPr>
              <w:keepNext/>
              <w:keepLines/>
              <w:spacing w:before="40" w:after="40"/>
              <w:jc w:val="right"/>
              <w:rPr>
                <w:b/>
                <w:bCs/>
                <w:sz w:val="18"/>
                <w:szCs w:val="18"/>
              </w:rPr>
            </w:pPr>
          </w:p>
        </w:tc>
        <w:tc>
          <w:tcPr>
            <w:tcW w:w="1134" w:type="dxa"/>
            <w:tcBorders>
              <w:top w:val="nil"/>
            </w:tcBorders>
            <w:noWrap/>
            <w:vAlign w:val="center"/>
            <w:hideMark/>
          </w:tcPr>
          <w:p w14:paraId="13D0DFC3" w14:textId="77777777" w:rsidR="00100696" w:rsidRPr="007647EB" w:rsidRDefault="00100696" w:rsidP="008123FC">
            <w:pPr>
              <w:keepNext/>
              <w:keepLines/>
              <w:spacing w:before="40" w:after="40"/>
              <w:jc w:val="right"/>
              <w:rPr>
                <w:b/>
                <w:bCs/>
                <w:sz w:val="18"/>
                <w:szCs w:val="18"/>
              </w:rPr>
            </w:pPr>
          </w:p>
        </w:tc>
        <w:tc>
          <w:tcPr>
            <w:tcW w:w="1276" w:type="dxa"/>
            <w:tcBorders>
              <w:top w:val="nil"/>
            </w:tcBorders>
            <w:noWrap/>
            <w:vAlign w:val="center"/>
            <w:hideMark/>
          </w:tcPr>
          <w:p w14:paraId="4F2509FD" w14:textId="77777777" w:rsidR="00100696" w:rsidRPr="007647EB" w:rsidRDefault="00100696" w:rsidP="008123FC">
            <w:pPr>
              <w:keepNext/>
              <w:keepLines/>
              <w:spacing w:before="40" w:after="40"/>
              <w:jc w:val="right"/>
              <w:rPr>
                <w:sz w:val="18"/>
                <w:szCs w:val="18"/>
              </w:rPr>
            </w:pPr>
          </w:p>
        </w:tc>
        <w:tc>
          <w:tcPr>
            <w:tcW w:w="1134" w:type="dxa"/>
            <w:tcBorders>
              <w:top w:val="nil"/>
            </w:tcBorders>
            <w:noWrap/>
            <w:vAlign w:val="center"/>
            <w:hideMark/>
          </w:tcPr>
          <w:p w14:paraId="5AFD1A0E" w14:textId="77777777" w:rsidR="00100696" w:rsidRPr="007647EB" w:rsidRDefault="00100696" w:rsidP="008123FC">
            <w:pPr>
              <w:keepNext/>
              <w:keepLines/>
              <w:spacing w:before="40" w:after="40"/>
              <w:jc w:val="right"/>
              <w:rPr>
                <w:b/>
                <w:bCs/>
                <w:sz w:val="18"/>
                <w:szCs w:val="18"/>
              </w:rPr>
            </w:pPr>
          </w:p>
        </w:tc>
        <w:tc>
          <w:tcPr>
            <w:tcW w:w="1134" w:type="dxa"/>
            <w:tcBorders>
              <w:top w:val="nil"/>
            </w:tcBorders>
            <w:noWrap/>
            <w:vAlign w:val="center"/>
            <w:hideMark/>
          </w:tcPr>
          <w:p w14:paraId="3ADD818C" w14:textId="77777777" w:rsidR="00100696" w:rsidRPr="007647EB" w:rsidRDefault="00100696" w:rsidP="008123FC">
            <w:pPr>
              <w:keepNext/>
              <w:keepLines/>
              <w:spacing w:before="40" w:after="40"/>
              <w:jc w:val="right"/>
              <w:rPr>
                <w:b/>
                <w:bCs/>
                <w:sz w:val="18"/>
                <w:szCs w:val="18"/>
              </w:rPr>
            </w:pPr>
          </w:p>
        </w:tc>
        <w:tc>
          <w:tcPr>
            <w:tcW w:w="1245" w:type="dxa"/>
            <w:tcBorders>
              <w:top w:val="nil"/>
            </w:tcBorders>
            <w:noWrap/>
            <w:vAlign w:val="center"/>
            <w:hideMark/>
          </w:tcPr>
          <w:p w14:paraId="5EBFB85E" w14:textId="77777777" w:rsidR="00100696" w:rsidRPr="007647EB" w:rsidRDefault="00100696" w:rsidP="008123FC">
            <w:pPr>
              <w:keepNext/>
              <w:keepLines/>
              <w:spacing w:before="40" w:after="40"/>
              <w:jc w:val="right"/>
              <w:rPr>
                <w:sz w:val="18"/>
                <w:szCs w:val="18"/>
              </w:rPr>
            </w:pPr>
          </w:p>
        </w:tc>
      </w:tr>
      <w:tr w:rsidR="00100696" w:rsidRPr="007647EB" w14:paraId="5C445159" w14:textId="77777777" w:rsidTr="008123FC">
        <w:trPr>
          <w:trHeight w:val="300"/>
          <w:jc w:val="right"/>
        </w:trPr>
        <w:tc>
          <w:tcPr>
            <w:tcW w:w="284" w:type="dxa"/>
            <w:noWrap/>
            <w:vAlign w:val="center"/>
            <w:hideMark/>
          </w:tcPr>
          <w:p w14:paraId="2A9009B0"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72D06E4A" w14:textId="255C90F5" w:rsidR="00100696" w:rsidRPr="007647EB" w:rsidRDefault="00100696" w:rsidP="008123FC">
            <w:pPr>
              <w:spacing w:before="40" w:after="40"/>
              <w:rPr>
                <w:sz w:val="18"/>
                <w:szCs w:val="18"/>
              </w:rPr>
            </w:pPr>
            <w:r w:rsidRPr="007647EB">
              <w:rPr>
                <w:color w:val="000000"/>
                <w:sz w:val="18"/>
                <w:szCs w:val="18"/>
              </w:rPr>
              <w:t>5.1. Amélioration des méthodes d</w:t>
            </w:r>
            <w:r w:rsidR="00D82E47" w:rsidRPr="007647EB">
              <w:rPr>
                <w:color w:val="000000"/>
                <w:sz w:val="18"/>
                <w:szCs w:val="18"/>
              </w:rPr>
              <w:t>’</w:t>
            </w:r>
            <w:r w:rsidRPr="007647EB">
              <w:rPr>
                <w:color w:val="000000"/>
                <w:sz w:val="18"/>
                <w:szCs w:val="18"/>
              </w:rPr>
              <w:t>inventaire du mercure</w:t>
            </w:r>
          </w:p>
        </w:tc>
        <w:tc>
          <w:tcPr>
            <w:tcW w:w="1275" w:type="dxa"/>
            <w:noWrap/>
            <w:vAlign w:val="center"/>
            <w:hideMark/>
          </w:tcPr>
          <w:p w14:paraId="4124066B" w14:textId="77777777" w:rsidR="00100696" w:rsidRPr="007647EB" w:rsidRDefault="00100696" w:rsidP="008123FC">
            <w:pPr>
              <w:spacing w:before="40" w:after="40"/>
              <w:jc w:val="right"/>
              <w:rPr>
                <w:sz w:val="18"/>
                <w:szCs w:val="18"/>
              </w:rPr>
            </w:pPr>
          </w:p>
        </w:tc>
        <w:tc>
          <w:tcPr>
            <w:tcW w:w="1134" w:type="dxa"/>
            <w:noWrap/>
            <w:vAlign w:val="center"/>
            <w:hideMark/>
          </w:tcPr>
          <w:p w14:paraId="1E170254" w14:textId="77777777" w:rsidR="00100696" w:rsidRPr="007647EB" w:rsidRDefault="00100696" w:rsidP="008123FC">
            <w:pPr>
              <w:spacing w:before="40" w:after="40"/>
              <w:jc w:val="right"/>
              <w:rPr>
                <w:sz w:val="18"/>
                <w:szCs w:val="18"/>
              </w:rPr>
            </w:pPr>
          </w:p>
        </w:tc>
        <w:tc>
          <w:tcPr>
            <w:tcW w:w="1276" w:type="dxa"/>
            <w:noWrap/>
            <w:vAlign w:val="center"/>
            <w:hideMark/>
          </w:tcPr>
          <w:p w14:paraId="73C1009E" w14:textId="77777777" w:rsidR="00100696" w:rsidRPr="007647EB" w:rsidRDefault="00100696" w:rsidP="008123FC">
            <w:pPr>
              <w:spacing w:before="40" w:after="40"/>
              <w:jc w:val="right"/>
              <w:rPr>
                <w:sz w:val="18"/>
                <w:szCs w:val="18"/>
              </w:rPr>
            </w:pPr>
          </w:p>
        </w:tc>
        <w:tc>
          <w:tcPr>
            <w:tcW w:w="1134" w:type="dxa"/>
            <w:noWrap/>
            <w:vAlign w:val="center"/>
            <w:hideMark/>
          </w:tcPr>
          <w:p w14:paraId="4E419EC4"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noWrap/>
            <w:vAlign w:val="center"/>
            <w:hideMark/>
          </w:tcPr>
          <w:p w14:paraId="4674984C"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noWrap/>
            <w:vAlign w:val="center"/>
            <w:hideMark/>
          </w:tcPr>
          <w:p w14:paraId="02038650"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61C039C7" w14:textId="77777777" w:rsidTr="008123FC">
        <w:trPr>
          <w:trHeight w:val="300"/>
          <w:jc w:val="right"/>
        </w:trPr>
        <w:tc>
          <w:tcPr>
            <w:tcW w:w="284" w:type="dxa"/>
            <w:noWrap/>
            <w:vAlign w:val="center"/>
            <w:hideMark/>
          </w:tcPr>
          <w:p w14:paraId="43F1BC92"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2BDBF379" w14:textId="6F3BC1CD" w:rsidR="00100696" w:rsidRPr="007647EB" w:rsidRDefault="00100696" w:rsidP="008123FC">
            <w:pPr>
              <w:spacing w:before="40" w:after="40"/>
              <w:rPr>
                <w:sz w:val="18"/>
                <w:szCs w:val="18"/>
              </w:rPr>
            </w:pPr>
            <w:r w:rsidRPr="007647EB">
              <w:rPr>
                <w:color w:val="000000"/>
                <w:sz w:val="18"/>
                <w:szCs w:val="18"/>
              </w:rPr>
              <w:t>5.2. Échange d</w:t>
            </w:r>
            <w:r w:rsidR="00D82E47" w:rsidRPr="007647EB">
              <w:rPr>
                <w:color w:val="000000"/>
                <w:sz w:val="18"/>
                <w:szCs w:val="18"/>
              </w:rPr>
              <w:t>’</w:t>
            </w:r>
            <w:r w:rsidRPr="007647EB">
              <w:rPr>
                <w:color w:val="000000"/>
                <w:sz w:val="18"/>
                <w:szCs w:val="18"/>
              </w:rPr>
              <w:t>informations sur la modélisation et la surveillance</w:t>
            </w:r>
          </w:p>
        </w:tc>
        <w:tc>
          <w:tcPr>
            <w:tcW w:w="1275" w:type="dxa"/>
            <w:noWrap/>
            <w:vAlign w:val="center"/>
            <w:hideMark/>
          </w:tcPr>
          <w:p w14:paraId="301838E8" w14:textId="77777777" w:rsidR="00100696" w:rsidRPr="007647EB" w:rsidRDefault="00100696" w:rsidP="008123FC">
            <w:pPr>
              <w:spacing w:before="40" w:after="40"/>
              <w:jc w:val="right"/>
              <w:rPr>
                <w:sz w:val="18"/>
                <w:szCs w:val="18"/>
              </w:rPr>
            </w:pPr>
          </w:p>
        </w:tc>
        <w:tc>
          <w:tcPr>
            <w:tcW w:w="1134" w:type="dxa"/>
            <w:noWrap/>
            <w:vAlign w:val="center"/>
            <w:hideMark/>
          </w:tcPr>
          <w:p w14:paraId="2C4BEEDB" w14:textId="77777777" w:rsidR="00100696" w:rsidRPr="007647EB" w:rsidRDefault="00100696" w:rsidP="008123FC">
            <w:pPr>
              <w:spacing w:before="40" w:after="40"/>
              <w:jc w:val="right"/>
              <w:rPr>
                <w:sz w:val="18"/>
                <w:szCs w:val="18"/>
              </w:rPr>
            </w:pPr>
          </w:p>
        </w:tc>
        <w:tc>
          <w:tcPr>
            <w:tcW w:w="1276" w:type="dxa"/>
            <w:noWrap/>
            <w:vAlign w:val="center"/>
            <w:hideMark/>
          </w:tcPr>
          <w:p w14:paraId="7817017A" w14:textId="77777777" w:rsidR="00100696" w:rsidRPr="007647EB" w:rsidRDefault="00100696" w:rsidP="008123FC">
            <w:pPr>
              <w:spacing w:before="40" w:after="40"/>
              <w:jc w:val="right"/>
              <w:rPr>
                <w:sz w:val="18"/>
                <w:szCs w:val="18"/>
              </w:rPr>
            </w:pPr>
          </w:p>
        </w:tc>
        <w:tc>
          <w:tcPr>
            <w:tcW w:w="1134" w:type="dxa"/>
            <w:noWrap/>
            <w:vAlign w:val="center"/>
            <w:hideMark/>
          </w:tcPr>
          <w:p w14:paraId="25A08ED2"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noWrap/>
            <w:vAlign w:val="center"/>
            <w:hideMark/>
          </w:tcPr>
          <w:p w14:paraId="1B93DE8A"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noWrap/>
            <w:vAlign w:val="center"/>
            <w:hideMark/>
          </w:tcPr>
          <w:p w14:paraId="12CD1C38"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489F60CB" w14:textId="77777777" w:rsidTr="008123FC">
        <w:trPr>
          <w:trHeight w:val="300"/>
          <w:jc w:val="right"/>
        </w:trPr>
        <w:tc>
          <w:tcPr>
            <w:tcW w:w="284" w:type="dxa"/>
            <w:noWrap/>
            <w:vAlign w:val="center"/>
            <w:hideMark/>
          </w:tcPr>
          <w:p w14:paraId="2675724B" w14:textId="77777777" w:rsidR="00100696" w:rsidRPr="007647EB" w:rsidRDefault="00100696" w:rsidP="008123FC">
            <w:pPr>
              <w:spacing w:before="40" w:after="40"/>
              <w:rPr>
                <w:b/>
                <w:bCs/>
                <w:sz w:val="18"/>
                <w:szCs w:val="18"/>
              </w:rPr>
            </w:pPr>
            <w:r w:rsidRPr="007647EB">
              <w:rPr>
                <w:b/>
                <w:bCs/>
                <w:color w:val="000000"/>
                <w:sz w:val="18"/>
                <w:szCs w:val="18"/>
              </w:rPr>
              <w:lastRenderedPageBreak/>
              <w:t> </w:t>
            </w:r>
          </w:p>
        </w:tc>
        <w:tc>
          <w:tcPr>
            <w:tcW w:w="6946" w:type="dxa"/>
            <w:noWrap/>
            <w:vAlign w:val="center"/>
            <w:hideMark/>
          </w:tcPr>
          <w:p w14:paraId="02AE6969" w14:textId="6564D1C5" w:rsidR="00100696" w:rsidRPr="007647EB" w:rsidRDefault="00100696" w:rsidP="008123FC">
            <w:pPr>
              <w:spacing w:before="40" w:after="40"/>
              <w:rPr>
                <w:sz w:val="18"/>
                <w:szCs w:val="18"/>
              </w:rPr>
            </w:pPr>
            <w:r w:rsidRPr="007647EB">
              <w:rPr>
                <w:color w:val="000000"/>
                <w:sz w:val="18"/>
                <w:szCs w:val="18"/>
              </w:rPr>
              <w:t>5.3. Évaluation des impacts du mercure sur la santé, l</w:t>
            </w:r>
            <w:r w:rsidR="00D82E47" w:rsidRPr="007647EB">
              <w:rPr>
                <w:color w:val="000000"/>
                <w:sz w:val="18"/>
                <w:szCs w:val="18"/>
              </w:rPr>
              <w:t>’</w:t>
            </w:r>
            <w:r w:rsidRPr="007647EB">
              <w:rPr>
                <w:color w:val="000000"/>
                <w:sz w:val="18"/>
                <w:szCs w:val="18"/>
              </w:rPr>
              <w:t>environnement et dans les domaines social et économique</w:t>
            </w:r>
          </w:p>
        </w:tc>
        <w:tc>
          <w:tcPr>
            <w:tcW w:w="1275" w:type="dxa"/>
            <w:noWrap/>
            <w:vAlign w:val="center"/>
            <w:hideMark/>
          </w:tcPr>
          <w:p w14:paraId="780EA387" w14:textId="77777777" w:rsidR="00100696" w:rsidRPr="007647EB" w:rsidRDefault="00100696" w:rsidP="008123FC">
            <w:pPr>
              <w:spacing w:before="40" w:after="40"/>
              <w:jc w:val="right"/>
              <w:rPr>
                <w:sz w:val="18"/>
                <w:szCs w:val="18"/>
              </w:rPr>
            </w:pPr>
          </w:p>
        </w:tc>
        <w:tc>
          <w:tcPr>
            <w:tcW w:w="1134" w:type="dxa"/>
            <w:noWrap/>
            <w:vAlign w:val="center"/>
            <w:hideMark/>
          </w:tcPr>
          <w:p w14:paraId="64A46FB3" w14:textId="77777777" w:rsidR="00100696" w:rsidRPr="007647EB" w:rsidRDefault="00100696" w:rsidP="008123FC">
            <w:pPr>
              <w:spacing w:before="40" w:after="40"/>
              <w:jc w:val="right"/>
              <w:rPr>
                <w:sz w:val="18"/>
                <w:szCs w:val="18"/>
              </w:rPr>
            </w:pPr>
          </w:p>
        </w:tc>
        <w:tc>
          <w:tcPr>
            <w:tcW w:w="1276" w:type="dxa"/>
            <w:noWrap/>
            <w:vAlign w:val="center"/>
            <w:hideMark/>
          </w:tcPr>
          <w:p w14:paraId="135E07F6" w14:textId="77777777" w:rsidR="00100696" w:rsidRPr="007647EB" w:rsidRDefault="00100696" w:rsidP="008123FC">
            <w:pPr>
              <w:spacing w:before="40" w:after="40"/>
              <w:jc w:val="right"/>
              <w:rPr>
                <w:sz w:val="18"/>
                <w:szCs w:val="18"/>
              </w:rPr>
            </w:pPr>
          </w:p>
        </w:tc>
        <w:tc>
          <w:tcPr>
            <w:tcW w:w="1134" w:type="dxa"/>
            <w:noWrap/>
            <w:vAlign w:val="center"/>
            <w:hideMark/>
          </w:tcPr>
          <w:p w14:paraId="19642B5B" w14:textId="77777777" w:rsidR="00100696" w:rsidRPr="007647EB" w:rsidRDefault="00100696" w:rsidP="008123FC">
            <w:pPr>
              <w:spacing w:before="40" w:after="40"/>
              <w:jc w:val="right"/>
              <w:rPr>
                <w:sz w:val="18"/>
                <w:szCs w:val="18"/>
              </w:rPr>
            </w:pPr>
            <w:r w:rsidRPr="007647EB">
              <w:rPr>
                <w:color w:val="000000"/>
                <w:sz w:val="18"/>
                <w:szCs w:val="18"/>
              </w:rPr>
              <w:t>75 000</w:t>
            </w:r>
          </w:p>
        </w:tc>
        <w:tc>
          <w:tcPr>
            <w:tcW w:w="1134" w:type="dxa"/>
            <w:noWrap/>
            <w:vAlign w:val="center"/>
            <w:hideMark/>
          </w:tcPr>
          <w:p w14:paraId="32E0045F" w14:textId="77777777" w:rsidR="00100696" w:rsidRPr="007647EB" w:rsidRDefault="00100696" w:rsidP="008123FC">
            <w:pPr>
              <w:spacing w:before="40" w:after="40"/>
              <w:jc w:val="right"/>
              <w:rPr>
                <w:sz w:val="18"/>
                <w:szCs w:val="18"/>
              </w:rPr>
            </w:pPr>
            <w:r w:rsidRPr="007647EB">
              <w:rPr>
                <w:color w:val="000000"/>
                <w:sz w:val="18"/>
                <w:szCs w:val="18"/>
              </w:rPr>
              <w:t>75 000</w:t>
            </w:r>
          </w:p>
        </w:tc>
        <w:tc>
          <w:tcPr>
            <w:tcW w:w="1245" w:type="dxa"/>
            <w:noWrap/>
            <w:vAlign w:val="center"/>
            <w:hideMark/>
          </w:tcPr>
          <w:p w14:paraId="571480D5" w14:textId="77777777" w:rsidR="00100696" w:rsidRPr="007647EB" w:rsidRDefault="00100696" w:rsidP="008123FC">
            <w:pPr>
              <w:spacing w:before="40" w:after="40"/>
              <w:jc w:val="right"/>
              <w:rPr>
                <w:sz w:val="18"/>
                <w:szCs w:val="18"/>
              </w:rPr>
            </w:pPr>
            <w:r w:rsidRPr="007647EB">
              <w:rPr>
                <w:color w:val="000000"/>
                <w:sz w:val="18"/>
                <w:szCs w:val="18"/>
              </w:rPr>
              <w:t>150 000</w:t>
            </w:r>
          </w:p>
        </w:tc>
      </w:tr>
      <w:tr w:rsidR="00100696" w:rsidRPr="007647EB" w14:paraId="1C5A500C" w14:textId="77777777" w:rsidTr="008123FC">
        <w:trPr>
          <w:trHeight w:val="300"/>
          <w:jc w:val="right"/>
        </w:trPr>
        <w:tc>
          <w:tcPr>
            <w:tcW w:w="284" w:type="dxa"/>
            <w:noWrap/>
            <w:vAlign w:val="center"/>
            <w:hideMark/>
          </w:tcPr>
          <w:p w14:paraId="2551176D"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32FC759C" w14:textId="41F26B32" w:rsidR="00100696" w:rsidRPr="007647EB" w:rsidRDefault="00100696" w:rsidP="008123FC">
            <w:pPr>
              <w:spacing w:before="40" w:after="40"/>
              <w:rPr>
                <w:sz w:val="18"/>
                <w:szCs w:val="18"/>
              </w:rPr>
            </w:pPr>
            <w:r w:rsidRPr="007647EB">
              <w:rPr>
                <w:color w:val="000000"/>
                <w:sz w:val="18"/>
                <w:szCs w:val="18"/>
              </w:rPr>
              <w:t>5.4. Échange d</w:t>
            </w:r>
            <w:r w:rsidR="00D82E47" w:rsidRPr="007647EB">
              <w:rPr>
                <w:color w:val="000000"/>
                <w:sz w:val="18"/>
                <w:szCs w:val="18"/>
              </w:rPr>
              <w:t>’</w:t>
            </w:r>
            <w:r w:rsidRPr="007647EB">
              <w:rPr>
                <w:color w:val="000000"/>
                <w:sz w:val="18"/>
                <w:szCs w:val="18"/>
              </w:rPr>
              <w:t>informations sur les technologies de réduction du mercure</w:t>
            </w:r>
          </w:p>
        </w:tc>
        <w:tc>
          <w:tcPr>
            <w:tcW w:w="1275" w:type="dxa"/>
            <w:noWrap/>
            <w:vAlign w:val="center"/>
            <w:hideMark/>
          </w:tcPr>
          <w:p w14:paraId="1A38A051" w14:textId="77777777" w:rsidR="00100696" w:rsidRPr="007647EB" w:rsidRDefault="00100696" w:rsidP="008123FC">
            <w:pPr>
              <w:spacing w:before="40" w:after="40"/>
              <w:jc w:val="right"/>
              <w:rPr>
                <w:sz w:val="18"/>
                <w:szCs w:val="18"/>
              </w:rPr>
            </w:pPr>
          </w:p>
        </w:tc>
        <w:tc>
          <w:tcPr>
            <w:tcW w:w="1134" w:type="dxa"/>
            <w:noWrap/>
            <w:vAlign w:val="center"/>
            <w:hideMark/>
          </w:tcPr>
          <w:p w14:paraId="096AF136" w14:textId="77777777" w:rsidR="00100696" w:rsidRPr="007647EB" w:rsidRDefault="00100696" w:rsidP="008123FC">
            <w:pPr>
              <w:spacing w:before="40" w:after="40"/>
              <w:jc w:val="right"/>
              <w:rPr>
                <w:sz w:val="18"/>
                <w:szCs w:val="18"/>
              </w:rPr>
            </w:pPr>
          </w:p>
        </w:tc>
        <w:tc>
          <w:tcPr>
            <w:tcW w:w="1276" w:type="dxa"/>
            <w:noWrap/>
            <w:vAlign w:val="center"/>
            <w:hideMark/>
          </w:tcPr>
          <w:p w14:paraId="66B4576B" w14:textId="77777777" w:rsidR="00100696" w:rsidRPr="007647EB" w:rsidRDefault="00100696" w:rsidP="008123FC">
            <w:pPr>
              <w:spacing w:before="40" w:after="40"/>
              <w:jc w:val="right"/>
              <w:rPr>
                <w:sz w:val="18"/>
                <w:szCs w:val="18"/>
              </w:rPr>
            </w:pPr>
          </w:p>
        </w:tc>
        <w:tc>
          <w:tcPr>
            <w:tcW w:w="1134" w:type="dxa"/>
            <w:noWrap/>
            <w:vAlign w:val="center"/>
            <w:hideMark/>
          </w:tcPr>
          <w:p w14:paraId="2F8A838E"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noWrap/>
            <w:vAlign w:val="center"/>
            <w:hideMark/>
          </w:tcPr>
          <w:p w14:paraId="6FE5B6B3"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noWrap/>
            <w:vAlign w:val="center"/>
            <w:hideMark/>
          </w:tcPr>
          <w:p w14:paraId="5A9EE23E"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52958048" w14:textId="77777777" w:rsidTr="008123FC">
        <w:trPr>
          <w:trHeight w:val="86"/>
          <w:jc w:val="right"/>
        </w:trPr>
        <w:tc>
          <w:tcPr>
            <w:tcW w:w="284" w:type="dxa"/>
            <w:noWrap/>
            <w:vAlign w:val="center"/>
            <w:hideMark/>
          </w:tcPr>
          <w:p w14:paraId="4FBDA8EF"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3A06CB17" w14:textId="77777777" w:rsidR="00100696" w:rsidRPr="007647EB" w:rsidRDefault="00100696" w:rsidP="008123FC">
            <w:pPr>
              <w:spacing w:before="40" w:after="40"/>
              <w:rPr>
                <w:sz w:val="18"/>
                <w:szCs w:val="18"/>
              </w:rPr>
            </w:pPr>
            <w:r w:rsidRPr="007647EB">
              <w:rPr>
                <w:color w:val="000000"/>
                <w:sz w:val="18"/>
                <w:szCs w:val="18"/>
              </w:rPr>
              <w:t>5.5. Activités scientifiques et techniques transversales</w:t>
            </w:r>
          </w:p>
        </w:tc>
        <w:tc>
          <w:tcPr>
            <w:tcW w:w="1275" w:type="dxa"/>
            <w:noWrap/>
            <w:vAlign w:val="center"/>
            <w:hideMark/>
          </w:tcPr>
          <w:p w14:paraId="31AA0B45" w14:textId="77777777" w:rsidR="00100696" w:rsidRPr="007647EB" w:rsidRDefault="00100696" w:rsidP="008123FC">
            <w:pPr>
              <w:spacing w:before="40" w:after="40"/>
              <w:jc w:val="right"/>
              <w:rPr>
                <w:sz w:val="18"/>
                <w:szCs w:val="18"/>
              </w:rPr>
            </w:pPr>
          </w:p>
        </w:tc>
        <w:tc>
          <w:tcPr>
            <w:tcW w:w="1134" w:type="dxa"/>
            <w:noWrap/>
            <w:vAlign w:val="center"/>
            <w:hideMark/>
          </w:tcPr>
          <w:p w14:paraId="637F2EB4" w14:textId="77777777" w:rsidR="00100696" w:rsidRPr="007647EB" w:rsidRDefault="00100696" w:rsidP="008123FC">
            <w:pPr>
              <w:spacing w:before="40" w:after="40"/>
              <w:jc w:val="right"/>
              <w:rPr>
                <w:sz w:val="18"/>
                <w:szCs w:val="18"/>
              </w:rPr>
            </w:pPr>
          </w:p>
        </w:tc>
        <w:tc>
          <w:tcPr>
            <w:tcW w:w="1276" w:type="dxa"/>
            <w:noWrap/>
            <w:vAlign w:val="center"/>
            <w:hideMark/>
          </w:tcPr>
          <w:p w14:paraId="212FAB06" w14:textId="77777777" w:rsidR="00100696" w:rsidRPr="007647EB" w:rsidRDefault="00100696" w:rsidP="008123FC">
            <w:pPr>
              <w:spacing w:before="40" w:after="40"/>
              <w:jc w:val="right"/>
              <w:rPr>
                <w:sz w:val="18"/>
                <w:szCs w:val="18"/>
              </w:rPr>
            </w:pPr>
          </w:p>
        </w:tc>
        <w:tc>
          <w:tcPr>
            <w:tcW w:w="1134" w:type="dxa"/>
            <w:noWrap/>
            <w:vAlign w:val="center"/>
            <w:hideMark/>
          </w:tcPr>
          <w:p w14:paraId="3CC0D3C8" w14:textId="77777777" w:rsidR="00100696" w:rsidRPr="007647EB" w:rsidRDefault="00100696" w:rsidP="008123FC">
            <w:pPr>
              <w:spacing w:before="40" w:after="40"/>
              <w:jc w:val="right"/>
              <w:rPr>
                <w:sz w:val="18"/>
                <w:szCs w:val="18"/>
              </w:rPr>
            </w:pPr>
            <w:r w:rsidRPr="007647EB">
              <w:rPr>
                <w:color w:val="000000"/>
                <w:sz w:val="18"/>
                <w:szCs w:val="18"/>
              </w:rPr>
              <w:t>570 000</w:t>
            </w:r>
          </w:p>
        </w:tc>
        <w:tc>
          <w:tcPr>
            <w:tcW w:w="1134" w:type="dxa"/>
            <w:noWrap/>
            <w:vAlign w:val="center"/>
            <w:hideMark/>
          </w:tcPr>
          <w:p w14:paraId="4C8967E3" w14:textId="77777777" w:rsidR="00100696" w:rsidRPr="007647EB" w:rsidRDefault="00100696" w:rsidP="008123FC">
            <w:pPr>
              <w:spacing w:before="40" w:after="40"/>
              <w:jc w:val="right"/>
              <w:rPr>
                <w:sz w:val="18"/>
                <w:szCs w:val="18"/>
              </w:rPr>
            </w:pPr>
            <w:r w:rsidRPr="007647EB">
              <w:rPr>
                <w:color w:val="000000"/>
                <w:sz w:val="18"/>
                <w:szCs w:val="18"/>
              </w:rPr>
              <w:t>400 000</w:t>
            </w:r>
          </w:p>
        </w:tc>
        <w:tc>
          <w:tcPr>
            <w:tcW w:w="1245" w:type="dxa"/>
            <w:noWrap/>
            <w:vAlign w:val="center"/>
            <w:hideMark/>
          </w:tcPr>
          <w:p w14:paraId="4E634D33" w14:textId="77777777" w:rsidR="00100696" w:rsidRPr="007647EB" w:rsidRDefault="00100696" w:rsidP="008123FC">
            <w:pPr>
              <w:spacing w:before="40" w:after="40"/>
              <w:jc w:val="right"/>
              <w:rPr>
                <w:sz w:val="18"/>
                <w:szCs w:val="18"/>
              </w:rPr>
            </w:pPr>
            <w:r w:rsidRPr="007647EB">
              <w:rPr>
                <w:color w:val="000000"/>
                <w:sz w:val="18"/>
                <w:szCs w:val="18"/>
              </w:rPr>
              <w:t>970 000</w:t>
            </w:r>
          </w:p>
        </w:tc>
      </w:tr>
      <w:tr w:rsidR="00100696" w:rsidRPr="007647EB" w14:paraId="2F9EF87C" w14:textId="77777777" w:rsidTr="008123FC">
        <w:trPr>
          <w:trHeight w:val="114"/>
          <w:jc w:val="right"/>
        </w:trPr>
        <w:tc>
          <w:tcPr>
            <w:tcW w:w="7230" w:type="dxa"/>
            <w:gridSpan w:val="2"/>
            <w:shd w:val="clear" w:color="000000" w:fill="B4C6E7"/>
            <w:noWrap/>
            <w:vAlign w:val="center"/>
            <w:hideMark/>
          </w:tcPr>
          <w:p w14:paraId="4C67336E" w14:textId="77777777" w:rsidR="00100696" w:rsidRPr="007647EB" w:rsidRDefault="00100696" w:rsidP="008123FC">
            <w:pPr>
              <w:spacing w:before="40" w:after="40"/>
              <w:rPr>
                <w:b/>
                <w:bCs/>
                <w:sz w:val="18"/>
                <w:szCs w:val="18"/>
              </w:rPr>
            </w:pPr>
            <w:r w:rsidRPr="007647EB">
              <w:rPr>
                <w:b/>
                <w:bCs/>
                <w:color w:val="000000"/>
                <w:sz w:val="18"/>
                <w:szCs w:val="18"/>
              </w:rPr>
              <w:t>5.</w:t>
            </w:r>
            <w:r w:rsidRPr="007647EB">
              <w:rPr>
                <w:color w:val="000000"/>
                <w:sz w:val="18"/>
                <w:szCs w:val="18"/>
              </w:rPr>
              <w:t xml:space="preserve"> </w:t>
            </w:r>
            <w:r w:rsidRPr="007647EB">
              <w:rPr>
                <w:b/>
                <w:bCs/>
                <w:color w:val="000000"/>
                <w:sz w:val="18"/>
                <w:szCs w:val="18"/>
              </w:rPr>
              <w:t>Appui scientifique aux Parties à la Convention de Minamata</w:t>
            </w:r>
          </w:p>
        </w:tc>
        <w:tc>
          <w:tcPr>
            <w:tcW w:w="1275" w:type="dxa"/>
            <w:shd w:val="clear" w:color="000000" w:fill="B4C6E7"/>
            <w:noWrap/>
            <w:vAlign w:val="center"/>
            <w:hideMark/>
          </w:tcPr>
          <w:p w14:paraId="2E2CE4AB"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0B4D4892" w14:textId="77777777" w:rsidR="00100696" w:rsidRPr="007647EB" w:rsidRDefault="00100696" w:rsidP="008123FC">
            <w:pPr>
              <w:spacing w:before="40" w:after="40"/>
              <w:jc w:val="right"/>
              <w:rPr>
                <w:b/>
                <w:bCs/>
                <w:sz w:val="18"/>
                <w:szCs w:val="18"/>
              </w:rPr>
            </w:pPr>
          </w:p>
        </w:tc>
        <w:tc>
          <w:tcPr>
            <w:tcW w:w="1276" w:type="dxa"/>
            <w:shd w:val="clear" w:color="000000" w:fill="B4C6E7"/>
            <w:noWrap/>
            <w:vAlign w:val="center"/>
            <w:hideMark/>
          </w:tcPr>
          <w:p w14:paraId="2EE5B15A"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3CD198E5" w14:textId="77777777" w:rsidR="00100696" w:rsidRPr="007647EB" w:rsidRDefault="00100696" w:rsidP="008123FC">
            <w:pPr>
              <w:spacing w:before="40" w:after="40"/>
              <w:jc w:val="right"/>
              <w:rPr>
                <w:b/>
                <w:bCs/>
                <w:sz w:val="18"/>
                <w:szCs w:val="18"/>
              </w:rPr>
            </w:pPr>
            <w:r w:rsidRPr="007647EB">
              <w:rPr>
                <w:b/>
                <w:bCs/>
                <w:color w:val="000000"/>
                <w:sz w:val="18"/>
                <w:szCs w:val="18"/>
              </w:rPr>
              <w:t>795 000</w:t>
            </w:r>
          </w:p>
        </w:tc>
        <w:tc>
          <w:tcPr>
            <w:tcW w:w="1134" w:type="dxa"/>
            <w:shd w:val="clear" w:color="000000" w:fill="B4C6E7"/>
            <w:noWrap/>
            <w:vAlign w:val="center"/>
            <w:hideMark/>
          </w:tcPr>
          <w:p w14:paraId="4FE362CE" w14:textId="77777777" w:rsidR="00100696" w:rsidRPr="007647EB" w:rsidRDefault="00100696" w:rsidP="008123FC">
            <w:pPr>
              <w:spacing w:before="40" w:after="40"/>
              <w:jc w:val="right"/>
              <w:rPr>
                <w:b/>
                <w:bCs/>
                <w:sz w:val="18"/>
                <w:szCs w:val="18"/>
              </w:rPr>
            </w:pPr>
            <w:r w:rsidRPr="007647EB">
              <w:rPr>
                <w:b/>
                <w:bCs/>
                <w:color w:val="000000"/>
                <w:sz w:val="18"/>
                <w:szCs w:val="18"/>
              </w:rPr>
              <w:t>625 000</w:t>
            </w:r>
          </w:p>
        </w:tc>
        <w:tc>
          <w:tcPr>
            <w:tcW w:w="1245" w:type="dxa"/>
            <w:shd w:val="clear" w:color="000000" w:fill="B4C6E7"/>
            <w:noWrap/>
            <w:vAlign w:val="center"/>
            <w:hideMark/>
          </w:tcPr>
          <w:p w14:paraId="61525BF7" w14:textId="77777777" w:rsidR="00100696" w:rsidRPr="007647EB" w:rsidRDefault="00100696" w:rsidP="008123FC">
            <w:pPr>
              <w:spacing w:before="40" w:after="40"/>
              <w:jc w:val="right"/>
              <w:rPr>
                <w:b/>
                <w:bCs/>
                <w:sz w:val="18"/>
                <w:szCs w:val="18"/>
              </w:rPr>
            </w:pPr>
            <w:r w:rsidRPr="007647EB">
              <w:rPr>
                <w:b/>
                <w:bCs/>
                <w:color w:val="000000"/>
                <w:sz w:val="18"/>
                <w:szCs w:val="18"/>
              </w:rPr>
              <w:t>1 420 000</w:t>
            </w:r>
          </w:p>
        </w:tc>
      </w:tr>
      <w:tr w:rsidR="00100696" w:rsidRPr="007647EB" w14:paraId="7D310D6C" w14:textId="77777777" w:rsidTr="008123FC">
        <w:trPr>
          <w:trHeight w:val="103"/>
          <w:jc w:val="right"/>
        </w:trPr>
        <w:tc>
          <w:tcPr>
            <w:tcW w:w="7230" w:type="dxa"/>
            <w:gridSpan w:val="2"/>
            <w:noWrap/>
            <w:vAlign w:val="center"/>
            <w:hideMark/>
          </w:tcPr>
          <w:p w14:paraId="00AF7A27" w14:textId="0D5441D7" w:rsidR="00100696" w:rsidRPr="007647EB" w:rsidRDefault="00100696" w:rsidP="008123FC">
            <w:pPr>
              <w:spacing w:before="40" w:after="40"/>
              <w:rPr>
                <w:b/>
                <w:bCs/>
                <w:sz w:val="18"/>
                <w:szCs w:val="18"/>
              </w:rPr>
            </w:pPr>
            <w:r w:rsidRPr="007647EB">
              <w:rPr>
                <w:b/>
                <w:bCs/>
                <w:color w:val="000000"/>
                <w:sz w:val="18"/>
                <w:szCs w:val="18"/>
              </w:rPr>
              <w:t>6.</w:t>
            </w:r>
            <w:r w:rsidRPr="007647EB">
              <w:rPr>
                <w:color w:val="000000"/>
                <w:sz w:val="18"/>
                <w:szCs w:val="18"/>
              </w:rPr>
              <w:t xml:space="preserve"> </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w:t>
            </w:r>
            <w:r w:rsidRPr="007647EB">
              <w:rPr>
                <w:color w:val="000000"/>
                <w:sz w:val="18"/>
                <w:szCs w:val="18"/>
              </w:rPr>
              <w:t xml:space="preserve"> </w:t>
            </w:r>
          </w:p>
        </w:tc>
        <w:tc>
          <w:tcPr>
            <w:tcW w:w="1275" w:type="dxa"/>
            <w:noWrap/>
            <w:vAlign w:val="center"/>
            <w:hideMark/>
          </w:tcPr>
          <w:p w14:paraId="66EDDA1F" w14:textId="77777777" w:rsidR="00100696" w:rsidRPr="007647EB" w:rsidRDefault="00100696" w:rsidP="008123FC">
            <w:pPr>
              <w:spacing w:before="40" w:after="40"/>
              <w:jc w:val="right"/>
              <w:rPr>
                <w:b/>
                <w:bCs/>
                <w:sz w:val="18"/>
                <w:szCs w:val="18"/>
              </w:rPr>
            </w:pPr>
          </w:p>
        </w:tc>
        <w:tc>
          <w:tcPr>
            <w:tcW w:w="1134" w:type="dxa"/>
            <w:noWrap/>
            <w:vAlign w:val="center"/>
            <w:hideMark/>
          </w:tcPr>
          <w:p w14:paraId="4DD5BAB1" w14:textId="77777777" w:rsidR="00100696" w:rsidRPr="007647EB" w:rsidRDefault="00100696" w:rsidP="008123FC">
            <w:pPr>
              <w:spacing w:before="40" w:after="40"/>
              <w:jc w:val="right"/>
              <w:rPr>
                <w:b/>
                <w:bCs/>
                <w:sz w:val="18"/>
                <w:szCs w:val="18"/>
              </w:rPr>
            </w:pPr>
          </w:p>
        </w:tc>
        <w:tc>
          <w:tcPr>
            <w:tcW w:w="1276" w:type="dxa"/>
            <w:noWrap/>
            <w:vAlign w:val="center"/>
            <w:hideMark/>
          </w:tcPr>
          <w:p w14:paraId="1B67FF08" w14:textId="77777777" w:rsidR="00100696" w:rsidRPr="007647EB" w:rsidRDefault="00100696" w:rsidP="008123FC">
            <w:pPr>
              <w:spacing w:before="40" w:after="40"/>
              <w:jc w:val="right"/>
              <w:rPr>
                <w:b/>
                <w:bCs/>
                <w:sz w:val="18"/>
                <w:szCs w:val="18"/>
              </w:rPr>
            </w:pPr>
          </w:p>
        </w:tc>
        <w:tc>
          <w:tcPr>
            <w:tcW w:w="1134" w:type="dxa"/>
            <w:noWrap/>
            <w:vAlign w:val="center"/>
            <w:hideMark/>
          </w:tcPr>
          <w:p w14:paraId="7FAF8A81" w14:textId="77777777" w:rsidR="00100696" w:rsidRPr="007647EB" w:rsidRDefault="00100696" w:rsidP="008123FC">
            <w:pPr>
              <w:spacing w:before="40" w:after="40"/>
              <w:jc w:val="right"/>
              <w:rPr>
                <w:b/>
                <w:bCs/>
                <w:sz w:val="18"/>
                <w:szCs w:val="18"/>
              </w:rPr>
            </w:pPr>
          </w:p>
        </w:tc>
        <w:tc>
          <w:tcPr>
            <w:tcW w:w="1134" w:type="dxa"/>
            <w:noWrap/>
            <w:vAlign w:val="center"/>
            <w:hideMark/>
          </w:tcPr>
          <w:p w14:paraId="0C616456" w14:textId="77777777" w:rsidR="00100696" w:rsidRPr="007647EB" w:rsidRDefault="00100696" w:rsidP="008123FC">
            <w:pPr>
              <w:spacing w:before="40" w:after="40"/>
              <w:jc w:val="right"/>
              <w:rPr>
                <w:b/>
                <w:bCs/>
                <w:sz w:val="18"/>
                <w:szCs w:val="18"/>
              </w:rPr>
            </w:pPr>
          </w:p>
        </w:tc>
        <w:tc>
          <w:tcPr>
            <w:tcW w:w="1245" w:type="dxa"/>
            <w:noWrap/>
            <w:vAlign w:val="center"/>
            <w:hideMark/>
          </w:tcPr>
          <w:p w14:paraId="0F52F942" w14:textId="77777777" w:rsidR="00100696" w:rsidRPr="007647EB" w:rsidRDefault="00100696" w:rsidP="008123FC">
            <w:pPr>
              <w:spacing w:before="40" w:after="40"/>
              <w:jc w:val="right"/>
              <w:rPr>
                <w:b/>
                <w:bCs/>
                <w:sz w:val="18"/>
                <w:szCs w:val="18"/>
              </w:rPr>
            </w:pPr>
          </w:p>
        </w:tc>
      </w:tr>
      <w:tr w:rsidR="00100696" w:rsidRPr="007647EB" w14:paraId="5A6505CE" w14:textId="77777777" w:rsidTr="008123FC">
        <w:trPr>
          <w:trHeight w:val="52"/>
          <w:jc w:val="right"/>
        </w:trPr>
        <w:tc>
          <w:tcPr>
            <w:tcW w:w="284" w:type="dxa"/>
            <w:noWrap/>
            <w:vAlign w:val="center"/>
            <w:hideMark/>
          </w:tcPr>
          <w:p w14:paraId="5DDCEE21" w14:textId="77777777" w:rsidR="00100696" w:rsidRPr="007647EB" w:rsidRDefault="00100696" w:rsidP="008123FC">
            <w:pPr>
              <w:spacing w:before="40" w:after="40"/>
              <w:jc w:val="right"/>
              <w:rPr>
                <w:sz w:val="18"/>
                <w:szCs w:val="18"/>
              </w:rPr>
            </w:pPr>
            <w:r w:rsidRPr="007647EB">
              <w:rPr>
                <w:color w:val="000000"/>
                <w:sz w:val="18"/>
                <w:szCs w:val="18"/>
              </w:rPr>
              <w:t> </w:t>
            </w:r>
          </w:p>
        </w:tc>
        <w:tc>
          <w:tcPr>
            <w:tcW w:w="6946" w:type="dxa"/>
            <w:noWrap/>
            <w:vAlign w:val="center"/>
            <w:hideMark/>
          </w:tcPr>
          <w:p w14:paraId="7FA8589A" w14:textId="0D403F5C" w:rsidR="00100696" w:rsidRPr="007647EB" w:rsidRDefault="00100696" w:rsidP="008123FC">
            <w:pPr>
              <w:spacing w:before="40" w:after="40"/>
              <w:rPr>
                <w:sz w:val="18"/>
                <w:szCs w:val="18"/>
              </w:rPr>
            </w:pPr>
            <w:r w:rsidRPr="007647EB">
              <w:rPr>
                <w:color w:val="000000"/>
                <w:sz w:val="18"/>
                <w:szCs w:val="18"/>
              </w:rPr>
              <w:t>6.1. Groupe de l</w:t>
            </w:r>
            <w:r w:rsidR="00D82E47" w:rsidRPr="007647EB">
              <w:rPr>
                <w:color w:val="000000"/>
                <w:sz w:val="18"/>
                <w:szCs w:val="18"/>
              </w:rPr>
              <w:t>’</w:t>
            </w:r>
            <w:r w:rsidRPr="007647EB">
              <w:rPr>
                <w:color w:val="000000"/>
                <w:sz w:val="18"/>
                <w:szCs w:val="18"/>
              </w:rPr>
              <w:t>évaluation de l</w:t>
            </w:r>
            <w:r w:rsidR="00D82E47" w:rsidRPr="007647EB">
              <w:rPr>
                <w:color w:val="000000"/>
                <w:sz w:val="18"/>
                <w:szCs w:val="18"/>
              </w:rPr>
              <w:t>’</w:t>
            </w:r>
            <w:r w:rsidRPr="007647EB">
              <w:rPr>
                <w:color w:val="000000"/>
                <w:sz w:val="18"/>
                <w:szCs w:val="18"/>
              </w:rPr>
              <w:t>efficacité</w:t>
            </w:r>
          </w:p>
        </w:tc>
        <w:tc>
          <w:tcPr>
            <w:tcW w:w="1275" w:type="dxa"/>
            <w:noWrap/>
            <w:vAlign w:val="center"/>
            <w:hideMark/>
          </w:tcPr>
          <w:p w14:paraId="785C0C5F" w14:textId="77777777" w:rsidR="00100696" w:rsidRPr="007647EB" w:rsidRDefault="00100696" w:rsidP="008123FC">
            <w:pPr>
              <w:spacing w:before="40" w:after="40"/>
              <w:jc w:val="right"/>
              <w:rPr>
                <w:sz w:val="18"/>
                <w:szCs w:val="18"/>
              </w:rPr>
            </w:pPr>
            <w:r w:rsidRPr="007647EB">
              <w:rPr>
                <w:color w:val="000000"/>
                <w:sz w:val="18"/>
                <w:szCs w:val="18"/>
              </w:rPr>
              <w:t>110 000</w:t>
            </w:r>
          </w:p>
        </w:tc>
        <w:tc>
          <w:tcPr>
            <w:tcW w:w="1134" w:type="dxa"/>
            <w:noWrap/>
            <w:vAlign w:val="center"/>
            <w:hideMark/>
          </w:tcPr>
          <w:p w14:paraId="7E537F3C" w14:textId="77777777" w:rsidR="00100696" w:rsidRPr="007647EB" w:rsidRDefault="00100696" w:rsidP="008123FC">
            <w:pPr>
              <w:spacing w:before="40" w:after="40"/>
              <w:jc w:val="right"/>
              <w:rPr>
                <w:sz w:val="18"/>
                <w:szCs w:val="18"/>
              </w:rPr>
            </w:pPr>
          </w:p>
        </w:tc>
        <w:tc>
          <w:tcPr>
            <w:tcW w:w="1276" w:type="dxa"/>
            <w:noWrap/>
            <w:vAlign w:val="center"/>
            <w:hideMark/>
          </w:tcPr>
          <w:p w14:paraId="64452232" w14:textId="77777777" w:rsidR="00100696" w:rsidRPr="007647EB" w:rsidRDefault="00100696" w:rsidP="008123FC">
            <w:pPr>
              <w:spacing w:before="40" w:after="40"/>
              <w:jc w:val="right"/>
              <w:rPr>
                <w:sz w:val="18"/>
                <w:szCs w:val="18"/>
              </w:rPr>
            </w:pPr>
            <w:r w:rsidRPr="007647EB">
              <w:rPr>
                <w:color w:val="000000"/>
                <w:sz w:val="18"/>
                <w:szCs w:val="18"/>
              </w:rPr>
              <w:t>110 000</w:t>
            </w:r>
          </w:p>
        </w:tc>
        <w:tc>
          <w:tcPr>
            <w:tcW w:w="1134" w:type="dxa"/>
            <w:noWrap/>
            <w:vAlign w:val="center"/>
            <w:hideMark/>
          </w:tcPr>
          <w:p w14:paraId="4B3DCCAD" w14:textId="77777777" w:rsidR="00100696" w:rsidRPr="007647EB" w:rsidRDefault="00100696" w:rsidP="008123FC">
            <w:pPr>
              <w:spacing w:before="40" w:after="40"/>
              <w:jc w:val="right"/>
              <w:rPr>
                <w:sz w:val="18"/>
                <w:szCs w:val="18"/>
              </w:rPr>
            </w:pPr>
          </w:p>
        </w:tc>
        <w:tc>
          <w:tcPr>
            <w:tcW w:w="1134" w:type="dxa"/>
            <w:noWrap/>
            <w:vAlign w:val="center"/>
            <w:hideMark/>
          </w:tcPr>
          <w:p w14:paraId="1CE1F3FF" w14:textId="77777777" w:rsidR="00100696" w:rsidRPr="007647EB" w:rsidRDefault="00100696" w:rsidP="008123FC">
            <w:pPr>
              <w:spacing w:before="40" w:after="40"/>
              <w:jc w:val="right"/>
              <w:rPr>
                <w:sz w:val="18"/>
                <w:szCs w:val="18"/>
              </w:rPr>
            </w:pPr>
          </w:p>
        </w:tc>
        <w:tc>
          <w:tcPr>
            <w:tcW w:w="1245" w:type="dxa"/>
            <w:noWrap/>
            <w:vAlign w:val="center"/>
            <w:hideMark/>
          </w:tcPr>
          <w:p w14:paraId="235A4DBD" w14:textId="77777777" w:rsidR="00100696" w:rsidRPr="007647EB" w:rsidRDefault="00100696" w:rsidP="008123FC">
            <w:pPr>
              <w:spacing w:before="40" w:after="40"/>
              <w:jc w:val="right"/>
              <w:rPr>
                <w:sz w:val="18"/>
                <w:szCs w:val="18"/>
              </w:rPr>
            </w:pPr>
          </w:p>
        </w:tc>
      </w:tr>
      <w:tr w:rsidR="00100696" w:rsidRPr="007647EB" w14:paraId="52404763" w14:textId="77777777" w:rsidTr="008123FC">
        <w:trPr>
          <w:trHeight w:val="315"/>
          <w:jc w:val="right"/>
        </w:trPr>
        <w:tc>
          <w:tcPr>
            <w:tcW w:w="284" w:type="dxa"/>
            <w:tcBorders>
              <w:top w:val="nil"/>
            </w:tcBorders>
            <w:noWrap/>
            <w:vAlign w:val="center"/>
            <w:hideMark/>
          </w:tcPr>
          <w:p w14:paraId="709C87E0" w14:textId="77777777" w:rsidR="00100696" w:rsidRPr="007647EB" w:rsidRDefault="00100696" w:rsidP="008123FC">
            <w:pPr>
              <w:spacing w:before="40" w:after="40"/>
              <w:jc w:val="right"/>
              <w:rPr>
                <w:sz w:val="18"/>
                <w:szCs w:val="18"/>
              </w:rPr>
            </w:pPr>
            <w:r w:rsidRPr="007647EB">
              <w:rPr>
                <w:color w:val="000000"/>
                <w:sz w:val="18"/>
                <w:szCs w:val="18"/>
              </w:rPr>
              <w:t> </w:t>
            </w:r>
          </w:p>
        </w:tc>
        <w:tc>
          <w:tcPr>
            <w:tcW w:w="6946" w:type="dxa"/>
            <w:tcBorders>
              <w:top w:val="nil"/>
            </w:tcBorders>
            <w:noWrap/>
            <w:vAlign w:val="center"/>
            <w:hideMark/>
          </w:tcPr>
          <w:p w14:paraId="401586A0" w14:textId="07A1AD07" w:rsidR="00100696" w:rsidRPr="007647EB" w:rsidRDefault="00100696" w:rsidP="008123FC">
            <w:pPr>
              <w:spacing w:before="40" w:after="40"/>
              <w:rPr>
                <w:sz w:val="18"/>
                <w:szCs w:val="18"/>
              </w:rPr>
            </w:pPr>
            <w:r w:rsidRPr="007647EB">
              <w:rPr>
                <w:color w:val="000000"/>
                <w:sz w:val="18"/>
                <w:szCs w:val="18"/>
              </w:rPr>
              <w:t>6.2. Autres travaux et rapports préparatoires à l</w:t>
            </w:r>
            <w:r w:rsidR="00D82E47" w:rsidRPr="007647EB">
              <w:rPr>
                <w:color w:val="000000"/>
                <w:sz w:val="18"/>
                <w:szCs w:val="18"/>
              </w:rPr>
              <w:t>’</w:t>
            </w:r>
            <w:r w:rsidRPr="007647EB">
              <w:rPr>
                <w:color w:val="000000"/>
                <w:sz w:val="18"/>
                <w:szCs w:val="18"/>
              </w:rPr>
              <w:t>appui de l</w:t>
            </w:r>
            <w:r w:rsidR="00D82E47" w:rsidRPr="007647EB">
              <w:rPr>
                <w:color w:val="000000"/>
                <w:sz w:val="18"/>
                <w:szCs w:val="18"/>
              </w:rPr>
              <w:t>’</w:t>
            </w:r>
            <w:r w:rsidRPr="007647EB">
              <w:rPr>
                <w:color w:val="000000"/>
                <w:sz w:val="18"/>
                <w:szCs w:val="18"/>
              </w:rPr>
              <w:t>évaluation de l</w:t>
            </w:r>
            <w:r w:rsidR="00D82E47" w:rsidRPr="007647EB">
              <w:rPr>
                <w:color w:val="000000"/>
                <w:sz w:val="18"/>
                <w:szCs w:val="18"/>
              </w:rPr>
              <w:t>’</w:t>
            </w:r>
            <w:r w:rsidRPr="007647EB">
              <w:rPr>
                <w:color w:val="000000"/>
                <w:sz w:val="18"/>
                <w:szCs w:val="18"/>
              </w:rPr>
              <w:t>efficacité</w:t>
            </w:r>
          </w:p>
        </w:tc>
        <w:tc>
          <w:tcPr>
            <w:tcW w:w="1275" w:type="dxa"/>
            <w:tcBorders>
              <w:top w:val="nil"/>
            </w:tcBorders>
            <w:noWrap/>
            <w:vAlign w:val="center"/>
            <w:hideMark/>
          </w:tcPr>
          <w:p w14:paraId="14DA717C"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1B404EDB"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0D1DF2DD"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50FAD0D1"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129B52C"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8182B41" w14:textId="77777777" w:rsidR="00100696" w:rsidRPr="007647EB" w:rsidRDefault="00100696" w:rsidP="008123FC">
            <w:pPr>
              <w:spacing w:before="40" w:after="40"/>
              <w:jc w:val="right"/>
              <w:rPr>
                <w:sz w:val="18"/>
                <w:szCs w:val="18"/>
              </w:rPr>
            </w:pPr>
          </w:p>
        </w:tc>
      </w:tr>
      <w:tr w:rsidR="00100696" w:rsidRPr="007647EB" w14:paraId="1DC56E9D" w14:textId="77777777" w:rsidTr="008123FC">
        <w:trPr>
          <w:trHeight w:val="52"/>
          <w:jc w:val="right"/>
        </w:trPr>
        <w:tc>
          <w:tcPr>
            <w:tcW w:w="7230" w:type="dxa"/>
            <w:gridSpan w:val="2"/>
            <w:shd w:val="clear" w:color="000000" w:fill="B4C6E7"/>
            <w:noWrap/>
            <w:vAlign w:val="center"/>
            <w:hideMark/>
          </w:tcPr>
          <w:p w14:paraId="06FF74AA" w14:textId="6755C510" w:rsidR="00100696" w:rsidRPr="007647EB" w:rsidRDefault="00100696" w:rsidP="008123FC">
            <w:pPr>
              <w:spacing w:before="40" w:after="40"/>
              <w:rPr>
                <w:b/>
                <w:bCs/>
                <w:sz w:val="18"/>
                <w:szCs w:val="18"/>
              </w:rPr>
            </w:pPr>
            <w:r w:rsidRPr="007647EB">
              <w:rPr>
                <w:b/>
                <w:bCs/>
                <w:color w:val="000000"/>
                <w:sz w:val="18"/>
                <w:szCs w:val="18"/>
              </w:rPr>
              <w:t>6.</w:t>
            </w:r>
            <w:r w:rsidRPr="007647EB">
              <w:rPr>
                <w:color w:val="000000"/>
                <w:sz w:val="18"/>
                <w:szCs w:val="18"/>
              </w:rPr>
              <w:t xml:space="preserve"> </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w:t>
            </w:r>
          </w:p>
        </w:tc>
        <w:tc>
          <w:tcPr>
            <w:tcW w:w="1275" w:type="dxa"/>
            <w:shd w:val="clear" w:color="000000" w:fill="B4C6E7"/>
            <w:noWrap/>
            <w:vAlign w:val="center"/>
            <w:hideMark/>
          </w:tcPr>
          <w:p w14:paraId="112B4D1E" w14:textId="77777777" w:rsidR="00100696" w:rsidRPr="007647EB" w:rsidRDefault="00100696" w:rsidP="008123FC">
            <w:pPr>
              <w:spacing w:before="40" w:after="40"/>
              <w:jc w:val="right"/>
              <w:rPr>
                <w:b/>
                <w:bCs/>
                <w:sz w:val="18"/>
                <w:szCs w:val="18"/>
              </w:rPr>
            </w:pPr>
            <w:r w:rsidRPr="007647EB">
              <w:rPr>
                <w:b/>
                <w:bCs/>
                <w:color w:val="000000"/>
                <w:sz w:val="18"/>
                <w:szCs w:val="18"/>
              </w:rPr>
              <w:t>110 000</w:t>
            </w:r>
          </w:p>
        </w:tc>
        <w:tc>
          <w:tcPr>
            <w:tcW w:w="1134" w:type="dxa"/>
            <w:shd w:val="clear" w:color="000000" w:fill="B4C6E7"/>
            <w:noWrap/>
            <w:vAlign w:val="center"/>
            <w:hideMark/>
          </w:tcPr>
          <w:p w14:paraId="453A2395" w14:textId="77777777" w:rsidR="00100696" w:rsidRPr="007647EB" w:rsidRDefault="00100696" w:rsidP="008123FC">
            <w:pPr>
              <w:spacing w:before="40" w:after="40"/>
              <w:jc w:val="right"/>
              <w:rPr>
                <w:b/>
                <w:bCs/>
                <w:sz w:val="18"/>
                <w:szCs w:val="18"/>
              </w:rPr>
            </w:pPr>
          </w:p>
        </w:tc>
        <w:tc>
          <w:tcPr>
            <w:tcW w:w="1276" w:type="dxa"/>
            <w:shd w:val="clear" w:color="000000" w:fill="B4C6E7"/>
            <w:noWrap/>
            <w:vAlign w:val="center"/>
            <w:hideMark/>
          </w:tcPr>
          <w:p w14:paraId="6273E0FF" w14:textId="77777777" w:rsidR="00100696" w:rsidRPr="007647EB" w:rsidRDefault="00100696" w:rsidP="008123FC">
            <w:pPr>
              <w:spacing w:before="40" w:after="40"/>
              <w:jc w:val="right"/>
              <w:rPr>
                <w:b/>
                <w:bCs/>
                <w:sz w:val="18"/>
                <w:szCs w:val="18"/>
              </w:rPr>
            </w:pPr>
            <w:r w:rsidRPr="007647EB">
              <w:rPr>
                <w:b/>
                <w:bCs/>
                <w:color w:val="000000"/>
                <w:sz w:val="18"/>
                <w:szCs w:val="18"/>
              </w:rPr>
              <w:t>110 000</w:t>
            </w:r>
          </w:p>
        </w:tc>
        <w:tc>
          <w:tcPr>
            <w:tcW w:w="1134" w:type="dxa"/>
            <w:shd w:val="clear" w:color="000000" w:fill="B4C6E7"/>
            <w:noWrap/>
            <w:vAlign w:val="center"/>
            <w:hideMark/>
          </w:tcPr>
          <w:p w14:paraId="128B769F"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0B527F64"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76EDD9B2" w14:textId="77777777" w:rsidR="00100696" w:rsidRPr="007647EB" w:rsidRDefault="00100696" w:rsidP="008123FC">
            <w:pPr>
              <w:spacing w:before="40" w:after="40"/>
              <w:jc w:val="right"/>
              <w:rPr>
                <w:b/>
                <w:bCs/>
                <w:sz w:val="18"/>
                <w:szCs w:val="18"/>
              </w:rPr>
            </w:pPr>
          </w:p>
        </w:tc>
      </w:tr>
      <w:tr w:rsidR="00100696" w:rsidRPr="007647EB" w14:paraId="75E528A9" w14:textId="77777777" w:rsidTr="008123FC">
        <w:trPr>
          <w:trHeight w:val="52"/>
          <w:jc w:val="right"/>
        </w:trPr>
        <w:tc>
          <w:tcPr>
            <w:tcW w:w="7230" w:type="dxa"/>
            <w:gridSpan w:val="2"/>
            <w:noWrap/>
            <w:vAlign w:val="center"/>
            <w:hideMark/>
          </w:tcPr>
          <w:p w14:paraId="3A3134B5" w14:textId="77777777" w:rsidR="00100696" w:rsidRPr="007647EB" w:rsidRDefault="00100696" w:rsidP="008123FC">
            <w:pPr>
              <w:spacing w:before="40" w:after="40"/>
              <w:rPr>
                <w:b/>
                <w:bCs/>
                <w:sz w:val="18"/>
                <w:szCs w:val="18"/>
              </w:rPr>
            </w:pPr>
            <w:r w:rsidRPr="007647EB">
              <w:rPr>
                <w:b/>
                <w:bCs/>
                <w:color w:val="000000"/>
                <w:sz w:val="18"/>
                <w:szCs w:val="18"/>
              </w:rPr>
              <w:t>7.</w:t>
            </w:r>
            <w:r w:rsidRPr="007647EB">
              <w:rPr>
                <w:color w:val="000000"/>
                <w:sz w:val="18"/>
                <w:szCs w:val="18"/>
              </w:rPr>
              <w:t xml:space="preserve"> </w:t>
            </w:r>
            <w:r w:rsidRPr="007647EB">
              <w:rPr>
                <w:b/>
                <w:bCs/>
                <w:color w:val="000000"/>
                <w:sz w:val="18"/>
                <w:szCs w:val="18"/>
              </w:rPr>
              <w:t>Rapports nationaux au titre de la Convention de Minamata</w:t>
            </w:r>
          </w:p>
        </w:tc>
        <w:tc>
          <w:tcPr>
            <w:tcW w:w="1275" w:type="dxa"/>
            <w:noWrap/>
            <w:vAlign w:val="center"/>
            <w:hideMark/>
          </w:tcPr>
          <w:p w14:paraId="0CBFDC06" w14:textId="77777777" w:rsidR="00100696" w:rsidRPr="007647EB" w:rsidRDefault="00100696" w:rsidP="008123FC">
            <w:pPr>
              <w:spacing w:before="40" w:after="40"/>
              <w:jc w:val="right"/>
              <w:rPr>
                <w:b/>
                <w:bCs/>
                <w:sz w:val="18"/>
                <w:szCs w:val="18"/>
              </w:rPr>
            </w:pPr>
          </w:p>
        </w:tc>
        <w:tc>
          <w:tcPr>
            <w:tcW w:w="1134" w:type="dxa"/>
            <w:noWrap/>
            <w:vAlign w:val="center"/>
            <w:hideMark/>
          </w:tcPr>
          <w:p w14:paraId="3768849B" w14:textId="77777777" w:rsidR="00100696" w:rsidRPr="007647EB" w:rsidRDefault="00100696" w:rsidP="008123FC">
            <w:pPr>
              <w:spacing w:before="40" w:after="40"/>
              <w:jc w:val="right"/>
              <w:rPr>
                <w:b/>
                <w:bCs/>
                <w:sz w:val="18"/>
                <w:szCs w:val="18"/>
              </w:rPr>
            </w:pPr>
          </w:p>
        </w:tc>
        <w:tc>
          <w:tcPr>
            <w:tcW w:w="1276" w:type="dxa"/>
            <w:noWrap/>
            <w:vAlign w:val="center"/>
            <w:hideMark/>
          </w:tcPr>
          <w:p w14:paraId="3FB41184" w14:textId="77777777" w:rsidR="00100696" w:rsidRPr="007647EB" w:rsidRDefault="00100696" w:rsidP="008123FC">
            <w:pPr>
              <w:spacing w:before="40" w:after="40"/>
              <w:jc w:val="right"/>
              <w:rPr>
                <w:b/>
                <w:bCs/>
                <w:sz w:val="18"/>
                <w:szCs w:val="18"/>
              </w:rPr>
            </w:pPr>
          </w:p>
        </w:tc>
        <w:tc>
          <w:tcPr>
            <w:tcW w:w="1134" w:type="dxa"/>
            <w:noWrap/>
            <w:vAlign w:val="center"/>
            <w:hideMark/>
          </w:tcPr>
          <w:p w14:paraId="7A10BB4F" w14:textId="77777777" w:rsidR="00100696" w:rsidRPr="007647EB" w:rsidRDefault="00100696" w:rsidP="008123FC">
            <w:pPr>
              <w:spacing w:before="40" w:after="40"/>
              <w:jc w:val="right"/>
              <w:rPr>
                <w:b/>
                <w:bCs/>
                <w:sz w:val="18"/>
                <w:szCs w:val="18"/>
              </w:rPr>
            </w:pPr>
          </w:p>
        </w:tc>
        <w:tc>
          <w:tcPr>
            <w:tcW w:w="1134" w:type="dxa"/>
            <w:noWrap/>
            <w:vAlign w:val="center"/>
            <w:hideMark/>
          </w:tcPr>
          <w:p w14:paraId="6EEEB50A" w14:textId="77777777" w:rsidR="00100696" w:rsidRPr="007647EB" w:rsidRDefault="00100696" w:rsidP="008123FC">
            <w:pPr>
              <w:spacing w:before="40" w:after="40"/>
              <w:jc w:val="right"/>
              <w:rPr>
                <w:b/>
                <w:bCs/>
                <w:sz w:val="18"/>
                <w:szCs w:val="18"/>
              </w:rPr>
            </w:pPr>
          </w:p>
        </w:tc>
        <w:tc>
          <w:tcPr>
            <w:tcW w:w="1245" w:type="dxa"/>
            <w:noWrap/>
            <w:vAlign w:val="center"/>
            <w:hideMark/>
          </w:tcPr>
          <w:p w14:paraId="56A43DD6" w14:textId="77777777" w:rsidR="00100696" w:rsidRPr="007647EB" w:rsidRDefault="00100696" w:rsidP="008123FC">
            <w:pPr>
              <w:spacing w:before="40" w:after="40"/>
              <w:jc w:val="right"/>
              <w:rPr>
                <w:b/>
                <w:bCs/>
                <w:sz w:val="18"/>
                <w:szCs w:val="18"/>
              </w:rPr>
            </w:pPr>
          </w:p>
        </w:tc>
      </w:tr>
      <w:tr w:rsidR="00100696" w:rsidRPr="007647EB" w14:paraId="522B3117" w14:textId="77777777" w:rsidTr="008123FC">
        <w:trPr>
          <w:trHeight w:val="300"/>
          <w:jc w:val="right"/>
        </w:trPr>
        <w:tc>
          <w:tcPr>
            <w:tcW w:w="284" w:type="dxa"/>
            <w:tcBorders>
              <w:top w:val="nil"/>
            </w:tcBorders>
            <w:noWrap/>
            <w:vAlign w:val="center"/>
            <w:hideMark/>
          </w:tcPr>
          <w:p w14:paraId="7355C723"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3CC591B6" w14:textId="77777777" w:rsidR="00100696" w:rsidRPr="007647EB" w:rsidRDefault="00100696" w:rsidP="008123FC">
            <w:pPr>
              <w:spacing w:before="40" w:after="40"/>
              <w:rPr>
                <w:sz w:val="18"/>
                <w:szCs w:val="18"/>
              </w:rPr>
            </w:pPr>
            <w:r w:rsidRPr="007647EB">
              <w:rPr>
                <w:color w:val="000000"/>
                <w:sz w:val="18"/>
                <w:szCs w:val="18"/>
              </w:rPr>
              <w:t xml:space="preserve">7.1. Traitement et analyse des rapports nationaux </w:t>
            </w:r>
          </w:p>
        </w:tc>
        <w:tc>
          <w:tcPr>
            <w:tcW w:w="1275" w:type="dxa"/>
            <w:tcBorders>
              <w:top w:val="nil"/>
            </w:tcBorders>
            <w:noWrap/>
            <w:vAlign w:val="center"/>
            <w:hideMark/>
          </w:tcPr>
          <w:p w14:paraId="0273C0AC" w14:textId="77777777" w:rsidR="00100696" w:rsidRPr="007647EB" w:rsidRDefault="00100696" w:rsidP="008123FC">
            <w:pPr>
              <w:spacing w:before="40" w:after="40"/>
              <w:jc w:val="right"/>
              <w:rPr>
                <w:sz w:val="18"/>
                <w:szCs w:val="18"/>
              </w:rPr>
            </w:pPr>
            <w:r w:rsidRPr="007647EB">
              <w:rPr>
                <w:color w:val="000000"/>
                <w:sz w:val="18"/>
                <w:szCs w:val="18"/>
              </w:rPr>
              <w:t>25 000</w:t>
            </w:r>
          </w:p>
        </w:tc>
        <w:tc>
          <w:tcPr>
            <w:tcW w:w="1134" w:type="dxa"/>
            <w:tcBorders>
              <w:top w:val="nil"/>
            </w:tcBorders>
            <w:noWrap/>
            <w:vAlign w:val="center"/>
            <w:hideMark/>
          </w:tcPr>
          <w:p w14:paraId="2DB339E3"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4FC0842C" w14:textId="77777777" w:rsidR="00100696" w:rsidRPr="007647EB" w:rsidRDefault="00100696" w:rsidP="008123FC">
            <w:pPr>
              <w:spacing w:before="40" w:after="40"/>
              <w:jc w:val="right"/>
              <w:rPr>
                <w:sz w:val="18"/>
                <w:szCs w:val="18"/>
              </w:rPr>
            </w:pPr>
            <w:r w:rsidRPr="007647EB">
              <w:rPr>
                <w:color w:val="000000"/>
                <w:sz w:val="18"/>
                <w:szCs w:val="18"/>
              </w:rPr>
              <w:t>25 000</w:t>
            </w:r>
          </w:p>
        </w:tc>
        <w:tc>
          <w:tcPr>
            <w:tcW w:w="1134" w:type="dxa"/>
            <w:tcBorders>
              <w:top w:val="nil"/>
            </w:tcBorders>
            <w:noWrap/>
            <w:vAlign w:val="center"/>
            <w:hideMark/>
          </w:tcPr>
          <w:p w14:paraId="279B5A23"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DDDB581"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0D88BF9A" w14:textId="77777777" w:rsidR="00100696" w:rsidRPr="007647EB" w:rsidRDefault="00100696" w:rsidP="008123FC">
            <w:pPr>
              <w:spacing w:before="40" w:after="40"/>
              <w:jc w:val="right"/>
              <w:rPr>
                <w:sz w:val="18"/>
                <w:szCs w:val="18"/>
              </w:rPr>
            </w:pPr>
          </w:p>
        </w:tc>
      </w:tr>
      <w:tr w:rsidR="00100696" w:rsidRPr="007647EB" w14:paraId="157041BA" w14:textId="77777777" w:rsidTr="008123FC">
        <w:trPr>
          <w:trHeight w:val="300"/>
          <w:jc w:val="right"/>
        </w:trPr>
        <w:tc>
          <w:tcPr>
            <w:tcW w:w="284" w:type="dxa"/>
            <w:tcBorders>
              <w:top w:val="nil"/>
            </w:tcBorders>
            <w:noWrap/>
            <w:vAlign w:val="center"/>
            <w:hideMark/>
          </w:tcPr>
          <w:p w14:paraId="5E071765"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511967F0" w14:textId="77777777" w:rsidR="00100696" w:rsidRPr="007647EB" w:rsidRDefault="00100696" w:rsidP="008123FC">
            <w:pPr>
              <w:spacing w:before="40" w:after="40"/>
              <w:rPr>
                <w:sz w:val="18"/>
                <w:szCs w:val="18"/>
              </w:rPr>
            </w:pPr>
            <w:r w:rsidRPr="007647EB">
              <w:rPr>
                <w:color w:val="000000"/>
                <w:sz w:val="18"/>
                <w:szCs w:val="18"/>
              </w:rPr>
              <w:t xml:space="preserve">7.2. Gestion continue des informations contenues dans les rapports nationaux </w:t>
            </w:r>
          </w:p>
        </w:tc>
        <w:tc>
          <w:tcPr>
            <w:tcW w:w="1275" w:type="dxa"/>
            <w:tcBorders>
              <w:top w:val="nil"/>
            </w:tcBorders>
            <w:noWrap/>
            <w:vAlign w:val="center"/>
            <w:hideMark/>
          </w:tcPr>
          <w:p w14:paraId="56B551C1"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tcBorders>
              <w:top w:val="nil"/>
            </w:tcBorders>
            <w:noWrap/>
            <w:vAlign w:val="center"/>
            <w:hideMark/>
          </w:tcPr>
          <w:p w14:paraId="050E44B7"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0F6ECDAA"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tcBorders>
              <w:top w:val="nil"/>
            </w:tcBorders>
            <w:noWrap/>
            <w:vAlign w:val="center"/>
            <w:hideMark/>
          </w:tcPr>
          <w:p w14:paraId="28D4BA8A"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4051A6D"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52D3765A" w14:textId="77777777" w:rsidR="00100696" w:rsidRPr="007647EB" w:rsidRDefault="00100696" w:rsidP="008123FC">
            <w:pPr>
              <w:spacing w:before="40" w:after="40"/>
              <w:jc w:val="right"/>
              <w:rPr>
                <w:sz w:val="18"/>
                <w:szCs w:val="18"/>
              </w:rPr>
            </w:pPr>
          </w:p>
        </w:tc>
      </w:tr>
      <w:tr w:rsidR="00100696" w:rsidRPr="007647EB" w14:paraId="5449E3AD" w14:textId="77777777" w:rsidTr="008123FC">
        <w:trPr>
          <w:trHeight w:val="315"/>
          <w:jc w:val="right"/>
        </w:trPr>
        <w:tc>
          <w:tcPr>
            <w:tcW w:w="284" w:type="dxa"/>
            <w:tcBorders>
              <w:top w:val="nil"/>
            </w:tcBorders>
            <w:noWrap/>
            <w:vAlign w:val="center"/>
            <w:hideMark/>
          </w:tcPr>
          <w:p w14:paraId="0E9626AF"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3156BE33" w14:textId="277592EE" w:rsidR="00100696" w:rsidRPr="007647EB" w:rsidRDefault="00100696" w:rsidP="008123FC">
            <w:pPr>
              <w:spacing w:before="40" w:after="40"/>
              <w:rPr>
                <w:sz w:val="18"/>
                <w:szCs w:val="18"/>
              </w:rPr>
            </w:pPr>
            <w:r w:rsidRPr="007647EB">
              <w:rPr>
                <w:color w:val="000000"/>
                <w:sz w:val="18"/>
                <w:szCs w:val="18"/>
              </w:rPr>
              <w:t>7.3. Renforcement des capacités des Parties en matière d</w:t>
            </w:r>
            <w:r w:rsidR="00D82E47" w:rsidRPr="007647EB">
              <w:rPr>
                <w:color w:val="000000"/>
                <w:sz w:val="18"/>
                <w:szCs w:val="18"/>
              </w:rPr>
              <w:t>’</w:t>
            </w:r>
            <w:r w:rsidRPr="007647EB">
              <w:rPr>
                <w:color w:val="000000"/>
                <w:sz w:val="18"/>
                <w:szCs w:val="18"/>
              </w:rPr>
              <w:t>établissement des rapports nationaux</w:t>
            </w:r>
          </w:p>
        </w:tc>
        <w:tc>
          <w:tcPr>
            <w:tcW w:w="1275" w:type="dxa"/>
            <w:tcBorders>
              <w:top w:val="nil"/>
            </w:tcBorders>
            <w:noWrap/>
            <w:vAlign w:val="center"/>
            <w:hideMark/>
          </w:tcPr>
          <w:p w14:paraId="67CB6DF6" w14:textId="77777777" w:rsidR="00100696" w:rsidRPr="007647EB" w:rsidRDefault="00100696" w:rsidP="008123FC">
            <w:pPr>
              <w:spacing w:before="40" w:after="40"/>
              <w:jc w:val="right"/>
              <w:rPr>
                <w:sz w:val="18"/>
                <w:szCs w:val="18"/>
              </w:rPr>
            </w:pPr>
            <w:r w:rsidRPr="007647EB">
              <w:rPr>
                <w:color w:val="000000"/>
                <w:sz w:val="18"/>
                <w:szCs w:val="18"/>
              </w:rPr>
              <w:t>16 000</w:t>
            </w:r>
          </w:p>
        </w:tc>
        <w:tc>
          <w:tcPr>
            <w:tcW w:w="1134" w:type="dxa"/>
            <w:tcBorders>
              <w:top w:val="nil"/>
            </w:tcBorders>
            <w:noWrap/>
            <w:vAlign w:val="center"/>
            <w:hideMark/>
          </w:tcPr>
          <w:p w14:paraId="0246627E"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613D335E" w14:textId="77777777" w:rsidR="00100696" w:rsidRPr="007647EB" w:rsidRDefault="00100696" w:rsidP="008123FC">
            <w:pPr>
              <w:spacing w:before="40" w:after="40"/>
              <w:jc w:val="right"/>
              <w:rPr>
                <w:sz w:val="18"/>
                <w:szCs w:val="18"/>
              </w:rPr>
            </w:pPr>
            <w:r w:rsidRPr="007647EB">
              <w:rPr>
                <w:color w:val="000000"/>
                <w:sz w:val="18"/>
                <w:szCs w:val="18"/>
              </w:rPr>
              <w:t>16 000</w:t>
            </w:r>
          </w:p>
        </w:tc>
        <w:tc>
          <w:tcPr>
            <w:tcW w:w="1134" w:type="dxa"/>
            <w:tcBorders>
              <w:top w:val="nil"/>
            </w:tcBorders>
            <w:noWrap/>
            <w:vAlign w:val="center"/>
            <w:hideMark/>
          </w:tcPr>
          <w:p w14:paraId="03E894D1"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CA1BD1E" w14:textId="77777777" w:rsidR="00100696" w:rsidRPr="007647EB" w:rsidRDefault="00100696" w:rsidP="008123FC">
            <w:pPr>
              <w:spacing w:before="40" w:after="40"/>
              <w:jc w:val="right"/>
              <w:rPr>
                <w:sz w:val="18"/>
                <w:szCs w:val="18"/>
              </w:rPr>
            </w:pPr>
            <w:r w:rsidRPr="007647EB">
              <w:rPr>
                <w:color w:val="000000"/>
                <w:sz w:val="18"/>
                <w:szCs w:val="18"/>
              </w:rPr>
              <w:t>12 000</w:t>
            </w:r>
          </w:p>
        </w:tc>
        <w:tc>
          <w:tcPr>
            <w:tcW w:w="1245" w:type="dxa"/>
            <w:tcBorders>
              <w:top w:val="nil"/>
            </w:tcBorders>
            <w:noWrap/>
            <w:vAlign w:val="center"/>
            <w:hideMark/>
          </w:tcPr>
          <w:p w14:paraId="33E0DB4D" w14:textId="77777777" w:rsidR="00100696" w:rsidRPr="007647EB" w:rsidRDefault="00100696" w:rsidP="008123FC">
            <w:pPr>
              <w:spacing w:before="40" w:after="40"/>
              <w:jc w:val="right"/>
              <w:rPr>
                <w:sz w:val="18"/>
                <w:szCs w:val="18"/>
              </w:rPr>
            </w:pPr>
            <w:r w:rsidRPr="007647EB">
              <w:rPr>
                <w:color w:val="000000"/>
                <w:sz w:val="18"/>
                <w:szCs w:val="18"/>
              </w:rPr>
              <w:t>12 000</w:t>
            </w:r>
          </w:p>
        </w:tc>
      </w:tr>
      <w:tr w:rsidR="00100696" w:rsidRPr="007647EB" w14:paraId="367185F2" w14:textId="77777777" w:rsidTr="008123FC">
        <w:trPr>
          <w:trHeight w:val="52"/>
          <w:jc w:val="right"/>
        </w:trPr>
        <w:tc>
          <w:tcPr>
            <w:tcW w:w="7230" w:type="dxa"/>
            <w:gridSpan w:val="2"/>
            <w:tcBorders>
              <w:bottom w:val="single" w:sz="4" w:space="0" w:color="auto"/>
            </w:tcBorders>
            <w:shd w:val="clear" w:color="000000" w:fill="B4C6E7"/>
            <w:noWrap/>
            <w:vAlign w:val="center"/>
            <w:hideMark/>
          </w:tcPr>
          <w:p w14:paraId="31B0415C" w14:textId="77777777" w:rsidR="00100696" w:rsidRPr="007647EB" w:rsidRDefault="00100696" w:rsidP="008123FC">
            <w:pPr>
              <w:spacing w:before="40" w:after="40"/>
              <w:rPr>
                <w:b/>
                <w:bCs/>
                <w:sz w:val="18"/>
                <w:szCs w:val="18"/>
              </w:rPr>
            </w:pPr>
            <w:r w:rsidRPr="007647EB">
              <w:rPr>
                <w:b/>
                <w:bCs/>
                <w:color w:val="000000"/>
                <w:sz w:val="18"/>
                <w:szCs w:val="18"/>
              </w:rPr>
              <w:t>7.</w:t>
            </w:r>
            <w:r w:rsidRPr="007647EB">
              <w:rPr>
                <w:color w:val="000000"/>
                <w:sz w:val="18"/>
                <w:szCs w:val="18"/>
              </w:rPr>
              <w:t xml:space="preserve"> </w:t>
            </w:r>
            <w:r w:rsidRPr="007647EB">
              <w:rPr>
                <w:b/>
                <w:bCs/>
                <w:color w:val="000000"/>
                <w:sz w:val="18"/>
                <w:szCs w:val="18"/>
              </w:rPr>
              <w:t>Rapports nationaux au titre de la Convention de Minamata</w:t>
            </w:r>
          </w:p>
        </w:tc>
        <w:tc>
          <w:tcPr>
            <w:tcW w:w="1275" w:type="dxa"/>
            <w:tcBorders>
              <w:bottom w:val="single" w:sz="4" w:space="0" w:color="auto"/>
            </w:tcBorders>
            <w:shd w:val="clear" w:color="000000" w:fill="B4C6E7"/>
            <w:noWrap/>
            <w:vAlign w:val="center"/>
            <w:hideMark/>
          </w:tcPr>
          <w:p w14:paraId="51C83446" w14:textId="77777777" w:rsidR="00100696" w:rsidRPr="007647EB" w:rsidRDefault="00100696" w:rsidP="008123FC">
            <w:pPr>
              <w:spacing w:before="40" w:after="40"/>
              <w:jc w:val="right"/>
              <w:rPr>
                <w:b/>
                <w:bCs/>
                <w:sz w:val="18"/>
                <w:szCs w:val="18"/>
              </w:rPr>
            </w:pPr>
            <w:r w:rsidRPr="007647EB">
              <w:rPr>
                <w:b/>
                <w:bCs/>
                <w:color w:val="000000"/>
                <w:sz w:val="18"/>
                <w:szCs w:val="18"/>
              </w:rPr>
              <w:t>71 000</w:t>
            </w:r>
          </w:p>
        </w:tc>
        <w:tc>
          <w:tcPr>
            <w:tcW w:w="1134" w:type="dxa"/>
            <w:tcBorders>
              <w:bottom w:val="single" w:sz="4" w:space="0" w:color="auto"/>
            </w:tcBorders>
            <w:shd w:val="clear" w:color="000000" w:fill="B4C6E7"/>
            <w:noWrap/>
            <w:vAlign w:val="center"/>
            <w:hideMark/>
          </w:tcPr>
          <w:p w14:paraId="088A30B5"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387B49F9" w14:textId="77777777" w:rsidR="00100696" w:rsidRPr="007647EB" w:rsidRDefault="00100696" w:rsidP="008123FC">
            <w:pPr>
              <w:spacing w:before="40" w:after="40"/>
              <w:jc w:val="right"/>
              <w:rPr>
                <w:b/>
                <w:bCs/>
                <w:sz w:val="18"/>
                <w:szCs w:val="18"/>
              </w:rPr>
            </w:pPr>
            <w:r w:rsidRPr="007647EB">
              <w:rPr>
                <w:b/>
                <w:bCs/>
                <w:color w:val="000000"/>
                <w:sz w:val="18"/>
                <w:szCs w:val="18"/>
              </w:rPr>
              <w:t>71 000</w:t>
            </w:r>
          </w:p>
        </w:tc>
        <w:tc>
          <w:tcPr>
            <w:tcW w:w="1134" w:type="dxa"/>
            <w:tcBorders>
              <w:bottom w:val="single" w:sz="4" w:space="0" w:color="auto"/>
            </w:tcBorders>
            <w:shd w:val="clear" w:color="000000" w:fill="B4C6E7"/>
            <w:noWrap/>
            <w:vAlign w:val="center"/>
            <w:hideMark/>
          </w:tcPr>
          <w:p w14:paraId="6CD1B477"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44051F5C"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c>
          <w:tcPr>
            <w:tcW w:w="1245" w:type="dxa"/>
            <w:tcBorders>
              <w:bottom w:val="single" w:sz="4" w:space="0" w:color="auto"/>
            </w:tcBorders>
            <w:shd w:val="clear" w:color="000000" w:fill="B4C6E7"/>
            <w:noWrap/>
            <w:vAlign w:val="center"/>
            <w:hideMark/>
          </w:tcPr>
          <w:p w14:paraId="1390D614" w14:textId="77777777" w:rsidR="00100696" w:rsidRPr="007647EB" w:rsidRDefault="00100696" w:rsidP="008123FC">
            <w:pPr>
              <w:spacing w:before="40" w:after="40"/>
              <w:jc w:val="right"/>
              <w:rPr>
                <w:b/>
                <w:bCs/>
                <w:sz w:val="18"/>
                <w:szCs w:val="18"/>
              </w:rPr>
            </w:pPr>
            <w:r w:rsidRPr="007647EB">
              <w:rPr>
                <w:b/>
                <w:bCs/>
                <w:color w:val="000000"/>
                <w:sz w:val="18"/>
                <w:szCs w:val="18"/>
              </w:rPr>
              <w:t>12 000</w:t>
            </w:r>
          </w:p>
        </w:tc>
      </w:tr>
      <w:tr w:rsidR="00100696" w:rsidRPr="007647EB" w14:paraId="6D5B2DD7"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C2C7619"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(C)</w:t>
            </w:r>
          </w:p>
        </w:tc>
        <w:tc>
          <w:tcPr>
            <w:tcW w:w="1275" w:type="dxa"/>
            <w:tcBorders>
              <w:top w:val="single" w:sz="4" w:space="0" w:color="auto"/>
              <w:bottom w:val="single" w:sz="4" w:space="0" w:color="auto"/>
            </w:tcBorders>
            <w:shd w:val="clear" w:color="000000" w:fill="DBB731"/>
            <w:noWrap/>
            <w:vAlign w:val="center"/>
            <w:hideMark/>
          </w:tcPr>
          <w:p w14:paraId="10BB671D" w14:textId="77777777" w:rsidR="00100696" w:rsidRPr="007647EB" w:rsidRDefault="00100696" w:rsidP="008123FC">
            <w:pPr>
              <w:spacing w:before="40" w:after="40"/>
              <w:jc w:val="right"/>
              <w:rPr>
                <w:b/>
                <w:bCs/>
                <w:sz w:val="18"/>
                <w:szCs w:val="18"/>
              </w:rPr>
            </w:pPr>
            <w:r w:rsidRPr="007647EB">
              <w:rPr>
                <w:b/>
                <w:bCs/>
                <w:color w:val="000000"/>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006F88B3" w14:textId="77777777" w:rsidR="00100696" w:rsidRPr="007647EB" w:rsidRDefault="00100696" w:rsidP="008123FC">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51DBE13D" w14:textId="77777777" w:rsidR="00100696" w:rsidRPr="007647EB" w:rsidRDefault="00100696" w:rsidP="008123FC">
            <w:pPr>
              <w:spacing w:before="40" w:after="40"/>
              <w:jc w:val="right"/>
              <w:rPr>
                <w:b/>
                <w:bCs/>
                <w:sz w:val="18"/>
                <w:szCs w:val="18"/>
              </w:rPr>
            </w:pPr>
            <w:r w:rsidRPr="007647EB">
              <w:rPr>
                <w:b/>
                <w:bCs/>
                <w:color w:val="000000"/>
                <w:sz w:val="18"/>
                <w:szCs w:val="18"/>
              </w:rPr>
              <w:t>181 000</w:t>
            </w:r>
          </w:p>
        </w:tc>
        <w:tc>
          <w:tcPr>
            <w:tcW w:w="1134" w:type="dxa"/>
            <w:tcBorders>
              <w:top w:val="single" w:sz="4" w:space="0" w:color="auto"/>
              <w:bottom w:val="single" w:sz="4" w:space="0" w:color="auto"/>
            </w:tcBorders>
            <w:shd w:val="clear" w:color="000000" w:fill="DBB731"/>
            <w:noWrap/>
            <w:vAlign w:val="center"/>
            <w:hideMark/>
          </w:tcPr>
          <w:p w14:paraId="7B5CD36C" w14:textId="77777777" w:rsidR="00100696" w:rsidRPr="007647EB" w:rsidRDefault="00100696" w:rsidP="008123FC">
            <w:pPr>
              <w:spacing w:before="40" w:after="40"/>
              <w:jc w:val="right"/>
              <w:rPr>
                <w:b/>
                <w:bCs/>
                <w:sz w:val="18"/>
                <w:szCs w:val="18"/>
              </w:rPr>
            </w:pPr>
            <w:r w:rsidRPr="007647EB">
              <w:rPr>
                <w:b/>
                <w:bCs/>
                <w:color w:val="000000"/>
                <w:sz w:val="18"/>
                <w:szCs w:val="18"/>
              </w:rPr>
              <w:t>795 000</w:t>
            </w:r>
          </w:p>
        </w:tc>
        <w:tc>
          <w:tcPr>
            <w:tcW w:w="1134" w:type="dxa"/>
            <w:tcBorders>
              <w:top w:val="single" w:sz="4" w:space="0" w:color="auto"/>
              <w:bottom w:val="single" w:sz="4" w:space="0" w:color="auto"/>
            </w:tcBorders>
            <w:shd w:val="clear" w:color="000000" w:fill="DBB731"/>
            <w:noWrap/>
            <w:vAlign w:val="center"/>
            <w:hideMark/>
          </w:tcPr>
          <w:p w14:paraId="3327E1FA" w14:textId="77777777" w:rsidR="00100696" w:rsidRPr="007647EB" w:rsidRDefault="00100696" w:rsidP="008123FC">
            <w:pPr>
              <w:spacing w:before="40" w:after="40"/>
              <w:jc w:val="right"/>
              <w:rPr>
                <w:b/>
                <w:bCs/>
                <w:sz w:val="18"/>
                <w:szCs w:val="18"/>
              </w:rPr>
            </w:pPr>
            <w:r w:rsidRPr="007647EB">
              <w:rPr>
                <w:b/>
                <w:bCs/>
                <w:color w:val="000000"/>
                <w:sz w:val="18"/>
                <w:szCs w:val="18"/>
              </w:rPr>
              <w:t>637 000</w:t>
            </w:r>
          </w:p>
        </w:tc>
        <w:tc>
          <w:tcPr>
            <w:tcW w:w="1245" w:type="dxa"/>
            <w:tcBorders>
              <w:top w:val="single" w:sz="4" w:space="0" w:color="auto"/>
              <w:bottom w:val="single" w:sz="4" w:space="0" w:color="auto"/>
            </w:tcBorders>
            <w:shd w:val="clear" w:color="000000" w:fill="DBB731"/>
            <w:noWrap/>
            <w:vAlign w:val="center"/>
            <w:hideMark/>
          </w:tcPr>
          <w:p w14:paraId="1C150485" w14:textId="77777777" w:rsidR="00100696" w:rsidRPr="007647EB" w:rsidRDefault="00100696" w:rsidP="008123FC">
            <w:pPr>
              <w:spacing w:before="40" w:after="40"/>
              <w:jc w:val="right"/>
              <w:rPr>
                <w:b/>
                <w:bCs/>
                <w:sz w:val="18"/>
                <w:szCs w:val="18"/>
              </w:rPr>
            </w:pPr>
            <w:r w:rsidRPr="007647EB">
              <w:rPr>
                <w:b/>
                <w:bCs/>
                <w:color w:val="000000"/>
                <w:sz w:val="18"/>
                <w:szCs w:val="18"/>
              </w:rPr>
              <w:t>1 432 000</w:t>
            </w:r>
          </w:p>
        </w:tc>
      </w:tr>
      <w:tr w:rsidR="00100696" w:rsidRPr="007647EB" w14:paraId="28A928DF" w14:textId="77777777" w:rsidTr="008123FC">
        <w:trPr>
          <w:trHeight w:val="315"/>
          <w:jc w:val="right"/>
        </w:trPr>
        <w:tc>
          <w:tcPr>
            <w:tcW w:w="7230" w:type="dxa"/>
            <w:gridSpan w:val="2"/>
            <w:tcBorders>
              <w:top w:val="single" w:sz="4" w:space="0" w:color="auto"/>
            </w:tcBorders>
            <w:noWrap/>
            <w:vAlign w:val="center"/>
            <w:hideMark/>
          </w:tcPr>
          <w:p w14:paraId="5DFA94E7" w14:textId="633F2A9A" w:rsidR="00100696" w:rsidRPr="007647EB" w:rsidRDefault="00100696" w:rsidP="008123FC">
            <w:pPr>
              <w:spacing w:before="40" w:after="40"/>
              <w:rPr>
                <w:b/>
                <w:bCs/>
                <w:sz w:val="18"/>
                <w:szCs w:val="18"/>
              </w:rPr>
            </w:pPr>
            <w:r w:rsidRPr="007647EB">
              <w:rPr>
                <w:b/>
                <w:bCs/>
                <w:color w:val="000000"/>
                <w:sz w:val="18"/>
                <w:szCs w:val="18"/>
              </w:rPr>
              <w:t>D.</w:t>
            </w:r>
            <w:r w:rsidRPr="007647EB">
              <w:rPr>
                <w:color w:val="000000"/>
                <w:sz w:val="18"/>
                <w:szCs w:val="18"/>
              </w:rPr>
              <w:t xml:space="preserve"> </w:t>
            </w:r>
            <w:r w:rsidRPr="007647EB">
              <w:rPr>
                <w:b/>
                <w:bCs/>
                <w:color w:val="000000"/>
                <w:sz w:val="18"/>
                <w:szCs w:val="18"/>
              </w:rPr>
              <w:t>Gestion des connaissances et de l</w:t>
            </w:r>
            <w:r w:rsidR="00D82E47" w:rsidRPr="007647EB">
              <w:rPr>
                <w:b/>
                <w:bCs/>
                <w:color w:val="000000"/>
                <w:sz w:val="18"/>
                <w:szCs w:val="18"/>
              </w:rPr>
              <w:t>’</w:t>
            </w:r>
            <w:r w:rsidRPr="007647EB">
              <w:rPr>
                <w:b/>
                <w:bCs/>
                <w:color w:val="000000"/>
                <w:sz w:val="18"/>
                <w:szCs w:val="18"/>
              </w:rPr>
              <w:t>information et sensibilisation</w:t>
            </w:r>
            <w:r w:rsidRPr="007647EB">
              <w:rPr>
                <w:color w:val="000000"/>
                <w:sz w:val="18"/>
                <w:szCs w:val="18"/>
              </w:rPr>
              <w:t xml:space="preserve"> </w:t>
            </w:r>
          </w:p>
        </w:tc>
        <w:tc>
          <w:tcPr>
            <w:tcW w:w="1275" w:type="dxa"/>
            <w:tcBorders>
              <w:top w:val="single" w:sz="4" w:space="0" w:color="auto"/>
            </w:tcBorders>
            <w:noWrap/>
            <w:vAlign w:val="center"/>
            <w:hideMark/>
          </w:tcPr>
          <w:p w14:paraId="712F4F3C"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EFFB186"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724A3DEA"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25362ADA"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2A16B5F4"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444F136D" w14:textId="77777777" w:rsidR="00100696" w:rsidRPr="007647EB" w:rsidRDefault="00100696" w:rsidP="008123FC">
            <w:pPr>
              <w:spacing w:before="40" w:after="40"/>
              <w:jc w:val="right"/>
              <w:rPr>
                <w:b/>
                <w:bCs/>
                <w:sz w:val="18"/>
                <w:szCs w:val="18"/>
              </w:rPr>
            </w:pPr>
          </w:p>
        </w:tc>
      </w:tr>
      <w:tr w:rsidR="00100696" w:rsidRPr="007647EB" w14:paraId="408C4D67" w14:textId="77777777" w:rsidTr="008123FC">
        <w:trPr>
          <w:trHeight w:val="52"/>
          <w:jc w:val="right"/>
        </w:trPr>
        <w:tc>
          <w:tcPr>
            <w:tcW w:w="7230" w:type="dxa"/>
            <w:gridSpan w:val="2"/>
            <w:noWrap/>
            <w:vAlign w:val="center"/>
            <w:hideMark/>
          </w:tcPr>
          <w:p w14:paraId="7C91B88B" w14:textId="77777777" w:rsidR="00100696" w:rsidRPr="007647EB" w:rsidRDefault="00100696" w:rsidP="008123FC">
            <w:pPr>
              <w:spacing w:before="40" w:after="40"/>
              <w:rPr>
                <w:b/>
                <w:bCs/>
                <w:sz w:val="18"/>
                <w:szCs w:val="18"/>
              </w:rPr>
            </w:pPr>
            <w:r w:rsidRPr="007647EB">
              <w:rPr>
                <w:b/>
                <w:bCs/>
                <w:color w:val="000000"/>
                <w:sz w:val="18"/>
                <w:szCs w:val="18"/>
              </w:rPr>
              <w:t>8.</w:t>
            </w:r>
            <w:r w:rsidRPr="007647EB">
              <w:rPr>
                <w:color w:val="000000"/>
                <w:sz w:val="18"/>
                <w:szCs w:val="18"/>
              </w:rPr>
              <w:t xml:space="preserve"> </w:t>
            </w:r>
            <w:r w:rsidRPr="007647EB">
              <w:rPr>
                <w:b/>
                <w:bCs/>
                <w:color w:val="000000"/>
                <w:sz w:val="18"/>
                <w:szCs w:val="18"/>
              </w:rPr>
              <w:t>Publications</w:t>
            </w:r>
          </w:p>
        </w:tc>
        <w:tc>
          <w:tcPr>
            <w:tcW w:w="1275" w:type="dxa"/>
            <w:noWrap/>
            <w:vAlign w:val="center"/>
            <w:hideMark/>
          </w:tcPr>
          <w:p w14:paraId="7D619BE9" w14:textId="77777777" w:rsidR="00100696" w:rsidRPr="007647EB" w:rsidRDefault="00100696" w:rsidP="008123FC">
            <w:pPr>
              <w:spacing w:before="40" w:after="40"/>
              <w:jc w:val="right"/>
              <w:rPr>
                <w:b/>
                <w:bCs/>
                <w:sz w:val="18"/>
                <w:szCs w:val="18"/>
              </w:rPr>
            </w:pPr>
          </w:p>
        </w:tc>
        <w:tc>
          <w:tcPr>
            <w:tcW w:w="1134" w:type="dxa"/>
            <w:noWrap/>
            <w:vAlign w:val="center"/>
            <w:hideMark/>
          </w:tcPr>
          <w:p w14:paraId="24A73DBF" w14:textId="77777777" w:rsidR="00100696" w:rsidRPr="007647EB" w:rsidRDefault="00100696" w:rsidP="008123FC">
            <w:pPr>
              <w:spacing w:before="40" w:after="40"/>
              <w:jc w:val="right"/>
              <w:rPr>
                <w:b/>
                <w:bCs/>
                <w:sz w:val="18"/>
                <w:szCs w:val="18"/>
              </w:rPr>
            </w:pPr>
          </w:p>
        </w:tc>
        <w:tc>
          <w:tcPr>
            <w:tcW w:w="1276" w:type="dxa"/>
            <w:noWrap/>
            <w:vAlign w:val="center"/>
            <w:hideMark/>
          </w:tcPr>
          <w:p w14:paraId="3EF884DB" w14:textId="77777777" w:rsidR="00100696" w:rsidRPr="007647EB" w:rsidRDefault="00100696" w:rsidP="008123FC">
            <w:pPr>
              <w:spacing w:before="40" w:after="40"/>
              <w:jc w:val="right"/>
              <w:rPr>
                <w:sz w:val="18"/>
                <w:szCs w:val="18"/>
              </w:rPr>
            </w:pPr>
          </w:p>
        </w:tc>
        <w:tc>
          <w:tcPr>
            <w:tcW w:w="1134" w:type="dxa"/>
            <w:noWrap/>
            <w:vAlign w:val="center"/>
            <w:hideMark/>
          </w:tcPr>
          <w:p w14:paraId="5F0D8F70" w14:textId="77777777" w:rsidR="00100696" w:rsidRPr="007647EB" w:rsidRDefault="00100696" w:rsidP="008123FC">
            <w:pPr>
              <w:spacing w:before="40" w:after="40"/>
              <w:jc w:val="right"/>
              <w:rPr>
                <w:b/>
                <w:bCs/>
                <w:sz w:val="18"/>
                <w:szCs w:val="18"/>
              </w:rPr>
            </w:pPr>
          </w:p>
        </w:tc>
        <w:tc>
          <w:tcPr>
            <w:tcW w:w="1134" w:type="dxa"/>
            <w:noWrap/>
            <w:vAlign w:val="center"/>
            <w:hideMark/>
          </w:tcPr>
          <w:p w14:paraId="26449946" w14:textId="77777777" w:rsidR="00100696" w:rsidRPr="007647EB" w:rsidRDefault="00100696" w:rsidP="008123FC">
            <w:pPr>
              <w:spacing w:before="40" w:after="40"/>
              <w:jc w:val="right"/>
              <w:rPr>
                <w:b/>
                <w:bCs/>
                <w:sz w:val="18"/>
                <w:szCs w:val="18"/>
              </w:rPr>
            </w:pPr>
          </w:p>
        </w:tc>
        <w:tc>
          <w:tcPr>
            <w:tcW w:w="1245" w:type="dxa"/>
            <w:noWrap/>
            <w:vAlign w:val="center"/>
            <w:hideMark/>
          </w:tcPr>
          <w:p w14:paraId="30B8E740" w14:textId="77777777" w:rsidR="00100696" w:rsidRPr="007647EB" w:rsidRDefault="00100696" w:rsidP="008123FC">
            <w:pPr>
              <w:spacing w:before="40" w:after="40"/>
              <w:jc w:val="right"/>
              <w:rPr>
                <w:sz w:val="18"/>
                <w:szCs w:val="18"/>
              </w:rPr>
            </w:pPr>
          </w:p>
        </w:tc>
      </w:tr>
      <w:tr w:rsidR="00100696" w:rsidRPr="007647EB" w14:paraId="40E7C6DF" w14:textId="77777777" w:rsidTr="008123FC">
        <w:trPr>
          <w:trHeight w:val="52"/>
          <w:jc w:val="right"/>
        </w:trPr>
        <w:tc>
          <w:tcPr>
            <w:tcW w:w="284" w:type="dxa"/>
            <w:noWrap/>
            <w:vAlign w:val="center"/>
            <w:hideMark/>
          </w:tcPr>
          <w:p w14:paraId="61824960"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5E45C35C" w14:textId="77777777" w:rsidR="00100696" w:rsidRPr="007647EB" w:rsidRDefault="00100696" w:rsidP="008123FC">
            <w:pPr>
              <w:spacing w:before="40" w:after="40"/>
              <w:rPr>
                <w:sz w:val="18"/>
                <w:szCs w:val="18"/>
              </w:rPr>
            </w:pPr>
            <w:r w:rsidRPr="007647EB">
              <w:rPr>
                <w:color w:val="000000"/>
                <w:sz w:val="18"/>
                <w:szCs w:val="18"/>
              </w:rPr>
              <w:t>8.1. Publications</w:t>
            </w:r>
          </w:p>
        </w:tc>
        <w:tc>
          <w:tcPr>
            <w:tcW w:w="1275" w:type="dxa"/>
            <w:noWrap/>
            <w:vAlign w:val="center"/>
            <w:hideMark/>
          </w:tcPr>
          <w:p w14:paraId="3564984F" w14:textId="77777777" w:rsidR="00100696" w:rsidRPr="007647EB" w:rsidRDefault="00100696" w:rsidP="008123FC">
            <w:pPr>
              <w:spacing w:before="40" w:after="40"/>
              <w:jc w:val="right"/>
              <w:rPr>
                <w:sz w:val="18"/>
                <w:szCs w:val="18"/>
              </w:rPr>
            </w:pPr>
            <w:r w:rsidRPr="007647EB">
              <w:rPr>
                <w:color w:val="000000"/>
                <w:sz w:val="18"/>
                <w:szCs w:val="18"/>
              </w:rPr>
              <w:t>25 000</w:t>
            </w:r>
          </w:p>
        </w:tc>
        <w:tc>
          <w:tcPr>
            <w:tcW w:w="1134" w:type="dxa"/>
            <w:noWrap/>
            <w:vAlign w:val="center"/>
            <w:hideMark/>
          </w:tcPr>
          <w:p w14:paraId="6F33DA26" w14:textId="77777777" w:rsidR="00100696" w:rsidRPr="007647EB" w:rsidRDefault="00100696" w:rsidP="008123FC">
            <w:pPr>
              <w:spacing w:before="40" w:after="40"/>
              <w:jc w:val="right"/>
              <w:rPr>
                <w:sz w:val="18"/>
                <w:szCs w:val="18"/>
              </w:rPr>
            </w:pPr>
            <w:r w:rsidRPr="007647EB">
              <w:rPr>
                <w:color w:val="000000"/>
                <w:sz w:val="18"/>
                <w:szCs w:val="18"/>
              </w:rPr>
              <w:t>20 000</w:t>
            </w:r>
          </w:p>
        </w:tc>
        <w:tc>
          <w:tcPr>
            <w:tcW w:w="1276" w:type="dxa"/>
            <w:noWrap/>
            <w:vAlign w:val="center"/>
            <w:hideMark/>
          </w:tcPr>
          <w:p w14:paraId="3344E0A3" w14:textId="77777777" w:rsidR="00100696" w:rsidRPr="007647EB" w:rsidRDefault="00100696" w:rsidP="008123FC">
            <w:pPr>
              <w:spacing w:before="40" w:after="40"/>
              <w:jc w:val="right"/>
              <w:rPr>
                <w:sz w:val="18"/>
                <w:szCs w:val="18"/>
              </w:rPr>
            </w:pPr>
            <w:r w:rsidRPr="007647EB">
              <w:rPr>
                <w:color w:val="000000"/>
                <w:sz w:val="18"/>
                <w:szCs w:val="18"/>
              </w:rPr>
              <w:t>45 000</w:t>
            </w:r>
          </w:p>
        </w:tc>
        <w:tc>
          <w:tcPr>
            <w:tcW w:w="1134" w:type="dxa"/>
            <w:noWrap/>
            <w:vAlign w:val="center"/>
            <w:hideMark/>
          </w:tcPr>
          <w:p w14:paraId="746A985D" w14:textId="77777777" w:rsidR="00100696" w:rsidRPr="007647EB" w:rsidRDefault="00100696" w:rsidP="008123FC">
            <w:pPr>
              <w:spacing w:before="40" w:after="40"/>
              <w:jc w:val="right"/>
              <w:rPr>
                <w:sz w:val="18"/>
                <w:szCs w:val="18"/>
              </w:rPr>
            </w:pPr>
            <w:r w:rsidRPr="007647EB">
              <w:rPr>
                <w:color w:val="000000"/>
                <w:sz w:val="18"/>
                <w:szCs w:val="18"/>
              </w:rPr>
              <w:t>12 500</w:t>
            </w:r>
          </w:p>
        </w:tc>
        <w:tc>
          <w:tcPr>
            <w:tcW w:w="1134" w:type="dxa"/>
            <w:noWrap/>
            <w:vAlign w:val="center"/>
            <w:hideMark/>
          </w:tcPr>
          <w:p w14:paraId="38642F1B" w14:textId="77777777" w:rsidR="00100696" w:rsidRPr="007647EB" w:rsidRDefault="00100696" w:rsidP="008123FC">
            <w:pPr>
              <w:spacing w:before="40" w:after="40"/>
              <w:jc w:val="right"/>
              <w:rPr>
                <w:sz w:val="18"/>
                <w:szCs w:val="18"/>
              </w:rPr>
            </w:pPr>
            <w:r w:rsidRPr="007647EB">
              <w:rPr>
                <w:color w:val="000000"/>
                <w:sz w:val="18"/>
                <w:szCs w:val="18"/>
              </w:rPr>
              <w:t>12 500</w:t>
            </w:r>
          </w:p>
        </w:tc>
        <w:tc>
          <w:tcPr>
            <w:tcW w:w="1245" w:type="dxa"/>
            <w:noWrap/>
            <w:vAlign w:val="center"/>
            <w:hideMark/>
          </w:tcPr>
          <w:p w14:paraId="766FFA71" w14:textId="77777777" w:rsidR="00100696" w:rsidRPr="007647EB" w:rsidRDefault="00100696" w:rsidP="008123FC">
            <w:pPr>
              <w:spacing w:before="40" w:after="40"/>
              <w:jc w:val="right"/>
              <w:rPr>
                <w:sz w:val="18"/>
                <w:szCs w:val="18"/>
              </w:rPr>
            </w:pPr>
            <w:r w:rsidRPr="007647EB">
              <w:rPr>
                <w:color w:val="000000"/>
                <w:sz w:val="18"/>
                <w:szCs w:val="18"/>
              </w:rPr>
              <w:t>25 000</w:t>
            </w:r>
          </w:p>
        </w:tc>
      </w:tr>
      <w:tr w:rsidR="00100696" w:rsidRPr="007647EB" w14:paraId="12C9D2FD" w14:textId="77777777" w:rsidTr="008123FC">
        <w:trPr>
          <w:trHeight w:val="52"/>
          <w:jc w:val="right"/>
        </w:trPr>
        <w:tc>
          <w:tcPr>
            <w:tcW w:w="7230" w:type="dxa"/>
            <w:gridSpan w:val="2"/>
            <w:shd w:val="clear" w:color="000000" w:fill="B4C6E7"/>
            <w:noWrap/>
            <w:vAlign w:val="center"/>
            <w:hideMark/>
          </w:tcPr>
          <w:p w14:paraId="16C542BD" w14:textId="77777777" w:rsidR="00100696" w:rsidRPr="007647EB" w:rsidRDefault="00100696" w:rsidP="008123FC">
            <w:pPr>
              <w:spacing w:before="40" w:after="40"/>
              <w:rPr>
                <w:b/>
                <w:bCs/>
                <w:sz w:val="18"/>
                <w:szCs w:val="18"/>
              </w:rPr>
            </w:pPr>
            <w:r w:rsidRPr="007647EB">
              <w:rPr>
                <w:b/>
                <w:bCs/>
                <w:color w:val="000000"/>
                <w:sz w:val="18"/>
                <w:szCs w:val="18"/>
              </w:rPr>
              <w:t>8.</w:t>
            </w:r>
            <w:r w:rsidRPr="007647EB">
              <w:rPr>
                <w:color w:val="000000"/>
                <w:sz w:val="18"/>
                <w:szCs w:val="18"/>
              </w:rPr>
              <w:t xml:space="preserve"> </w:t>
            </w:r>
            <w:r w:rsidRPr="007647EB">
              <w:rPr>
                <w:b/>
                <w:bCs/>
                <w:color w:val="000000"/>
                <w:sz w:val="18"/>
                <w:szCs w:val="18"/>
              </w:rPr>
              <w:t>Publications</w:t>
            </w:r>
          </w:p>
        </w:tc>
        <w:tc>
          <w:tcPr>
            <w:tcW w:w="1275" w:type="dxa"/>
            <w:shd w:val="clear" w:color="000000" w:fill="B4C6E7"/>
            <w:noWrap/>
            <w:vAlign w:val="center"/>
            <w:hideMark/>
          </w:tcPr>
          <w:p w14:paraId="289E0B74" w14:textId="77777777" w:rsidR="00100696" w:rsidRPr="007647EB" w:rsidRDefault="00100696" w:rsidP="008123FC">
            <w:pPr>
              <w:spacing w:before="40" w:after="40"/>
              <w:jc w:val="right"/>
              <w:rPr>
                <w:b/>
                <w:bCs/>
                <w:sz w:val="18"/>
                <w:szCs w:val="18"/>
              </w:rPr>
            </w:pPr>
            <w:r w:rsidRPr="007647EB">
              <w:rPr>
                <w:b/>
                <w:bCs/>
                <w:color w:val="000000"/>
                <w:sz w:val="18"/>
                <w:szCs w:val="18"/>
              </w:rPr>
              <w:t>25 000</w:t>
            </w:r>
          </w:p>
        </w:tc>
        <w:tc>
          <w:tcPr>
            <w:tcW w:w="1134" w:type="dxa"/>
            <w:shd w:val="clear" w:color="000000" w:fill="B4C6E7"/>
            <w:noWrap/>
            <w:vAlign w:val="center"/>
            <w:hideMark/>
          </w:tcPr>
          <w:p w14:paraId="522A1CDC" w14:textId="77777777" w:rsidR="00100696" w:rsidRPr="007647EB" w:rsidRDefault="00100696" w:rsidP="008123FC">
            <w:pPr>
              <w:spacing w:before="40" w:after="40"/>
              <w:jc w:val="right"/>
              <w:rPr>
                <w:b/>
                <w:bCs/>
                <w:sz w:val="18"/>
                <w:szCs w:val="18"/>
              </w:rPr>
            </w:pPr>
            <w:r w:rsidRPr="007647EB">
              <w:rPr>
                <w:b/>
                <w:bCs/>
                <w:color w:val="000000"/>
                <w:sz w:val="18"/>
                <w:szCs w:val="18"/>
              </w:rPr>
              <w:t>20 000</w:t>
            </w:r>
          </w:p>
        </w:tc>
        <w:tc>
          <w:tcPr>
            <w:tcW w:w="1276" w:type="dxa"/>
            <w:shd w:val="clear" w:color="000000" w:fill="B4C6E7"/>
            <w:noWrap/>
            <w:vAlign w:val="center"/>
            <w:hideMark/>
          </w:tcPr>
          <w:p w14:paraId="34A1F4D8" w14:textId="77777777" w:rsidR="00100696" w:rsidRPr="007647EB" w:rsidRDefault="00100696" w:rsidP="008123FC">
            <w:pPr>
              <w:spacing w:before="40" w:after="40"/>
              <w:jc w:val="right"/>
              <w:rPr>
                <w:b/>
                <w:bCs/>
                <w:sz w:val="18"/>
                <w:szCs w:val="18"/>
              </w:rPr>
            </w:pPr>
            <w:r w:rsidRPr="007647EB">
              <w:rPr>
                <w:b/>
                <w:bCs/>
                <w:color w:val="000000"/>
                <w:sz w:val="18"/>
                <w:szCs w:val="18"/>
              </w:rPr>
              <w:t>45 000</w:t>
            </w:r>
          </w:p>
        </w:tc>
        <w:tc>
          <w:tcPr>
            <w:tcW w:w="1134" w:type="dxa"/>
            <w:shd w:val="clear" w:color="000000" w:fill="B4C6E7"/>
            <w:noWrap/>
            <w:vAlign w:val="center"/>
            <w:hideMark/>
          </w:tcPr>
          <w:p w14:paraId="443AE2E7" w14:textId="77777777" w:rsidR="00100696" w:rsidRPr="007647EB" w:rsidRDefault="00100696" w:rsidP="008123FC">
            <w:pPr>
              <w:spacing w:before="40" w:after="40"/>
              <w:jc w:val="right"/>
              <w:rPr>
                <w:b/>
                <w:bCs/>
                <w:sz w:val="18"/>
                <w:szCs w:val="18"/>
              </w:rPr>
            </w:pPr>
            <w:r w:rsidRPr="007647EB">
              <w:rPr>
                <w:b/>
                <w:bCs/>
                <w:color w:val="000000"/>
                <w:sz w:val="18"/>
                <w:szCs w:val="18"/>
              </w:rPr>
              <w:t>12 500</w:t>
            </w:r>
          </w:p>
        </w:tc>
        <w:tc>
          <w:tcPr>
            <w:tcW w:w="1134" w:type="dxa"/>
            <w:shd w:val="clear" w:color="000000" w:fill="B4C6E7"/>
            <w:noWrap/>
            <w:vAlign w:val="center"/>
            <w:hideMark/>
          </w:tcPr>
          <w:p w14:paraId="221F88FE" w14:textId="77777777" w:rsidR="00100696" w:rsidRPr="007647EB" w:rsidRDefault="00100696" w:rsidP="008123FC">
            <w:pPr>
              <w:spacing w:before="40" w:after="40"/>
              <w:jc w:val="right"/>
              <w:rPr>
                <w:b/>
                <w:bCs/>
                <w:sz w:val="18"/>
                <w:szCs w:val="18"/>
              </w:rPr>
            </w:pPr>
            <w:r w:rsidRPr="007647EB">
              <w:rPr>
                <w:b/>
                <w:bCs/>
                <w:color w:val="000000"/>
                <w:sz w:val="18"/>
                <w:szCs w:val="18"/>
              </w:rPr>
              <w:t>12 500</w:t>
            </w:r>
          </w:p>
        </w:tc>
        <w:tc>
          <w:tcPr>
            <w:tcW w:w="1245" w:type="dxa"/>
            <w:shd w:val="clear" w:color="000000" w:fill="B4C6E7"/>
            <w:noWrap/>
            <w:vAlign w:val="center"/>
            <w:hideMark/>
          </w:tcPr>
          <w:p w14:paraId="2ED74048" w14:textId="77777777" w:rsidR="00100696" w:rsidRPr="007647EB" w:rsidRDefault="00100696" w:rsidP="008123FC">
            <w:pPr>
              <w:spacing w:before="40" w:after="40"/>
              <w:jc w:val="right"/>
              <w:rPr>
                <w:b/>
                <w:bCs/>
                <w:sz w:val="18"/>
                <w:szCs w:val="18"/>
              </w:rPr>
            </w:pPr>
            <w:r w:rsidRPr="007647EB">
              <w:rPr>
                <w:b/>
                <w:bCs/>
                <w:color w:val="000000"/>
                <w:sz w:val="18"/>
                <w:szCs w:val="18"/>
              </w:rPr>
              <w:t>25 000</w:t>
            </w:r>
          </w:p>
        </w:tc>
      </w:tr>
      <w:tr w:rsidR="00100696" w:rsidRPr="007647EB" w14:paraId="284A6335" w14:textId="77777777" w:rsidTr="008123FC">
        <w:trPr>
          <w:trHeight w:val="52"/>
          <w:jc w:val="right"/>
        </w:trPr>
        <w:tc>
          <w:tcPr>
            <w:tcW w:w="7230" w:type="dxa"/>
            <w:gridSpan w:val="2"/>
            <w:tcBorders>
              <w:top w:val="nil"/>
            </w:tcBorders>
            <w:noWrap/>
            <w:vAlign w:val="center"/>
            <w:hideMark/>
          </w:tcPr>
          <w:p w14:paraId="63AFFCAA" w14:textId="77777777" w:rsidR="00100696" w:rsidRPr="007647EB" w:rsidRDefault="00100696" w:rsidP="008123FC">
            <w:pPr>
              <w:spacing w:before="40" w:after="40"/>
              <w:rPr>
                <w:b/>
                <w:bCs/>
                <w:sz w:val="18"/>
                <w:szCs w:val="18"/>
              </w:rPr>
            </w:pPr>
            <w:r w:rsidRPr="007647EB">
              <w:rPr>
                <w:b/>
                <w:bCs/>
                <w:color w:val="000000"/>
                <w:sz w:val="18"/>
                <w:szCs w:val="18"/>
              </w:rPr>
              <w:t>9.</w:t>
            </w:r>
            <w:r w:rsidRPr="007647EB">
              <w:rPr>
                <w:color w:val="000000"/>
                <w:sz w:val="18"/>
                <w:szCs w:val="18"/>
              </w:rPr>
              <w:t xml:space="preserve"> </w:t>
            </w:r>
            <w:r w:rsidRPr="007647EB">
              <w:rPr>
                <w:b/>
                <w:bCs/>
                <w:color w:val="000000"/>
                <w:sz w:val="18"/>
                <w:szCs w:val="18"/>
              </w:rPr>
              <w:t>Communication, information et sensibilisation du public</w:t>
            </w:r>
          </w:p>
        </w:tc>
        <w:tc>
          <w:tcPr>
            <w:tcW w:w="1275" w:type="dxa"/>
            <w:tcBorders>
              <w:top w:val="nil"/>
            </w:tcBorders>
            <w:noWrap/>
            <w:vAlign w:val="center"/>
            <w:hideMark/>
          </w:tcPr>
          <w:p w14:paraId="717CEDE8" w14:textId="77777777" w:rsidR="00100696" w:rsidRPr="007647EB" w:rsidRDefault="00100696" w:rsidP="008123FC">
            <w:pPr>
              <w:spacing w:before="40" w:after="40"/>
              <w:jc w:val="right"/>
              <w:rPr>
                <w:b/>
                <w:bCs/>
                <w:sz w:val="18"/>
                <w:szCs w:val="18"/>
              </w:rPr>
            </w:pPr>
          </w:p>
        </w:tc>
        <w:tc>
          <w:tcPr>
            <w:tcW w:w="1134" w:type="dxa"/>
            <w:tcBorders>
              <w:top w:val="nil"/>
            </w:tcBorders>
            <w:noWrap/>
            <w:vAlign w:val="center"/>
            <w:hideMark/>
          </w:tcPr>
          <w:p w14:paraId="60BFC98D" w14:textId="77777777" w:rsidR="00100696" w:rsidRPr="007647EB" w:rsidRDefault="00100696" w:rsidP="008123FC">
            <w:pPr>
              <w:spacing w:before="40" w:after="40"/>
              <w:jc w:val="right"/>
              <w:rPr>
                <w:b/>
                <w:bCs/>
                <w:sz w:val="18"/>
                <w:szCs w:val="18"/>
              </w:rPr>
            </w:pPr>
          </w:p>
        </w:tc>
        <w:tc>
          <w:tcPr>
            <w:tcW w:w="1276" w:type="dxa"/>
            <w:tcBorders>
              <w:top w:val="nil"/>
            </w:tcBorders>
            <w:noWrap/>
            <w:vAlign w:val="center"/>
            <w:hideMark/>
          </w:tcPr>
          <w:p w14:paraId="38A41232" w14:textId="77777777" w:rsidR="00100696" w:rsidRPr="007647EB" w:rsidRDefault="00100696" w:rsidP="008123FC">
            <w:pPr>
              <w:spacing w:before="40" w:after="40"/>
              <w:jc w:val="right"/>
              <w:rPr>
                <w:b/>
                <w:bCs/>
                <w:sz w:val="18"/>
                <w:szCs w:val="18"/>
              </w:rPr>
            </w:pPr>
          </w:p>
        </w:tc>
        <w:tc>
          <w:tcPr>
            <w:tcW w:w="1134" w:type="dxa"/>
            <w:tcBorders>
              <w:top w:val="nil"/>
            </w:tcBorders>
            <w:noWrap/>
            <w:vAlign w:val="center"/>
            <w:hideMark/>
          </w:tcPr>
          <w:p w14:paraId="095AD831" w14:textId="77777777" w:rsidR="00100696" w:rsidRPr="007647EB" w:rsidRDefault="00100696" w:rsidP="008123FC">
            <w:pPr>
              <w:spacing w:before="40" w:after="40"/>
              <w:jc w:val="right"/>
              <w:rPr>
                <w:b/>
                <w:bCs/>
                <w:sz w:val="18"/>
                <w:szCs w:val="18"/>
              </w:rPr>
            </w:pPr>
          </w:p>
        </w:tc>
        <w:tc>
          <w:tcPr>
            <w:tcW w:w="1134" w:type="dxa"/>
            <w:tcBorders>
              <w:top w:val="nil"/>
            </w:tcBorders>
            <w:noWrap/>
            <w:vAlign w:val="center"/>
            <w:hideMark/>
          </w:tcPr>
          <w:p w14:paraId="7D2482F9" w14:textId="77777777" w:rsidR="00100696" w:rsidRPr="007647EB" w:rsidRDefault="00100696" w:rsidP="008123FC">
            <w:pPr>
              <w:spacing w:before="40" w:after="40"/>
              <w:jc w:val="right"/>
              <w:rPr>
                <w:b/>
                <w:bCs/>
                <w:sz w:val="18"/>
                <w:szCs w:val="18"/>
              </w:rPr>
            </w:pPr>
          </w:p>
        </w:tc>
        <w:tc>
          <w:tcPr>
            <w:tcW w:w="1245" w:type="dxa"/>
            <w:tcBorders>
              <w:top w:val="nil"/>
            </w:tcBorders>
            <w:noWrap/>
            <w:vAlign w:val="center"/>
            <w:hideMark/>
          </w:tcPr>
          <w:p w14:paraId="7CC18CFB" w14:textId="77777777" w:rsidR="00100696" w:rsidRPr="007647EB" w:rsidRDefault="00100696" w:rsidP="008123FC">
            <w:pPr>
              <w:spacing w:before="40" w:after="40"/>
              <w:jc w:val="right"/>
              <w:rPr>
                <w:b/>
                <w:bCs/>
                <w:sz w:val="18"/>
                <w:szCs w:val="18"/>
              </w:rPr>
            </w:pPr>
          </w:p>
        </w:tc>
      </w:tr>
      <w:tr w:rsidR="00100696" w:rsidRPr="007647EB" w14:paraId="49B3DDBD" w14:textId="77777777" w:rsidTr="008123FC">
        <w:trPr>
          <w:trHeight w:val="52"/>
          <w:jc w:val="right"/>
        </w:trPr>
        <w:tc>
          <w:tcPr>
            <w:tcW w:w="284" w:type="dxa"/>
            <w:tcBorders>
              <w:top w:val="nil"/>
            </w:tcBorders>
            <w:noWrap/>
            <w:vAlign w:val="center"/>
            <w:hideMark/>
          </w:tcPr>
          <w:p w14:paraId="48CCC2FE"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726162D6" w14:textId="77777777" w:rsidR="00100696" w:rsidRPr="007647EB" w:rsidRDefault="00100696" w:rsidP="008123FC">
            <w:pPr>
              <w:spacing w:before="40" w:after="40"/>
              <w:rPr>
                <w:sz w:val="18"/>
                <w:szCs w:val="18"/>
              </w:rPr>
            </w:pPr>
            <w:r w:rsidRPr="007647EB">
              <w:rPr>
                <w:color w:val="000000"/>
                <w:sz w:val="18"/>
                <w:szCs w:val="18"/>
              </w:rPr>
              <w:t>9.1. Communication, information et sensibilisation du public</w:t>
            </w:r>
          </w:p>
        </w:tc>
        <w:tc>
          <w:tcPr>
            <w:tcW w:w="1275" w:type="dxa"/>
            <w:tcBorders>
              <w:top w:val="nil"/>
            </w:tcBorders>
            <w:noWrap/>
            <w:vAlign w:val="center"/>
            <w:hideMark/>
          </w:tcPr>
          <w:p w14:paraId="1D19A068" w14:textId="77777777" w:rsidR="00100696" w:rsidRPr="007647EB" w:rsidRDefault="00100696" w:rsidP="008123FC">
            <w:pPr>
              <w:spacing w:before="40" w:after="40"/>
              <w:jc w:val="right"/>
              <w:rPr>
                <w:sz w:val="18"/>
                <w:szCs w:val="18"/>
              </w:rPr>
            </w:pPr>
            <w:r w:rsidRPr="007647EB">
              <w:rPr>
                <w:color w:val="000000"/>
                <w:sz w:val="18"/>
                <w:szCs w:val="18"/>
              </w:rPr>
              <w:t>34 000</w:t>
            </w:r>
          </w:p>
        </w:tc>
        <w:tc>
          <w:tcPr>
            <w:tcW w:w="1134" w:type="dxa"/>
            <w:tcBorders>
              <w:top w:val="nil"/>
            </w:tcBorders>
            <w:noWrap/>
            <w:vAlign w:val="center"/>
            <w:hideMark/>
          </w:tcPr>
          <w:p w14:paraId="7B2B8893" w14:textId="77777777" w:rsidR="00100696" w:rsidRPr="007647EB" w:rsidRDefault="00100696" w:rsidP="008123FC">
            <w:pPr>
              <w:spacing w:before="40" w:after="40"/>
              <w:jc w:val="right"/>
              <w:rPr>
                <w:sz w:val="18"/>
                <w:szCs w:val="18"/>
              </w:rPr>
            </w:pPr>
            <w:r w:rsidRPr="007647EB">
              <w:rPr>
                <w:color w:val="000000"/>
                <w:sz w:val="18"/>
                <w:szCs w:val="18"/>
              </w:rPr>
              <w:t>42 000</w:t>
            </w:r>
          </w:p>
        </w:tc>
        <w:tc>
          <w:tcPr>
            <w:tcW w:w="1276" w:type="dxa"/>
            <w:tcBorders>
              <w:top w:val="nil"/>
            </w:tcBorders>
            <w:noWrap/>
            <w:vAlign w:val="center"/>
            <w:hideMark/>
          </w:tcPr>
          <w:p w14:paraId="50236497" w14:textId="77777777" w:rsidR="00100696" w:rsidRPr="007647EB" w:rsidRDefault="00100696" w:rsidP="008123FC">
            <w:pPr>
              <w:spacing w:before="40" w:after="40"/>
              <w:jc w:val="right"/>
              <w:rPr>
                <w:sz w:val="18"/>
                <w:szCs w:val="18"/>
              </w:rPr>
            </w:pPr>
            <w:r w:rsidRPr="007647EB">
              <w:rPr>
                <w:color w:val="000000"/>
                <w:sz w:val="18"/>
                <w:szCs w:val="18"/>
              </w:rPr>
              <w:t>76 000</w:t>
            </w:r>
          </w:p>
        </w:tc>
        <w:tc>
          <w:tcPr>
            <w:tcW w:w="1134" w:type="dxa"/>
            <w:tcBorders>
              <w:top w:val="nil"/>
            </w:tcBorders>
            <w:noWrap/>
            <w:vAlign w:val="center"/>
            <w:hideMark/>
          </w:tcPr>
          <w:p w14:paraId="78D6D1FD"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6442CEA5"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1FE73F8" w14:textId="77777777" w:rsidR="00100696" w:rsidRPr="007647EB" w:rsidRDefault="00100696" w:rsidP="008123FC">
            <w:pPr>
              <w:spacing w:before="40" w:after="40"/>
              <w:jc w:val="right"/>
              <w:rPr>
                <w:sz w:val="18"/>
                <w:szCs w:val="18"/>
              </w:rPr>
            </w:pPr>
          </w:p>
        </w:tc>
      </w:tr>
      <w:tr w:rsidR="00100696" w:rsidRPr="007647EB" w14:paraId="72A2B5D5" w14:textId="77777777" w:rsidTr="008123FC">
        <w:trPr>
          <w:trHeight w:val="52"/>
          <w:jc w:val="right"/>
        </w:trPr>
        <w:tc>
          <w:tcPr>
            <w:tcW w:w="7230" w:type="dxa"/>
            <w:gridSpan w:val="2"/>
            <w:shd w:val="clear" w:color="000000" w:fill="B4C6E7"/>
            <w:noWrap/>
            <w:vAlign w:val="center"/>
            <w:hideMark/>
          </w:tcPr>
          <w:p w14:paraId="144E8430" w14:textId="77777777" w:rsidR="00100696" w:rsidRPr="007647EB" w:rsidRDefault="00100696" w:rsidP="008123FC">
            <w:pPr>
              <w:spacing w:before="40" w:after="40"/>
              <w:rPr>
                <w:b/>
                <w:bCs/>
                <w:sz w:val="18"/>
                <w:szCs w:val="18"/>
              </w:rPr>
            </w:pPr>
            <w:r w:rsidRPr="007647EB">
              <w:rPr>
                <w:b/>
                <w:bCs/>
                <w:color w:val="000000"/>
                <w:sz w:val="18"/>
                <w:szCs w:val="18"/>
              </w:rPr>
              <w:t>9.</w:t>
            </w:r>
            <w:r w:rsidRPr="007647EB">
              <w:rPr>
                <w:color w:val="000000"/>
                <w:sz w:val="18"/>
                <w:szCs w:val="18"/>
              </w:rPr>
              <w:t xml:space="preserve"> </w:t>
            </w:r>
            <w:r w:rsidRPr="007647EB">
              <w:rPr>
                <w:b/>
                <w:bCs/>
                <w:color w:val="000000"/>
                <w:sz w:val="18"/>
                <w:szCs w:val="18"/>
              </w:rPr>
              <w:t>Communication, information et sensibilisation du public</w:t>
            </w:r>
          </w:p>
        </w:tc>
        <w:tc>
          <w:tcPr>
            <w:tcW w:w="1275" w:type="dxa"/>
            <w:shd w:val="clear" w:color="000000" w:fill="B4C6E7"/>
            <w:noWrap/>
            <w:vAlign w:val="center"/>
            <w:hideMark/>
          </w:tcPr>
          <w:p w14:paraId="2331E7D3" w14:textId="77777777" w:rsidR="00100696" w:rsidRPr="007647EB" w:rsidRDefault="00100696" w:rsidP="008123FC">
            <w:pPr>
              <w:spacing w:before="40" w:after="40"/>
              <w:jc w:val="right"/>
              <w:rPr>
                <w:b/>
                <w:bCs/>
                <w:sz w:val="18"/>
                <w:szCs w:val="18"/>
              </w:rPr>
            </w:pPr>
            <w:r w:rsidRPr="007647EB">
              <w:rPr>
                <w:b/>
                <w:bCs/>
                <w:color w:val="000000"/>
                <w:sz w:val="18"/>
                <w:szCs w:val="18"/>
              </w:rPr>
              <w:t>34 000</w:t>
            </w:r>
          </w:p>
        </w:tc>
        <w:tc>
          <w:tcPr>
            <w:tcW w:w="1134" w:type="dxa"/>
            <w:shd w:val="clear" w:color="000000" w:fill="B4C6E7"/>
            <w:noWrap/>
            <w:vAlign w:val="center"/>
            <w:hideMark/>
          </w:tcPr>
          <w:p w14:paraId="4C9760F2" w14:textId="77777777" w:rsidR="00100696" w:rsidRPr="007647EB" w:rsidRDefault="00100696" w:rsidP="008123FC">
            <w:pPr>
              <w:spacing w:before="40" w:after="40"/>
              <w:jc w:val="right"/>
              <w:rPr>
                <w:b/>
                <w:bCs/>
                <w:sz w:val="18"/>
                <w:szCs w:val="18"/>
              </w:rPr>
            </w:pPr>
            <w:r w:rsidRPr="007647EB">
              <w:rPr>
                <w:b/>
                <w:bCs/>
                <w:color w:val="000000"/>
                <w:sz w:val="18"/>
                <w:szCs w:val="18"/>
              </w:rPr>
              <w:t>42 000</w:t>
            </w:r>
          </w:p>
        </w:tc>
        <w:tc>
          <w:tcPr>
            <w:tcW w:w="1276" w:type="dxa"/>
            <w:shd w:val="clear" w:color="000000" w:fill="B4C6E7"/>
            <w:noWrap/>
            <w:vAlign w:val="center"/>
            <w:hideMark/>
          </w:tcPr>
          <w:p w14:paraId="666EEED7" w14:textId="77777777" w:rsidR="00100696" w:rsidRPr="007647EB" w:rsidRDefault="00100696" w:rsidP="008123FC">
            <w:pPr>
              <w:spacing w:before="40" w:after="40"/>
              <w:jc w:val="right"/>
              <w:rPr>
                <w:b/>
                <w:bCs/>
                <w:sz w:val="18"/>
                <w:szCs w:val="18"/>
              </w:rPr>
            </w:pPr>
            <w:r w:rsidRPr="007647EB">
              <w:rPr>
                <w:b/>
                <w:bCs/>
                <w:color w:val="000000"/>
                <w:sz w:val="18"/>
                <w:szCs w:val="18"/>
              </w:rPr>
              <w:t>76 000</w:t>
            </w:r>
          </w:p>
        </w:tc>
        <w:tc>
          <w:tcPr>
            <w:tcW w:w="1134" w:type="dxa"/>
            <w:shd w:val="clear" w:color="000000" w:fill="B4C6E7"/>
            <w:noWrap/>
            <w:vAlign w:val="center"/>
            <w:hideMark/>
          </w:tcPr>
          <w:p w14:paraId="48CDA085"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393F62C"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2E57A005" w14:textId="77777777" w:rsidR="00100696" w:rsidRPr="007647EB" w:rsidRDefault="00100696" w:rsidP="008123FC">
            <w:pPr>
              <w:spacing w:before="40" w:after="40"/>
              <w:jc w:val="right"/>
              <w:rPr>
                <w:b/>
                <w:bCs/>
                <w:sz w:val="18"/>
                <w:szCs w:val="18"/>
              </w:rPr>
            </w:pPr>
          </w:p>
        </w:tc>
      </w:tr>
      <w:tr w:rsidR="00100696" w:rsidRPr="007647EB" w14:paraId="5A4E8FBF" w14:textId="77777777" w:rsidTr="008123FC">
        <w:trPr>
          <w:trHeight w:val="52"/>
          <w:jc w:val="right"/>
        </w:trPr>
        <w:tc>
          <w:tcPr>
            <w:tcW w:w="7230" w:type="dxa"/>
            <w:gridSpan w:val="2"/>
            <w:noWrap/>
            <w:vAlign w:val="center"/>
            <w:hideMark/>
          </w:tcPr>
          <w:p w14:paraId="67269A4C" w14:textId="77777777" w:rsidR="00100696" w:rsidRPr="007647EB" w:rsidRDefault="00100696" w:rsidP="008123FC">
            <w:pPr>
              <w:keepNext/>
              <w:keepLines/>
              <w:spacing w:before="40" w:after="40"/>
              <w:rPr>
                <w:b/>
                <w:bCs/>
                <w:sz w:val="18"/>
                <w:szCs w:val="18"/>
              </w:rPr>
            </w:pPr>
            <w:r w:rsidRPr="007647EB">
              <w:rPr>
                <w:b/>
                <w:bCs/>
                <w:color w:val="000000"/>
                <w:sz w:val="18"/>
                <w:szCs w:val="18"/>
              </w:rPr>
              <w:lastRenderedPageBreak/>
              <w:t>10.</w:t>
            </w:r>
            <w:r w:rsidRPr="007647EB">
              <w:rPr>
                <w:color w:val="000000"/>
                <w:sz w:val="18"/>
                <w:szCs w:val="18"/>
              </w:rPr>
              <w:t xml:space="preserve"> </w:t>
            </w:r>
            <w:r w:rsidRPr="007647EB">
              <w:rPr>
                <w:b/>
                <w:bCs/>
                <w:color w:val="000000"/>
                <w:sz w:val="18"/>
                <w:szCs w:val="18"/>
              </w:rPr>
              <w:t>Présence numérique</w:t>
            </w:r>
          </w:p>
        </w:tc>
        <w:tc>
          <w:tcPr>
            <w:tcW w:w="1275" w:type="dxa"/>
            <w:noWrap/>
            <w:vAlign w:val="center"/>
            <w:hideMark/>
          </w:tcPr>
          <w:p w14:paraId="4EFA416E" w14:textId="77777777" w:rsidR="00100696" w:rsidRPr="007647EB" w:rsidRDefault="00100696" w:rsidP="008123FC">
            <w:pPr>
              <w:keepNext/>
              <w:keepLines/>
              <w:spacing w:before="40" w:after="40"/>
              <w:jc w:val="right"/>
              <w:rPr>
                <w:b/>
                <w:bCs/>
                <w:sz w:val="18"/>
                <w:szCs w:val="18"/>
              </w:rPr>
            </w:pPr>
          </w:p>
        </w:tc>
        <w:tc>
          <w:tcPr>
            <w:tcW w:w="1134" w:type="dxa"/>
            <w:noWrap/>
            <w:vAlign w:val="center"/>
            <w:hideMark/>
          </w:tcPr>
          <w:p w14:paraId="71AD0169" w14:textId="77777777" w:rsidR="00100696" w:rsidRPr="007647EB" w:rsidRDefault="00100696" w:rsidP="008123FC">
            <w:pPr>
              <w:keepNext/>
              <w:keepLines/>
              <w:spacing w:before="40" w:after="40"/>
              <w:jc w:val="right"/>
              <w:rPr>
                <w:b/>
                <w:bCs/>
                <w:sz w:val="18"/>
                <w:szCs w:val="18"/>
              </w:rPr>
            </w:pPr>
          </w:p>
        </w:tc>
        <w:tc>
          <w:tcPr>
            <w:tcW w:w="1276" w:type="dxa"/>
            <w:noWrap/>
            <w:vAlign w:val="center"/>
            <w:hideMark/>
          </w:tcPr>
          <w:p w14:paraId="151BFAEE" w14:textId="77777777" w:rsidR="00100696" w:rsidRPr="007647EB" w:rsidRDefault="00100696" w:rsidP="008123FC">
            <w:pPr>
              <w:keepNext/>
              <w:keepLines/>
              <w:spacing w:before="40" w:after="40"/>
              <w:jc w:val="right"/>
              <w:rPr>
                <w:b/>
                <w:bCs/>
                <w:sz w:val="18"/>
                <w:szCs w:val="18"/>
              </w:rPr>
            </w:pPr>
          </w:p>
        </w:tc>
        <w:tc>
          <w:tcPr>
            <w:tcW w:w="1134" w:type="dxa"/>
            <w:noWrap/>
            <w:vAlign w:val="center"/>
            <w:hideMark/>
          </w:tcPr>
          <w:p w14:paraId="6D763195" w14:textId="77777777" w:rsidR="00100696" w:rsidRPr="007647EB" w:rsidRDefault="00100696" w:rsidP="008123FC">
            <w:pPr>
              <w:keepNext/>
              <w:keepLines/>
              <w:spacing w:before="40" w:after="40"/>
              <w:jc w:val="right"/>
              <w:rPr>
                <w:b/>
                <w:bCs/>
                <w:sz w:val="18"/>
                <w:szCs w:val="18"/>
              </w:rPr>
            </w:pPr>
          </w:p>
        </w:tc>
        <w:tc>
          <w:tcPr>
            <w:tcW w:w="1134" w:type="dxa"/>
            <w:noWrap/>
            <w:vAlign w:val="center"/>
            <w:hideMark/>
          </w:tcPr>
          <w:p w14:paraId="6A591903" w14:textId="77777777" w:rsidR="00100696" w:rsidRPr="007647EB" w:rsidRDefault="00100696" w:rsidP="008123FC">
            <w:pPr>
              <w:keepNext/>
              <w:keepLines/>
              <w:spacing w:before="40" w:after="40"/>
              <w:jc w:val="right"/>
              <w:rPr>
                <w:b/>
                <w:bCs/>
                <w:sz w:val="18"/>
                <w:szCs w:val="18"/>
              </w:rPr>
            </w:pPr>
          </w:p>
        </w:tc>
        <w:tc>
          <w:tcPr>
            <w:tcW w:w="1245" w:type="dxa"/>
            <w:noWrap/>
            <w:vAlign w:val="center"/>
            <w:hideMark/>
          </w:tcPr>
          <w:p w14:paraId="772179E7" w14:textId="77777777" w:rsidR="00100696" w:rsidRPr="007647EB" w:rsidRDefault="00100696" w:rsidP="008123FC">
            <w:pPr>
              <w:keepNext/>
              <w:keepLines/>
              <w:spacing w:before="40" w:after="40"/>
              <w:jc w:val="right"/>
              <w:rPr>
                <w:b/>
                <w:bCs/>
                <w:sz w:val="18"/>
                <w:szCs w:val="18"/>
              </w:rPr>
            </w:pPr>
          </w:p>
        </w:tc>
      </w:tr>
      <w:tr w:rsidR="00100696" w:rsidRPr="007647EB" w14:paraId="61826D03" w14:textId="77777777" w:rsidTr="008123FC">
        <w:trPr>
          <w:trHeight w:val="52"/>
          <w:jc w:val="right"/>
        </w:trPr>
        <w:tc>
          <w:tcPr>
            <w:tcW w:w="284" w:type="dxa"/>
            <w:tcBorders>
              <w:top w:val="nil"/>
            </w:tcBorders>
            <w:noWrap/>
            <w:vAlign w:val="center"/>
            <w:hideMark/>
          </w:tcPr>
          <w:p w14:paraId="12ED83E8" w14:textId="77777777" w:rsidR="00100696" w:rsidRPr="007647EB" w:rsidRDefault="00100696" w:rsidP="008123FC">
            <w:pPr>
              <w:keepNext/>
              <w:keepLines/>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3CEA15E0" w14:textId="77777777" w:rsidR="00100696" w:rsidRPr="007647EB" w:rsidRDefault="00100696" w:rsidP="008123FC">
            <w:pPr>
              <w:keepNext/>
              <w:keepLines/>
              <w:spacing w:before="40" w:after="40"/>
              <w:rPr>
                <w:sz w:val="18"/>
                <w:szCs w:val="18"/>
              </w:rPr>
            </w:pPr>
            <w:r w:rsidRPr="007647EB">
              <w:rPr>
                <w:color w:val="000000"/>
                <w:sz w:val="18"/>
                <w:szCs w:val="18"/>
              </w:rPr>
              <w:t>10.1. Stratégie numérique</w:t>
            </w:r>
          </w:p>
        </w:tc>
        <w:tc>
          <w:tcPr>
            <w:tcW w:w="1275" w:type="dxa"/>
            <w:tcBorders>
              <w:top w:val="nil"/>
            </w:tcBorders>
            <w:noWrap/>
            <w:vAlign w:val="center"/>
            <w:hideMark/>
          </w:tcPr>
          <w:p w14:paraId="7B560DDC" w14:textId="77777777" w:rsidR="00100696" w:rsidRPr="007647EB" w:rsidRDefault="00100696" w:rsidP="008123FC">
            <w:pPr>
              <w:keepNext/>
              <w:keepLines/>
              <w:spacing w:before="40" w:after="40"/>
              <w:jc w:val="right"/>
              <w:rPr>
                <w:sz w:val="18"/>
                <w:szCs w:val="18"/>
              </w:rPr>
            </w:pPr>
            <w:r w:rsidRPr="007647EB">
              <w:rPr>
                <w:color w:val="000000"/>
                <w:sz w:val="18"/>
                <w:szCs w:val="18"/>
              </w:rPr>
              <w:t>22 500</w:t>
            </w:r>
          </w:p>
        </w:tc>
        <w:tc>
          <w:tcPr>
            <w:tcW w:w="1134" w:type="dxa"/>
            <w:tcBorders>
              <w:top w:val="nil"/>
            </w:tcBorders>
            <w:noWrap/>
            <w:vAlign w:val="center"/>
            <w:hideMark/>
          </w:tcPr>
          <w:p w14:paraId="2F5EA8CF" w14:textId="77777777" w:rsidR="00100696" w:rsidRPr="007647EB" w:rsidRDefault="00100696" w:rsidP="008123FC">
            <w:pPr>
              <w:keepNext/>
              <w:keepLines/>
              <w:spacing w:before="40" w:after="40"/>
              <w:jc w:val="right"/>
              <w:rPr>
                <w:sz w:val="18"/>
                <w:szCs w:val="18"/>
              </w:rPr>
            </w:pPr>
            <w:r w:rsidRPr="007647EB">
              <w:rPr>
                <w:color w:val="000000"/>
                <w:sz w:val="18"/>
                <w:szCs w:val="18"/>
              </w:rPr>
              <w:t>27 500</w:t>
            </w:r>
          </w:p>
        </w:tc>
        <w:tc>
          <w:tcPr>
            <w:tcW w:w="1276" w:type="dxa"/>
            <w:tcBorders>
              <w:top w:val="nil"/>
            </w:tcBorders>
            <w:noWrap/>
            <w:vAlign w:val="center"/>
            <w:hideMark/>
          </w:tcPr>
          <w:p w14:paraId="5D7ED8A7" w14:textId="77777777" w:rsidR="00100696" w:rsidRPr="007647EB" w:rsidRDefault="00100696" w:rsidP="008123FC">
            <w:pPr>
              <w:keepNext/>
              <w:keepLines/>
              <w:spacing w:before="40" w:after="40"/>
              <w:jc w:val="right"/>
              <w:rPr>
                <w:sz w:val="18"/>
                <w:szCs w:val="18"/>
              </w:rPr>
            </w:pPr>
            <w:r w:rsidRPr="007647EB">
              <w:rPr>
                <w:color w:val="000000"/>
                <w:sz w:val="18"/>
                <w:szCs w:val="18"/>
              </w:rPr>
              <w:t>50 000</w:t>
            </w:r>
          </w:p>
        </w:tc>
        <w:tc>
          <w:tcPr>
            <w:tcW w:w="1134" w:type="dxa"/>
            <w:tcBorders>
              <w:top w:val="nil"/>
            </w:tcBorders>
            <w:noWrap/>
            <w:vAlign w:val="center"/>
            <w:hideMark/>
          </w:tcPr>
          <w:p w14:paraId="664A5522" w14:textId="77777777" w:rsidR="00100696" w:rsidRPr="007647EB" w:rsidRDefault="00100696" w:rsidP="008123FC">
            <w:pPr>
              <w:keepNext/>
              <w:keepLines/>
              <w:spacing w:before="40" w:after="40"/>
              <w:jc w:val="right"/>
              <w:rPr>
                <w:sz w:val="18"/>
                <w:szCs w:val="18"/>
              </w:rPr>
            </w:pPr>
            <w:r w:rsidRPr="007647EB">
              <w:rPr>
                <w:color w:val="000000"/>
                <w:sz w:val="18"/>
                <w:szCs w:val="18"/>
              </w:rPr>
              <w:t>120 000</w:t>
            </w:r>
          </w:p>
        </w:tc>
        <w:tc>
          <w:tcPr>
            <w:tcW w:w="1134" w:type="dxa"/>
            <w:tcBorders>
              <w:top w:val="nil"/>
            </w:tcBorders>
            <w:noWrap/>
            <w:vAlign w:val="center"/>
            <w:hideMark/>
          </w:tcPr>
          <w:p w14:paraId="4CB0EAB8" w14:textId="77777777" w:rsidR="00100696" w:rsidRPr="007647EB" w:rsidRDefault="00100696" w:rsidP="008123FC">
            <w:pPr>
              <w:keepNext/>
              <w:keepLines/>
              <w:spacing w:before="40" w:after="40"/>
              <w:jc w:val="right"/>
              <w:rPr>
                <w:sz w:val="18"/>
                <w:szCs w:val="18"/>
              </w:rPr>
            </w:pPr>
            <w:r w:rsidRPr="007647EB">
              <w:rPr>
                <w:color w:val="000000"/>
                <w:sz w:val="18"/>
                <w:szCs w:val="18"/>
              </w:rPr>
              <w:t>85 000</w:t>
            </w:r>
          </w:p>
        </w:tc>
        <w:tc>
          <w:tcPr>
            <w:tcW w:w="1245" w:type="dxa"/>
            <w:tcBorders>
              <w:top w:val="nil"/>
            </w:tcBorders>
            <w:noWrap/>
            <w:vAlign w:val="center"/>
            <w:hideMark/>
          </w:tcPr>
          <w:p w14:paraId="3A2967DD" w14:textId="77777777" w:rsidR="00100696" w:rsidRPr="007647EB" w:rsidRDefault="00100696" w:rsidP="008123FC">
            <w:pPr>
              <w:keepNext/>
              <w:keepLines/>
              <w:spacing w:before="40" w:after="40"/>
              <w:jc w:val="right"/>
              <w:rPr>
                <w:sz w:val="18"/>
                <w:szCs w:val="18"/>
              </w:rPr>
            </w:pPr>
            <w:r w:rsidRPr="007647EB">
              <w:rPr>
                <w:color w:val="000000"/>
                <w:sz w:val="18"/>
                <w:szCs w:val="18"/>
              </w:rPr>
              <w:t>205 000</w:t>
            </w:r>
          </w:p>
        </w:tc>
      </w:tr>
      <w:tr w:rsidR="00100696" w:rsidRPr="007647EB" w14:paraId="6925954B" w14:textId="77777777" w:rsidTr="008123FC">
        <w:trPr>
          <w:trHeight w:val="315"/>
          <w:jc w:val="right"/>
        </w:trPr>
        <w:tc>
          <w:tcPr>
            <w:tcW w:w="7230" w:type="dxa"/>
            <w:gridSpan w:val="2"/>
            <w:tcBorders>
              <w:bottom w:val="single" w:sz="4" w:space="0" w:color="auto"/>
            </w:tcBorders>
            <w:shd w:val="clear" w:color="000000" w:fill="B4C6E7"/>
            <w:noWrap/>
            <w:vAlign w:val="center"/>
            <w:hideMark/>
          </w:tcPr>
          <w:p w14:paraId="639D0339" w14:textId="77777777" w:rsidR="00100696" w:rsidRPr="007647EB" w:rsidRDefault="00100696" w:rsidP="008123FC">
            <w:pPr>
              <w:keepNext/>
              <w:keepLines/>
              <w:spacing w:before="40" w:after="40"/>
              <w:rPr>
                <w:b/>
                <w:bCs/>
                <w:sz w:val="18"/>
                <w:szCs w:val="18"/>
              </w:rPr>
            </w:pPr>
            <w:r w:rsidRPr="007647EB">
              <w:rPr>
                <w:b/>
                <w:bCs/>
                <w:color w:val="000000"/>
                <w:sz w:val="18"/>
                <w:szCs w:val="18"/>
              </w:rPr>
              <w:t>10.</w:t>
            </w:r>
            <w:r w:rsidRPr="007647EB">
              <w:rPr>
                <w:color w:val="000000"/>
                <w:sz w:val="18"/>
                <w:szCs w:val="18"/>
              </w:rPr>
              <w:t xml:space="preserve"> </w:t>
            </w:r>
            <w:r w:rsidRPr="007647EB">
              <w:rPr>
                <w:b/>
                <w:bCs/>
                <w:color w:val="000000"/>
                <w:sz w:val="18"/>
                <w:szCs w:val="18"/>
              </w:rPr>
              <w:t>Présence numérique</w:t>
            </w:r>
          </w:p>
        </w:tc>
        <w:tc>
          <w:tcPr>
            <w:tcW w:w="1275" w:type="dxa"/>
            <w:tcBorders>
              <w:bottom w:val="single" w:sz="4" w:space="0" w:color="auto"/>
            </w:tcBorders>
            <w:shd w:val="clear" w:color="000000" w:fill="B4C6E7"/>
            <w:noWrap/>
            <w:vAlign w:val="center"/>
            <w:hideMark/>
          </w:tcPr>
          <w:p w14:paraId="19919A92"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22 500</w:t>
            </w:r>
          </w:p>
        </w:tc>
        <w:tc>
          <w:tcPr>
            <w:tcW w:w="1134" w:type="dxa"/>
            <w:tcBorders>
              <w:bottom w:val="single" w:sz="4" w:space="0" w:color="auto"/>
            </w:tcBorders>
            <w:shd w:val="clear" w:color="000000" w:fill="B4C6E7"/>
            <w:noWrap/>
            <w:vAlign w:val="center"/>
            <w:hideMark/>
          </w:tcPr>
          <w:p w14:paraId="01E385FF"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27 500</w:t>
            </w:r>
          </w:p>
        </w:tc>
        <w:tc>
          <w:tcPr>
            <w:tcW w:w="1276" w:type="dxa"/>
            <w:tcBorders>
              <w:bottom w:val="single" w:sz="4" w:space="0" w:color="auto"/>
            </w:tcBorders>
            <w:shd w:val="clear" w:color="000000" w:fill="B4C6E7"/>
            <w:noWrap/>
            <w:vAlign w:val="center"/>
            <w:hideMark/>
          </w:tcPr>
          <w:p w14:paraId="10982889"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50 000</w:t>
            </w:r>
          </w:p>
        </w:tc>
        <w:tc>
          <w:tcPr>
            <w:tcW w:w="1134" w:type="dxa"/>
            <w:tcBorders>
              <w:bottom w:val="single" w:sz="4" w:space="0" w:color="auto"/>
            </w:tcBorders>
            <w:shd w:val="clear" w:color="000000" w:fill="B4C6E7"/>
            <w:noWrap/>
            <w:vAlign w:val="center"/>
            <w:hideMark/>
          </w:tcPr>
          <w:p w14:paraId="3857B948"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120 000</w:t>
            </w:r>
          </w:p>
        </w:tc>
        <w:tc>
          <w:tcPr>
            <w:tcW w:w="1134" w:type="dxa"/>
            <w:tcBorders>
              <w:bottom w:val="single" w:sz="4" w:space="0" w:color="auto"/>
            </w:tcBorders>
            <w:shd w:val="clear" w:color="000000" w:fill="B4C6E7"/>
            <w:noWrap/>
            <w:vAlign w:val="center"/>
            <w:hideMark/>
          </w:tcPr>
          <w:p w14:paraId="186BE1C4"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85 000</w:t>
            </w:r>
          </w:p>
        </w:tc>
        <w:tc>
          <w:tcPr>
            <w:tcW w:w="1245" w:type="dxa"/>
            <w:tcBorders>
              <w:bottom w:val="single" w:sz="4" w:space="0" w:color="auto"/>
            </w:tcBorders>
            <w:shd w:val="clear" w:color="000000" w:fill="B4C6E7"/>
            <w:noWrap/>
            <w:vAlign w:val="center"/>
            <w:hideMark/>
          </w:tcPr>
          <w:p w14:paraId="7DC0D12D"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205 000</w:t>
            </w:r>
          </w:p>
        </w:tc>
      </w:tr>
      <w:tr w:rsidR="00100696" w:rsidRPr="007647EB" w14:paraId="60D85FFD" w14:textId="77777777" w:rsidTr="008123FC">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61DD5874" w14:textId="77777777" w:rsidR="00100696" w:rsidRPr="007647EB" w:rsidRDefault="00100696" w:rsidP="008123FC">
            <w:pPr>
              <w:keepNext/>
              <w:keepLines/>
              <w:spacing w:before="40" w:after="40"/>
              <w:ind w:firstLineChars="100" w:firstLine="181"/>
              <w:rPr>
                <w:b/>
                <w:bCs/>
                <w:sz w:val="18"/>
                <w:szCs w:val="18"/>
              </w:rPr>
            </w:pPr>
            <w:r w:rsidRPr="007647EB">
              <w:rPr>
                <w:b/>
                <w:bCs/>
                <w:color w:val="000000"/>
                <w:sz w:val="18"/>
                <w:szCs w:val="18"/>
              </w:rPr>
              <w:t>Total (D)</w:t>
            </w:r>
          </w:p>
        </w:tc>
        <w:tc>
          <w:tcPr>
            <w:tcW w:w="1275" w:type="dxa"/>
            <w:tcBorders>
              <w:top w:val="single" w:sz="4" w:space="0" w:color="auto"/>
              <w:bottom w:val="single" w:sz="4" w:space="0" w:color="auto"/>
            </w:tcBorders>
            <w:shd w:val="clear" w:color="000000" w:fill="DBB731"/>
            <w:noWrap/>
            <w:vAlign w:val="center"/>
            <w:hideMark/>
          </w:tcPr>
          <w:p w14:paraId="03973DCD"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81 500</w:t>
            </w:r>
          </w:p>
        </w:tc>
        <w:tc>
          <w:tcPr>
            <w:tcW w:w="1134" w:type="dxa"/>
            <w:tcBorders>
              <w:top w:val="single" w:sz="4" w:space="0" w:color="auto"/>
              <w:bottom w:val="single" w:sz="4" w:space="0" w:color="auto"/>
            </w:tcBorders>
            <w:shd w:val="clear" w:color="000000" w:fill="DBB731"/>
            <w:noWrap/>
            <w:vAlign w:val="center"/>
            <w:hideMark/>
          </w:tcPr>
          <w:p w14:paraId="5C2A84EA"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89 500</w:t>
            </w:r>
          </w:p>
        </w:tc>
        <w:tc>
          <w:tcPr>
            <w:tcW w:w="1276" w:type="dxa"/>
            <w:tcBorders>
              <w:top w:val="single" w:sz="4" w:space="0" w:color="auto"/>
              <w:bottom w:val="single" w:sz="4" w:space="0" w:color="auto"/>
            </w:tcBorders>
            <w:shd w:val="clear" w:color="000000" w:fill="DBB731"/>
            <w:noWrap/>
            <w:vAlign w:val="center"/>
            <w:hideMark/>
          </w:tcPr>
          <w:p w14:paraId="6639DB9F"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171 000</w:t>
            </w:r>
          </w:p>
        </w:tc>
        <w:tc>
          <w:tcPr>
            <w:tcW w:w="1134" w:type="dxa"/>
            <w:tcBorders>
              <w:top w:val="single" w:sz="4" w:space="0" w:color="auto"/>
              <w:bottom w:val="single" w:sz="4" w:space="0" w:color="auto"/>
            </w:tcBorders>
            <w:shd w:val="clear" w:color="000000" w:fill="DBB731"/>
            <w:noWrap/>
            <w:vAlign w:val="center"/>
            <w:hideMark/>
          </w:tcPr>
          <w:p w14:paraId="54AB6210"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132 500</w:t>
            </w:r>
          </w:p>
        </w:tc>
        <w:tc>
          <w:tcPr>
            <w:tcW w:w="1134" w:type="dxa"/>
            <w:tcBorders>
              <w:top w:val="single" w:sz="4" w:space="0" w:color="auto"/>
              <w:bottom w:val="single" w:sz="4" w:space="0" w:color="auto"/>
            </w:tcBorders>
            <w:shd w:val="clear" w:color="000000" w:fill="DBB731"/>
            <w:noWrap/>
            <w:vAlign w:val="center"/>
            <w:hideMark/>
          </w:tcPr>
          <w:p w14:paraId="4DDDF0F4"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97 500</w:t>
            </w:r>
          </w:p>
        </w:tc>
        <w:tc>
          <w:tcPr>
            <w:tcW w:w="1245" w:type="dxa"/>
            <w:tcBorders>
              <w:top w:val="single" w:sz="4" w:space="0" w:color="auto"/>
              <w:bottom w:val="single" w:sz="4" w:space="0" w:color="auto"/>
            </w:tcBorders>
            <w:shd w:val="clear" w:color="000000" w:fill="DBB731"/>
            <w:noWrap/>
            <w:vAlign w:val="center"/>
            <w:hideMark/>
          </w:tcPr>
          <w:p w14:paraId="5671A51E"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230 000</w:t>
            </w:r>
          </w:p>
        </w:tc>
      </w:tr>
      <w:tr w:rsidR="00100696" w:rsidRPr="007647EB" w14:paraId="1DC9F5FD" w14:textId="77777777" w:rsidTr="008123FC">
        <w:trPr>
          <w:trHeight w:val="300"/>
          <w:jc w:val="right"/>
        </w:trPr>
        <w:tc>
          <w:tcPr>
            <w:tcW w:w="7230" w:type="dxa"/>
            <w:gridSpan w:val="2"/>
            <w:tcBorders>
              <w:top w:val="single" w:sz="4" w:space="0" w:color="auto"/>
            </w:tcBorders>
            <w:noWrap/>
            <w:vAlign w:val="center"/>
            <w:hideMark/>
          </w:tcPr>
          <w:p w14:paraId="67E762EC" w14:textId="77777777" w:rsidR="00100696" w:rsidRPr="007647EB" w:rsidRDefault="00100696" w:rsidP="00A95FE9">
            <w:pPr>
              <w:keepNext/>
              <w:keepLines/>
              <w:spacing w:before="40" w:after="40"/>
              <w:rPr>
                <w:b/>
                <w:bCs/>
                <w:sz w:val="18"/>
                <w:szCs w:val="18"/>
              </w:rPr>
            </w:pPr>
            <w:r w:rsidRPr="007647EB">
              <w:rPr>
                <w:b/>
                <w:bCs/>
                <w:color w:val="000000"/>
                <w:sz w:val="18"/>
                <w:szCs w:val="18"/>
              </w:rPr>
              <w:t>E.</w:t>
            </w:r>
            <w:r w:rsidRPr="007647EB">
              <w:rPr>
                <w:color w:val="000000"/>
                <w:sz w:val="18"/>
                <w:szCs w:val="18"/>
              </w:rPr>
              <w:t xml:space="preserve"> </w:t>
            </w:r>
            <w:r w:rsidRPr="007647EB">
              <w:rPr>
                <w:b/>
                <w:bCs/>
                <w:color w:val="000000"/>
                <w:sz w:val="18"/>
                <w:szCs w:val="18"/>
              </w:rPr>
              <w:t>Gestion globale</w:t>
            </w:r>
          </w:p>
        </w:tc>
        <w:tc>
          <w:tcPr>
            <w:tcW w:w="1275" w:type="dxa"/>
            <w:tcBorders>
              <w:top w:val="single" w:sz="4" w:space="0" w:color="auto"/>
            </w:tcBorders>
            <w:noWrap/>
            <w:vAlign w:val="center"/>
            <w:hideMark/>
          </w:tcPr>
          <w:p w14:paraId="32CAD4CC" w14:textId="77777777" w:rsidR="00100696" w:rsidRPr="007647EB" w:rsidRDefault="00100696" w:rsidP="00A95FE9">
            <w:pPr>
              <w:keepNext/>
              <w:keepLines/>
              <w:spacing w:before="40" w:after="40"/>
              <w:jc w:val="right"/>
              <w:rPr>
                <w:b/>
                <w:bCs/>
                <w:sz w:val="18"/>
                <w:szCs w:val="18"/>
              </w:rPr>
            </w:pPr>
          </w:p>
        </w:tc>
        <w:tc>
          <w:tcPr>
            <w:tcW w:w="1134" w:type="dxa"/>
            <w:tcBorders>
              <w:top w:val="single" w:sz="4" w:space="0" w:color="auto"/>
            </w:tcBorders>
            <w:noWrap/>
            <w:vAlign w:val="center"/>
            <w:hideMark/>
          </w:tcPr>
          <w:p w14:paraId="2A526084" w14:textId="77777777" w:rsidR="00100696" w:rsidRPr="007647EB" w:rsidRDefault="00100696" w:rsidP="00A95FE9">
            <w:pPr>
              <w:keepNext/>
              <w:keepLines/>
              <w:spacing w:before="40" w:after="40"/>
              <w:jc w:val="right"/>
              <w:rPr>
                <w:b/>
                <w:bCs/>
                <w:sz w:val="18"/>
                <w:szCs w:val="18"/>
              </w:rPr>
            </w:pPr>
          </w:p>
        </w:tc>
        <w:tc>
          <w:tcPr>
            <w:tcW w:w="1276" w:type="dxa"/>
            <w:tcBorders>
              <w:top w:val="single" w:sz="4" w:space="0" w:color="auto"/>
            </w:tcBorders>
            <w:noWrap/>
            <w:vAlign w:val="center"/>
            <w:hideMark/>
          </w:tcPr>
          <w:p w14:paraId="354D6997" w14:textId="77777777" w:rsidR="00100696" w:rsidRPr="007647EB" w:rsidRDefault="00100696" w:rsidP="00A95FE9">
            <w:pPr>
              <w:keepNext/>
              <w:keepLines/>
              <w:spacing w:before="40" w:after="40"/>
              <w:jc w:val="right"/>
              <w:rPr>
                <w:b/>
                <w:bCs/>
                <w:sz w:val="18"/>
                <w:szCs w:val="18"/>
              </w:rPr>
            </w:pPr>
          </w:p>
        </w:tc>
        <w:tc>
          <w:tcPr>
            <w:tcW w:w="1134" w:type="dxa"/>
            <w:tcBorders>
              <w:top w:val="single" w:sz="4" w:space="0" w:color="auto"/>
            </w:tcBorders>
            <w:noWrap/>
            <w:vAlign w:val="center"/>
            <w:hideMark/>
          </w:tcPr>
          <w:p w14:paraId="75D8A430" w14:textId="77777777" w:rsidR="00100696" w:rsidRPr="007647EB" w:rsidRDefault="00100696" w:rsidP="00A95FE9">
            <w:pPr>
              <w:keepNext/>
              <w:keepLines/>
              <w:spacing w:before="40" w:after="40"/>
              <w:jc w:val="right"/>
              <w:rPr>
                <w:b/>
                <w:bCs/>
                <w:sz w:val="18"/>
                <w:szCs w:val="18"/>
              </w:rPr>
            </w:pPr>
          </w:p>
        </w:tc>
        <w:tc>
          <w:tcPr>
            <w:tcW w:w="1134" w:type="dxa"/>
            <w:tcBorders>
              <w:top w:val="single" w:sz="4" w:space="0" w:color="auto"/>
            </w:tcBorders>
            <w:noWrap/>
            <w:vAlign w:val="center"/>
            <w:hideMark/>
          </w:tcPr>
          <w:p w14:paraId="131FB994" w14:textId="77777777" w:rsidR="00100696" w:rsidRPr="007647EB" w:rsidRDefault="00100696" w:rsidP="00A95FE9">
            <w:pPr>
              <w:keepNext/>
              <w:keepLines/>
              <w:spacing w:before="40" w:after="40"/>
              <w:jc w:val="right"/>
              <w:rPr>
                <w:b/>
                <w:bCs/>
                <w:sz w:val="18"/>
                <w:szCs w:val="18"/>
              </w:rPr>
            </w:pPr>
          </w:p>
        </w:tc>
        <w:tc>
          <w:tcPr>
            <w:tcW w:w="1245" w:type="dxa"/>
            <w:tcBorders>
              <w:top w:val="single" w:sz="4" w:space="0" w:color="auto"/>
            </w:tcBorders>
            <w:noWrap/>
            <w:vAlign w:val="center"/>
            <w:hideMark/>
          </w:tcPr>
          <w:p w14:paraId="431F2B39" w14:textId="77777777" w:rsidR="00100696" w:rsidRPr="007647EB" w:rsidRDefault="00100696" w:rsidP="00A95FE9">
            <w:pPr>
              <w:keepNext/>
              <w:keepLines/>
              <w:spacing w:before="40" w:after="40"/>
              <w:jc w:val="right"/>
              <w:rPr>
                <w:b/>
                <w:bCs/>
                <w:sz w:val="18"/>
                <w:szCs w:val="18"/>
              </w:rPr>
            </w:pPr>
          </w:p>
        </w:tc>
      </w:tr>
      <w:tr w:rsidR="00100696" w:rsidRPr="007647EB" w14:paraId="1312A611" w14:textId="77777777" w:rsidTr="008123FC">
        <w:trPr>
          <w:trHeight w:val="117"/>
          <w:jc w:val="right"/>
        </w:trPr>
        <w:tc>
          <w:tcPr>
            <w:tcW w:w="7230" w:type="dxa"/>
            <w:gridSpan w:val="2"/>
            <w:noWrap/>
            <w:vAlign w:val="center"/>
            <w:hideMark/>
          </w:tcPr>
          <w:p w14:paraId="67EE9AF0" w14:textId="77777777" w:rsidR="00100696" w:rsidRPr="007647EB" w:rsidRDefault="00100696" w:rsidP="00A95FE9">
            <w:pPr>
              <w:keepNext/>
              <w:keepLines/>
              <w:spacing w:before="40" w:after="40"/>
              <w:rPr>
                <w:b/>
                <w:bCs/>
                <w:sz w:val="18"/>
                <w:szCs w:val="18"/>
              </w:rPr>
            </w:pPr>
            <w:r w:rsidRPr="007647EB">
              <w:rPr>
                <w:b/>
                <w:bCs/>
                <w:color w:val="000000"/>
                <w:sz w:val="18"/>
                <w:szCs w:val="18"/>
              </w:rPr>
              <w:t>11.</w:t>
            </w:r>
            <w:r w:rsidRPr="007647EB">
              <w:rPr>
                <w:color w:val="000000"/>
                <w:sz w:val="18"/>
                <w:szCs w:val="18"/>
              </w:rPr>
              <w:t xml:space="preserve"> </w:t>
            </w:r>
            <w:r w:rsidRPr="007647EB">
              <w:rPr>
                <w:b/>
                <w:bCs/>
                <w:color w:val="000000"/>
                <w:sz w:val="18"/>
                <w:szCs w:val="18"/>
              </w:rPr>
              <w:t>Direction exécutive et administration</w:t>
            </w:r>
          </w:p>
        </w:tc>
        <w:tc>
          <w:tcPr>
            <w:tcW w:w="1275" w:type="dxa"/>
            <w:noWrap/>
            <w:vAlign w:val="center"/>
            <w:hideMark/>
          </w:tcPr>
          <w:p w14:paraId="47BAD396" w14:textId="77777777" w:rsidR="00100696" w:rsidRPr="007647EB" w:rsidRDefault="00100696" w:rsidP="00A95FE9">
            <w:pPr>
              <w:keepNext/>
              <w:keepLines/>
              <w:spacing w:before="40" w:after="40"/>
              <w:jc w:val="right"/>
              <w:rPr>
                <w:b/>
                <w:bCs/>
                <w:sz w:val="18"/>
                <w:szCs w:val="18"/>
              </w:rPr>
            </w:pPr>
          </w:p>
        </w:tc>
        <w:tc>
          <w:tcPr>
            <w:tcW w:w="1134" w:type="dxa"/>
            <w:noWrap/>
            <w:vAlign w:val="center"/>
            <w:hideMark/>
          </w:tcPr>
          <w:p w14:paraId="6553F8A2" w14:textId="77777777" w:rsidR="00100696" w:rsidRPr="007647EB" w:rsidRDefault="00100696" w:rsidP="00A95FE9">
            <w:pPr>
              <w:keepNext/>
              <w:keepLines/>
              <w:spacing w:before="40" w:after="40"/>
              <w:jc w:val="right"/>
              <w:rPr>
                <w:b/>
                <w:bCs/>
                <w:sz w:val="18"/>
                <w:szCs w:val="18"/>
              </w:rPr>
            </w:pPr>
          </w:p>
        </w:tc>
        <w:tc>
          <w:tcPr>
            <w:tcW w:w="1276" w:type="dxa"/>
            <w:noWrap/>
            <w:vAlign w:val="center"/>
            <w:hideMark/>
          </w:tcPr>
          <w:p w14:paraId="61764234" w14:textId="77777777" w:rsidR="00100696" w:rsidRPr="007647EB" w:rsidRDefault="00100696" w:rsidP="00A95FE9">
            <w:pPr>
              <w:keepNext/>
              <w:keepLines/>
              <w:spacing w:before="40" w:after="40"/>
              <w:jc w:val="right"/>
              <w:rPr>
                <w:sz w:val="18"/>
                <w:szCs w:val="18"/>
              </w:rPr>
            </w:pPr>
          </w:p>
        </w:tc>
        <w:tc>
          <w:tcPr>
            <w:tcW w:w="1134" w:type="dxa"/>
            <w:noWrap/>
            <w:vAlign w:val="center"/>
            <w:hideMark/>
          </w:tcPr>
          <w:p w14:paraId="10D6BF8D" w14:textId="77777777" w:rsidR="00100696" w:rsidRPr="007647EB" w:rsidRDefault="00100696" w:rsidP="00A95FE9">
            <w:pPr>
              <w:keepNext/>
              <w:keepLines/>
              <w:spacing w:before="40" w:after="40"/>
              <w:jc w:val="right"/>
              <w:rPr>
                <w:b/>
                <w:bCs/>
                <w:sz w:val="18"/>
                <w:szCs w:val="18"/>
              </w:rPr>
            </w:pPr>
          </w:p>
        </w:tc>
        <w:tc>
          <w:tcPr>
            <w:tcW w:w="1134" w:type="dxa"/>
            <w:noWrap/>
            <w:vAlign w:val="center"/>
            <w:hideMark/>
          </w:tcPr>
          <w:p w14:paraId="197F44F7" w14:textId="77777777" w:rsidR="00100696" w:rsidRPr="007647EB" w:rsidRDefault="00100696" w:rsidP="00A95FE9">
            <w:pPr>
              <w:keepNext/>
              <w:keepLines/>
              <w:spacing w:before="40" w:after="40"/>
              <w:jc w:val="right"/>
              <w:rPr>
                <w:b/>
                <w:bCs/>
                <w:sz w:val="18"/>
                <w:szCs w:val="18"/>
              </w:rPr>
            </w:pPr>
          </w:p>
        </w:tc>
        <w:tc>
          <w:tcPr>
            <w:tcW w:w="1245" w:type="dxa"/>
            <w:noWrap/>
            <w:vAlign w:val="center"/>
            <w:hideMark/>
          </w:tcPr>
          <w:p w14:paraId="428568CF" w14:textId="77777777" w:rsidR="00100696" w:rsidRPr="007647EB" w:rsidRDefault="00100696" w:rsidP="00A95FE9">
            <w:pPr>
              <w:keepNext/>
              <w:keepLines/>
              <w:spacing w:before="40" w:after="40"/>
              <w:jc w:val="right"/>
              <w:rPr>
                <w:sz w:val="18"/>
                <w:szCs w:val="18"/>
              </w:rPr>
            </w:pPr>
          </w:p>
        </w:tc>
      </w:tr>
      <w:tr w:rsidR="00100696" w:rsidRPr="007647EB" w14:paraId="6E2C7287" w14:textId="77777777" w:rsidTr="008123FC">
        <w:trPr>
          <w:trHeight w:val="80"/>
          <w:jc w:val="right"/>
        </w:trPr>
        <w:tc>
          <w:tcPr>
            <w:tcW w:w="284" w:type="dxa"/>
            <w:noWrap/>
            <w:vAlign w:val="center"/>
            <w:hideMark/>
          </w:tcPr>
          <w:p w14:paraId="4D799DFC" w14:textId="77777777" w:rsidR="00100696" w:rsidRPr="007647EB" w:rsidRDefault="00100696" w:rsidP="00A95FE9">
            <w:pPr>
              <w:keepNext/>
              <w:keepLines/>
              <w:spacing w:before="40" w:after="40"/>
              <w:rPr>
                <w:b/>
                <w:bCs/>
                <w:sz w:val="18"/>
                <w:szCs w:val="18"/>
              </w:rPr>
            </w:pPr>
            <w:r w:rsidRPr="007647EB">
              <w:rPr>
                <w:b/>
                <w:bCs/>
                <w:color w:val="000000"/>
                <w:sz w:val="18"/>
                <w:szCs w:val="18"/>
              </w:rPr>
              <w:t> </w:t>
            </w:r>
          </w:p>
        </w:tc>
        <w:tc>
          <w:tcPr>
            <w:tcW w:w="6946" w:type="dxa"/>
            <w:noWrap/>
            <w:vAlign w:val="center"/>
            <w:hideMark/>
          </w:tcPr>
          <w:p w14:paraId="4DAEB525" w14:textId="77777777" w:rsidR="00100696" w:rsidRPr="007647EB" w:rsidRDefault="00100696" w:rsidP="00A95FE9">
            <w:pPr>
              <w:keepNext/>
              <w:keepLines/>
              <w:spacing w:before="40" w:after="40"/>
              <w:rPr>
                <w:sz w:val="18"/>
                <w:szCs w:val="18"/>
              </w:rPr>
            </w:pPr>
            <w:r w:rsidRPr="007647EB">
              <w:rPr>
                <w:color w:val="000000"/>
                <w:sz w:val="18"/>
                <w:szCs w:val="18"/>
              </w:rPr>
              <w:t>11.1. Gestion globale*</w:t>
            </w:r>
          </w:p>
        </w:tc>
        <w:tc>
          <w:tcPr>
            <w:tcW w:w="1275" w:type="dxa"/>
            <w:noWrap/>
            <w:vAlign w:val="center"/>
            <w:hideMark/>
          </w:tcPr>
          <w:p w14:paraId="42683C29" w14:textId="77777777" w:rsidR="00100696" w:rsidRPr="007647EB" w:rsidRDefault="00100696" w:rsidP="00A95FE9">
            <w:pPr>
              <w:keepNext/>
              <w:keepLines/>
              <w:spacing w:before="40" w:after="40"/>
              <w:jc w:val="right"/>
              <w:rPr>
                <w:sz w:val="18"/>
                <w:szCs w:val="18"/>
              </w:rPr>
            </w:pPr>
            <w:r w:rsidRPr="007647EB">
              <w:rPr>
                <w:color w:val="000000"/>
                <w:sz w:val="18"/>
                <w:szCs w:val="18"/>
              </w:rPr>
              <w:t>2 724 996</w:t>
            </w:r>
          </w:p>
        </w:tc>
        <w:tc>
          <w:tcPr>
            <w:tcW w:w="1134" w:type="dxa"/>
            <w:noWrap/>
            <w:vAlign w:val="center"/>
            <w:hideMark/>
          </w:tcPr>
          <w:p w14:paraId="33D8C411" w14:textId="77777777" w:rsidR="00100696" w:rsidRPr="007647EB" w:rsidRDefault="00100696" w:rsidP="00A95FE9">
            <w:pPr>
              <w:keepNext/>
              <w:keepLines/>
              <w:spacing w:before="40" w:after="40"/>
              <w:jc w:val="right"/>
              <w:rPr>
                <w:sz w:val="18"/>
                <w:szCs w:val="18"/>
              </w:rPr>
            </w:pPr>
            <w:r w:rsidRPr="007647EB">
              <w:rPr>
                <w:color w:val="000000"/>
                <w:sz w:val="18"/>
                <w:szCs w:val="18"/>
              </w:rPr>
              <w:t>2 692 495</w:t>
            </w:r>
          </w:p>
        </w:tc>
        <w:tc>
          <w:tcPr>
            <w:tcW w:w="1276" w:type="dxa"/>
            <w:noWrap/>
            <w:vAlign w:val="center"/>
            <w:hideMark/>
          </w:tcPr>
          <w:p w14:paraId="1DE68B7B" w14:textId="77777777" w:rsidR="00100696" w:rsidRPr="007647EB" w:rsidRDefault="00100696" w:rsidP="00A95FE9">
            <w:pPr>
              <w:keepNext/>
              <w:keepLines/>
              <w:spacing w:before="40" w:after="40"/>
              <w:jc w:val="right"/>
              <w:rPr>
                <w:sz w:val="18"/>
                <w:szCs w:val="18"/>
              </w:rPr>
            </w:pPr>
            <w:r w:rsidRPr="007647EB">
              <w:rPr>
                <w:color w:val="000000"/>
                <w:sz w:val="18"/>
                <w:szCs w:val="18"/>
              </w:rPr>
              <w:t>5 417 491</w:t>
            </w:r>
          </w:p>
        </w:tc>
        <w:tc>
          <w:tcPr>
            <w:tcW w:w="1134" w:type="dxa"/>
            <w:noWrap/>
            <w:vAlign w:val="center"/>
            <w:hideMark/>
          </w:tcPr>
          <w:p w14:paraId="3081B637" w14:textId="77777777" w:rsidR="00100696" w:rsidRPr="007647EB" w:rsidRDefault="00100696" w:rsidP="00A95FE9">
            <w:pPr>
              <w:keepNext/>
              <w:keepLines/>
              <w:spacing w:before="40" w:after="40"/>
              <w:jc w:val="right"/>
              <w:rPr>
                <w:sz w:val="18"/>
                <w:szCs w:val="18"/>
              </w:rPr>
            </w:pPr>
          </w:p>
        </w:tc>
        <w:tc>
          <w:tcPr>
            <w:tcW w:w="1134" w:type="dxa"/>
            <w:noWrap/>
            <w:vAlign w:val="center"/>
            <w:hideMark/>
          </w:tcPr>
          <w:p w14:paraId="7B382F39" w14:textId="77777777" w:rsidR="00100696" w:rsidRPr="007647EB" w:rsidRDefault="00100696" w:rsidP="00A95FE9">
            <w:pPr>
              <w:keepNext/>
              <w:keepLines/>
              <w:spacing w:before="40" w:after="40"/>
              <w:jc w:val="right"/>
              <w:rPr>
                <w:sz w:val="18"/>
                <w:szCs w:val="18"/>
              </w:rPr>
            </w:pPr>
          </w:p>
        </w:tc>
        <w:tc>
          <w:tcPr>
            <w:tcW w:w="1245" w:type="dxa"/>
            <w:noWrap/>
            <w:vAlign w:val="center"/>
            <w:hideMark/>
          </w:tcPr>
          <w:p w14:paraId="35789658" w14:textId="77777777" w:rsidR="00100696" w:rsidRPr="007647EB" w:rsidRDefault="00100696" w:rsidP="00A95FE9">
            <w:pPr>
              <w:keepNext/>
              <w:keepLines/>
              <w:spacing w:before="40" w:after="40"/>
              <w:jc w:val="right"/>
              <w:rPr>
                <w:sz w:val="18"/>
                <w:szCs w:val="18"/>
              </w:rPr>
            </w:pPr>
          </w:p>
        </w:tc>
      </w:tr>
      <w:tr w:rsidR="00100696" w:rsidRPr="007647EB" w14:paraId="00ED0FA9" w14:textId="77777777" w:rsidTr="008123FC">
        <w:trPr>
          <w:trHeight w:val="111"/>
          <w:jc w:val="right"/>
        </w:trPr>
        <w:tc>
          <w:tcPr>
            <w:tcW w:w="284" w:type="dxa"/>
            <w:tcBorders>
              <w:top w:val="nil"/>
            </w:tcBorders>
            <w:noWrap/>
            <w:hideMark/>
          </w:tcPr>
          <w:p w14:paraId="3A32869A" w14:textId="77777777" w:rsidR="00100696" w:rsidRPr="007647EB" w:rsidRDefault="00100696" w:rsidP="00A95FE9">
            <w:pPr>
              <w:keepNext/>
              <w:keepLines/>
              <w:spacing w:before="40" w:after="40"/>
              <w:rPr>
                <w:sz w:val="18"/>
                <w:szCs w:val="18"/>
              </w:rPr>
            </w:pPr>
            <w:r w:rsidRPr="007647EB">
              <w:rPr>
                <w:color w:val="000000"/>
                <w:sz w:val="18"/>
                <w:szCs w:val="18"/>
              </w:rPr>
              <w:t> </w:t>
            </w:r>
          </w:p>
        </w:tc>
        <w:tc>
          <w:tcPr>
            <w:tcW w:w="6946" w:type="dxa"/>
            <w:tcBorders>
              <w:top w:val="nil"/>
            </w:tcBorders>
            <w:noWrap/>
            <w:vAlign w:val="center"/>
            <w:hideMark/>
          </w:tcPr>
          <w:p w14:paraId="3F62889A" w14:textId="77777777" w:rsidR="00100696" w:rsidRPr="007647EB" w:rsidRDefault="00100696" w:rsidP="00A95FE9">
            <w:pPr>
              <w:keepNext/>
              <w:keepLines/>
              <w:spacing w:before="40" w:after="40"/>
              <w:rPr>
                <w:sz w:val="18"/>
                <w:szCs w:val="18"/>
              </w:rPr>
            </w:pPr>
            <w:r w:rsidRPr="007647EB">
              <w:rPr>
                <w:color w:val="000000"/>
                <w:sz w:val="18"/>
                <w:szCs w:val="18"/>
              </w:rPr>
              <w:t>11.2. Frais de voyage du personnel</w:t>
            </w:r>
          </w:p>
        </w:tc>
        <w:tc>
          <w:tcPr>
            <w:tcW w:w="1275" w:type="dxa"/>
            <w:tcBorders>
              <w:top w:val="nil"/>
            </w:tcBorders>
            <w:noWrap/>
            <w:vAlign w:val="center"/>
            <w:hideMark/>
          </w:tcPr>
          <w:p w14:paraId="421F60CD" w14:textId="77777777" w:rsidR="00100696" w:rsidRPr="007647EB" w:rsidRDefault="00100696" w:rsidP="00A95FE9">
            <w:pPr>
              <w:keepNext/>
              <w:keepLines/>
              <w:spacing w:before="40" w:after="40"/>
              <w:jc w:val="right"/>
              <w:rPr>
                <w:sz w:val="18"/>
                <w:szCs w:val="18"/>
              </w:rPr>
            </w:pPr>
            <w:r w:rsidRPr="007647EB">
              <w:rPr>
                <w:color w:val="000000"/>
                <w:sz w:val="18"/>
                <w:szCs w:val="18"/>
              </w:rPr>
              <w:t>82 061</w:t>
            </w:r>
          </w:p>
        </w:tc>
        <w:tc>
          <w:tcPr>
            <w:tcW w:w="1134" w:type="dxa"/>
            <w:tcBorders>
              <w:top w:val="nil"/>
            </w:tcBorders>
            <w:noWrap/>
            <w:vAlign w:val="center"/>
            <w:hideMark/>
          </w:tcPr>
          <w:p w14:paraId="48D15EAE" w14:textId="77777777" w:rsidR="00100696" w:rsidRPr="007647EB" w:rsidRDefault="00100696" w:rsidP="00A95FE9">
            <w:pPr>
              <w:keepNext/>
              <w:keepLines/>
              <w:spacing w:before="40" w:after="40"/>
              <w:jc w:val="right"/>
              <w:rPr>
                <w:sz w:val="18"/>
                <w:szCs w:val="18"/>
              </w:rPr>
            </w:pPr>
            <w:r w:rsidRPr="007647EB">
              <w:rPr>
                <w:color w:val="000000"/>
                <w:sz w:val="18"/>
                <w:szCs w:val="18"/>
              </w:rPr>
              <w:t>100 000</w:t>
            </w:r>
          </w:p>
        </w:tc>
        <w:tc>
          <w:tcPr>
            <w:tcW w:w="1276" w:type="dxa"/>
            <w:tcBorders>
              <w:top w:val="nil"/>
            </w:tcBorders>
            <w:noWrap/>
            <w:vAlign w:val="center"/>
            <w:hideMark/>
          </w:tcPr>
          <w:p w14:paraId="232A1A9F" w14:textId="77777777" w:rsidR="00100696" w:rsidRPr="007647EB" w:rsidRDefault="00100696" w:rsidP="00A95FE9">
            <w:pPr>
              <w:keepNext/>
              <w:keepLines/>
              <w:spacing w:before="40" w:after="40"/>
              <w:jc w:val="right"/>
              <w:rPr>
                <w:sz w:val="18"/>
                <w:szCs w:val="18"/>
              </w:rPr>
            </w:pPr>
            <w:r w:rsidRPr="007647EB">
              <w:rPr>
                <w:color w:val="000000"/>
                <w:sz w:val="18"/>
                <w:szCs w:val="18"/>
              </w:rPr>
              <w:t>182 061</w:t>
            </w:r>
          </w:p>
        </w:tc>
        <w:tc>
          <w:tcPr>
            <w:tcW w:w="1134" w:type="dxa"/>
            <w:tcBorders>
              <w:top w:val="nil"/>
            </w:tcBorders>
            <w:noWrap/>
            <w:vAlign w:val="center"/>
            <w:hideMark/>
          </w:tcPr>
          <w:p w14:paraId="214BFE56" w14:textId="77777777" w:rsidR="00100696" w:rsidRPr="007647EB" w:rsidRDefault="00100696" w:rsidP="00A95FE9">
            <w:pPr>
              <w:keepNext/>
              <w:keepLines/>
              <w:spacing w:before="40" w:after="40"/>
              <w:jc w:val="right"/>
              <w:rPr>
                <w:sz w:val="18"/>
                <w:szCs w:val="18"/>
              </w:rPr>
            </w:pPr>
          </w:p>
        </w:tc>
        <w:tc>
          <w:tcPr>
            <w:tcW w:w="1134" w:type="dxa"/>
            <w:tcBorders>
              <w:top w:val="nil"/>
            </w:tcBorders>
            <w:noWrap/>
            <w:vAlign w:val="center"/>
            <w:hideMark/>
          </w:tcPr>
          <w:p w14:paraId="7B68E209" w14:textId="77777777" w:rsidR="00100696" w:rsidRPr="007647EB" w:rsidRDefault="00100696" w:rsidP="00A95FE9">
            <w:pPr>
              <w:keepNext/>
              <w:keepLines/>
              <w:spacing w:before="40" w:after="40"/>
              <w:jc w:val="right"/>
              <w:rPr>
                <w:sz w:val="18"/>
                <w:szCs w:val="18"/>
              </w:rPr>
            </w:pPr>
          </w:p>
        </w:tc>
        <w:tc>
          <w:tcPr>
            <w:tcW w:w="1245" w:type="dxa"/>
            <w:tcBorders>
              <w:top w:val="nil"/>
            </w:tcBorders>
            <w:noWrap/>
            <w:vAlign w:val="center"/>
            <w:hideMark/>
          </w:tcPr>
          <w:p w14:paraId="01B46756" w14:textId="77777777" w:rsidR="00100696" w:rsidRPr="007647EB" w:rsidRDefault="00100696" w:rsidP="00A95FE9">
            <w:pPr>
              <w:keepNext/>
              <w:keepLines/>
              <w:spacing w:before="40" w:after="40"/>
              <w:jc w:val="right"/>
              <w:rPr>
                <w:sz w:val="18"/>
                <w:szCs w:val="18"/>
              </w:rPr>
            </w:pPr>
          </w:p>
        </w:tc>
      </w:tr>
      <w:tr w:rsidR="00100696" w:rsidRPr="007647EB" w14:paraId="61426091" w14:textId="77777777" w:rsidTr="008123FC">
        <w:trPr>
          <w:trHeight w:val="315"/>
          <w:jc w:val="right"/>
        </w:trPr>
        <w:tc>
          <w:tcPr>
            <w:tcW w:w="7230" w:type="dxa"/>
            <w:gridSpan w:val="2"/>
            <w:shd w:val="clear" w:color="000000" w:fill="B4C6E7"/>
            <w:noWrap/>
            <w:vAlign w:val="center"/>
            <w:hideMark/>
          </w:tcPr>
          <w:p w14:paraId="217E6977" w14:textId="77777777" w:rsidR="00100696" w:rsidRPr="007647EB" w:rsidRDefault="00100696" w:rsidP="008123FC">
            <w:pPr>
              <w:spacing w:before="40" w:after="40"/>
              <w:rPr>
                <w:b/>
                <w:bCs/>
                <w:sz w:val="18"/>
                <w:szCs w:val="18"/>
              </w:rPr>
            </w:pPr>
            <w:r w:rsidRPr="007647EB">
              <w:rPr>
                <w:b/>
                <w:bCs/>
                <w:color w:val="000000"/>
                <w:sz w:val="18"/>
                <w:szCs w:val="18"/>
              </w:rPr>
              <w:t>11.</w:t>
            </w:r>
            <w:r w:rsidRPr="007647EB">
              <w:rPr>
                <w:color w:val="000000"/>
                <w:sz w:val="18"/>
                <w:szCs w:val="18"/>
              </w:rPr>
              <w:t xml:space="preserve"> </w:t>
            </w:r>
            <w:r w:rsidRPr="007647EB">
              <w:rPr>
                <w:b/>
                <w:bCs/>
                <w:color w:val="000000"/>
                <w:sz w:val="18"/>
                <w:szCs w:val="18"/>
              </w:rPr>
              <w:t>Direction exécutive et administration</w:t>
            </w:r>
          </w:p>
        </w:tc>
        <w:tc>
          <w:tcPr>
            <w:tcW w:w="1275" w:type="dxa"/>
            <w:shd w:val="clear" w:color="000000" w:fill="B4C6E7"/>
            <w:noWrap/>
            <w:vAlign w:val="center"/>
            <w:hideMark/>
          </w:tcPr>
          <w:p w14:paraId="09A0C502" w14:textId="77777777" w:rsidR="00100696" w:rsidRPr="007647EB" w:rsidRDefault="00100696" w:rsidP="008123FC">
            <w:pPr>
              <w:spacing w:before="40" w:after="40"/>
              <w:jc w:val="right"/>
              <w:rPr>
                <w:b/>
                <w:bCs/>
                <w:sz w:val="18"/>
                <w:szCs w:val="18"/>
              </w:rPr>
            </w:pPr>
            <w:r w:rsidRPr="007647EB">
              <w:rPr>
                <w:b/>
                <w:bCs/>
                <w:color w:val="000000"/>
                <w:sz w:val="18"/>
                <w:szCs w:val="18"/>
              </w:rPr>
              <w:t>2 807 057</w:t>
            </w:r>
          </w:p>
        </w:tc>
        <w:tc>
          <w:tcPr>
            <w:tcW w:w="1134" w:type="dxa"/>
            <w:shd w:val="clear" w:color="000000" w:fill="B4C6E7"/>
            <w:noWrap/>
            <w:vAlign w:val="center"/>
            <w:hideMark/>
          </w:tcPr>
          <w:p w14:paraId="77B288B2" w14:textId="77777777" w:rsidR="00100696" w:rsidRPr="007647EB" w:rsidRDefault="00100696" w:rsidP="008123FC">
            <w:pPr>
              <w:spacing w:before="40" w:after="40"/>
              <w:jc w:val="right"/>
              <w:rPr>
                <w:b/>
                <w:bCs/>
                <w:sz w:val="18"/>
                <w:szCs w:val="18"/>
              </w:rPr>
            </w:pPr>
            <w:r w:rsidRPr="007647EB">
              <w:rPr>
                <w:b/>
                <w:bCs/>
                <w:color w:val="000000"/>
                <w:sz w:val="18"/>
                <w:szCs w:val="18"/>
              </w:rPr>
              <w:t>2 792 495</w:t>
            </w:r>
          </w:p>
        </w:tc>
        <w:tc>
          <w:tcPr>
            <w:tcW w:w="1276" w:type="dxa"/>
            <w:shd w:val="clear" w:color="000000" w:fill="B4C6E7"/>
            <w:noWrap/>
            <w:vAlign w:val="center"/>
            <w:hideMark/>
          </w:tcPr>
          <w:p w14:paraId="1733083E" w14:textId="77777777" w:rsidR="00100696" w:rsidRPr="007647EB" w:rsidRDefault="00100696" w:rsidP="008123FC">
            <w:pPr>
              <w:spacing w:before="40" w:after="40"/>
              <w:jc w:val="right"/>
              <w:rPr>
                <w:b/>
                <w:bCs/>
                <w:sz w:val="18"/>
                <w:szCs w:val="18"/>
              </w:rPr>
            </w:pPr>
            <w:r w:rsidRPr="007647EB">
              <w:rPr>
                <w:b/>
                <w:bCs/>
                <w:color w:val="000000"/>
                <w:sz w:val="18"/>
                <w:szCs w:val="18"/>
              </w:rPr>
              <w:t>5 599 552</w:t>
            </w:r>
          </w:p>
        </w:tc>
        <w:tc>
          <w:tcPr>
            <w:tcW w:w="1134" w:type="dxa"/>
            <w:shd w:val="clear" w:color="000000" w:fill="B4C6E7"/>
            <w:noWrap/>
            <w:vAlign w:val="center"/>
            <w:hideMark/>
          </w:tcPr>
          <w:p w14:paraId="1BD0003A"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15A57269"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0722E89C" w14:textId="77777777" w:rsidR="00100696" w:rsidRPr="007647EB" w:rsidRDefault="00100696" w:rsidP="008123FC">
            <w:pPr>
              <w:spacing w:before="40" w:after="40"/>
              <w:jc w:val="right"/>
              <w:rPr>
                <w:b/>
                <w:bCs/>
                <w:sz w:val="18"/>
                <w:szCs w:val="18"/>
              </w:rPr>
            </w:pPr>
          </w:p>
        </w:tc>
      </w:tr>
      <w:tr w:rsidR="00100696" w:rsidRPr="007647EB" w14:paraId="5725BE65" w14:textId="77777777" w:rsidTr="008123FC">
        <w:trPr>
          <w:trHeight w:val="52"/>
          <w:jc w:val="right"/>
        </w:trPr>
        <w:tc>
          <w:tcPr>
            <w:tcW w:w="7230" w:type="dxa"/>
            <w:gridSpan w:val="2"/>
            <w:noWrap/>
            <w:vAlign w:val="center"/>
            <w:hideMark/>
          </w:tcPr>
          <w:p w14:paraId="4A7F87D9" w14:textId="77777777" w:rsidR="00100696" w:rsidRPr="007647EB" w:rsidRDefault="00100696" w:rsidP="008123FC">
            <w:pPr>
              <w:spacing w:before="40" w:after="40"/>
              <w:rPr>
                <w:b/>
                <w:bCs/>
                <w:sz w:val="18"/>
                <w:szCs w:val="18"/>
              </w:rPr>
            </w:pPr>
            <w:r w:rsidRPr="007647EB">
              <w:rPr>
                <w:b/>
                <w:bCs/>
                <w:color w:val="000000"/>
                <w:sz w:val="18"/>
                <w:szCs w:val="18"/>
              </w:rPr>
              <w:t>12.</w:t>
            </w:r>
            <w:r w:rsidRPr="007647EB">
              <w:rPr>
                <w:color w:val="000000"/>
                <w:sz w:val="18"/>
                <w:szCs w:val="18"/>
              </w:rPr>
              <w:t xml:space="preserve"> </w:t>
            </w:r>
            <w:r w:rsidRPr="007647EB">
              <w:rPr>
                <w:b/>
                <w:bCs/>
                <w:color w:val="000000"/>
                <w:sz w:val="18"/>
                <w:szCs w:val="18"/>
              </w:rPr>
              <w:t>Coopération et coordination au niveau international</w:t>
            </w:r>
          </w:p>
        </w:tc>
        <w:tc>
          <w:tcPr>
            <w:tcW w:w="1275" w:type="dxa"/>
            <w:noWrap/>
            <w:vAlign w:val="center"/>
            <w:hideMark/>
          </w:tcPr>
          <w:p w14:paraId="198B5C43" w14:textId="77777777" w:rsidR="00100696" w:rsidRPr="007647EB" w:rsidRDefault="00100696" w:rsidP="008123FC">
            <w:pPr>
              <w:spacing w:before="40" w:after="40"/>
              <w:jc w:val="right"/>
              <w:rPr>
                <w:b/>
                <w:bCs/>
                <w:sz w:val="18"/>
                <w:szCs w:val="18"/>
              </w:rPr>
            </w:pPr>
          </w:p>
        </w:tc>
        <w:tc>
          <w:tcPr>
            <w:tcW w:w="1134" w:type="dxa"/>
            <w:noWrap/>
            <w:vAlign w:val="center"/>
            <w:hideMark/>
          </w:tcPr>
          <w:p w14:paraId="125F344F" w14:textId="77777777" w:rsidR="00100696" w:rsidRPr="007647EB" w:rsidRDefault="00100696" w:rsidP="008123FC">
            <w:pPr>
              <w:spacing w:before="40" w:after="40"/>
              <w:jc w:val="right"/>
              <w:rPr>
                <w:b/>
                <w:bCs/>
                <w:sz w:val="18"/>
                <w:szCs w:val="18"/>
              </w:rPr>
            </w:pPr>
          </w:p>
        </w:tc>
        <w:tc>
          <w:tcPr>
            <w:tcW w:w="1276" w:type="dxa"/>
            <w:noWrap/>
            <w:vAlign w:val="center"/>
            <w:hideMark/>
          </w:tcPr>
          <w:p w14:paraId="6966767D" w14:textId="77777777" w:rsidR="00100696" w:rsidRPr="007647EB" w:rsidRDefault="00100696" w:rsidP="008123FC">
            <w:pPr>
              <w:spacing w:before="40" w:after="40"/>
              <w:jc w:val="right"/>
              <w:rPr>
                <w:b/>
                <w:bCs/>
                <w:sz w:val="18"/>
                <w:szCs w:val="18"/>
              </w:rPr>
            </w:pPr>
          </w:p>
        </w:tc>
        <w:tc>
          <w:tcPr>
            <w:tcW w:w="1134" w:type="dxa"/>
            <w:noWrap/>
            <w:vAlign w:val="center"/>
            <w:hideMark/>
          </w:tcPr>
          <w:p w14:paraId="1ADC97AB" w14:textId="77777777" w:rsidR="00100696" w:rsidRPr="007647EB" w:rsidRDefault="00100696" w:rsidP="008123FC">
            <w:pPr>
              <w:spacing w:before="40" w:after="40"/>
              <w:jc w:val="right"/>
              <w:rPr>
                <w:b/>
                <w:bCs/>
                <w:sz w:val="18"/>
                <w:szCs w:val="18"/>
              </w:rPr>
            </w:pPr>
          </w:p>
        </w:tc>
        <w:tc>
          <w:tcPr>
            <w:tcW w:w="1134" w:type="dxa"/>
            <w:noWrap/>
            <w:vAlign w:val="center"/>
            <w:hideMark/>
          </w:tcPr>
          <w:p w14:paraId="1BB33112" w14:textId="77777777" w:rsidR="00100696" w:rsidRPr="007647EB" w:rsidRDefault="00100696" w:rsidP="008123FC">
            <w:pPr>
              <w:spacing w:before="40" w:after="40"/>
              <w:jc w:val="right"/>
              <w:rPr>
                <w:b/>
                <w:bCs/>
                <w:sz w:val="18"/>
                <w:szCs w:val="18"/>
              </w:rPr>
            </w:pPr>
          </w:p>
        </w:tc>
        <w:tc>
          <w:tcPr>
            <w:tcW w:w="1245" w:type="dxa"/>
            <w:noWrap/>
            <w:vAlign w:val="center"/>
            <w:hideMark/>
          </w:tcPr>
          <w:p w14:paraId="446E50FC" w14:textId="77777777" w:rsidR="00100696" w:rsidRPr="007647EB" w:rsidRDefault="00100696" w:rsidP="008123FC">
            <w:pPr>
              <w:spacing w:before="40" w:after="40"/>
              <w:jc w:val="right"/>
              <w:rPr>
                <w:b/>
                <w:bCs/>
                <w:sz w:val="18"/>
                <w:szCs w:val="18"/>
              </w:rPr>
            </w:pPr>
          </w:p>
        </w:tc>
      </w:tr>
      <w:tr w:rsidR="00100696" w:rsidRPr="007647EB" w14:paraId="7F6C14DF" w14:textId="77777777" w:rsidTr="008123FC">
        <w:trPr>
          <w:trHeight w:val="300"/>
          <w:jc w:val="right"/>
        </w:trPr>
        <w:tc>
          <w:tcPr>
            <w:tcW w:w="284" w:type="dxa"/>
            <w:tcBorders>
              <w:top w:val="nil"/>
            </w:tcBorders>
            <w:noWrap/>
            <w:hideMark/>
          </w:tcPr>
          <w:p w14:paraId="5E060347"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27B8ABC9" w14:textId="3524B3F9" w:rsidR="00100696" w:rsidRPr="007647EB" w:rsidRDefault="00100696" w:rsidP="008123FC">
            <w:pPr>
              <w:spacing w:before="40" w:after="40"/>
              <w:rPr>
                <w:sz w:val="18"/>
                <w:szCs w:val="18"/>
              </w:rPr>
            </w:pPr>
            <w:r w:rsidRPr="007647EB">
              <w:rPr>
                <w:color w:val="000000"/>
                <w:sz w:val="18"/>
                <w:szCs w:val="18"/>
              </w:rPr>
              <w:t>12.1. Coopération concernant les objectifs plus vastes liés au développement durable et à l</w:t>
            </w:r>
            <w:r w:rsidR="00D82E47" w:rsidRPr="007647EB">
              <w:rPr>
                <w:color w:val="000000"/>
                <w:sz w:val="18"/>
                <w:szCs w:val="18"/>
              </w:rPr>
              <w:t>’</w:t>
            </w:r>
            <w:r w:rsidRPr="007647EB">
              <w:rPr>
                <w:color w:val="000000"/>
                <w:sz w:val="18"/>
                <w:szCs w:val="18"/>
              </w:rPr>
              <w:t>environnement</w:t>
            </w:r>
          </w:p>
        </w:tc>
        <w:tc>
          <w:tcPr>
            <w:tcW w:w="1275" w:type="dxa"/>
            <w:tcBorders>
              <w:top w:val="nil"/>
            </w:tcBorders>
            <w:noWrap/>
            <w:vAlign w:val="center"/>
            <w:hideMark/>
          </w:tcPr>
          <w:p w14:paraId="72A3148F"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7558AA48"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65898191"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673C89CA"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134" w:type="dxa"/>
            <w:tcBorders>
              <w:top w:val="nil"/>
            </w:tcBorders>
            <w:noWrap/>
            <w:vAlign w:val="center"/>
            <w:hideMark/>
          </w:tcPr>
          <w:p w14:paraId="187EFCBA" w14:textId="77777777" w:rsidR="00100696" w:rsidRPr="007647EB" w:rsidRDefault="00100696" w:rsidP="008123FC">
            <w:pPr>
              <w:spacing w:before="40" w:after="40"/>
              <w:jc w:val="right"/>
              <w:rPr>
                <w:sz w:val="18"/>
                <w:szCs w:val="18"/>
              </w:rPr>
            </w:pPr>
            <w:r w:rsidRPr="007647EB">
              <w:rPr>
                <w:color w:val="000000"/>
                <w:sz w:val="18"/>
                <w:szCs w:val="18"/>
              </w:rPr>
              <w:t>50 000</w:t>
            </w:r>
          </w:p>
        </w:tc>
        <w:tc>
          <w:tcPr>
            <w:tcW w:w="1245" w:type="dxa"/>
            <w:tcBorders>
              <w:top w:val="nil"/>
            </w:tcBorders>
            <w:noWrap/>
            <w:vAlign w:val="center"/>
            <w:hideMark/>
          </w:tcPr>
          <w:p w14:paraId="5AB22617" w14:textId="77777777" w:rsidR="00100696" w:rsidRPr="007647EB" w:rsidRDefault="00100696" w:rsidP="008123FC">
            <w:pPr>
              <w:spacing w:before="40" w:after="40"/>
              <w:jc w:val="right"/>
              <w:rPr>
                <w:sz w:val="18"/>
                <w:szCs w:val="18"/>
              </w:rPr>
            </w:pPr>
            <w:r w:rsidRPr="007647EB">
              <w:rPr>
                <w:color w:val="000000"/>
                <w:sz w:val="18"/>
                <w:szCs w:val="18"/>
              </w:rPr>
              <w:t>100 000</w:t>
            </w:r>
          </w:p>
        </w:tc>
      </w:tr>
      <w:tr w:rsidR="00100696" w:rsidRPr="007647EB" w14:paraId="5149866A" w14:textId="77777777" w:rsidTr="008123FC">
        <w:trPr>
          <w:trHeight w:val="86"/>
          <w:jc w:val="right"/>
        </w:trPr>
        <w:tc>
          <w:tcPr>
            <w:tcW w:w="284" w:type="dxa"/>
            <w:tcBorders>
              <w:top w:val="nil"/>
            </w:tcBorders>
            <w:noWrap/>
            <w:hideMark/>
          </w:tcPr>
          <w:p w14:paraId="7069AB04"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20D2A9F9" w14:textId="77777777" w:rsidR="00100696" w:rsidRPr="007647EB" w:rsidRDefault="00100696" w:rsidP="008123FC">
            <w:pPr>
              <w:spacing w:before="40" w:after="40"/>
              <w:rPr>
                <w:sz w:val="18"/>
                <w:szCs w:val="18"/>
              </w:rPr>
            </w:pPr>
            <w:r w:rsidRPr="007647EB">
              <w:rPr>
                <w:color w:val="000000"/>
                <w:sz w:val="18"/>
                <w:szCs w:val="18"/>
              </w:rPr>
              <w:t>12.2. Coopération au sein du groupe des produits chimiques et des déchets</w:t>
            </w:r>
          </w:p>
        </w:tc>
        <w:tc>
          <w:tcPr>
            <w:tcW w:w="1275" w:type="dxa"/>
            <w:tcBorders>
              <w:top w:val="nil"/>
            </w:tcBorders>
            <w:noWrap/>
            <w:vAlign w:val="center"/>
            <w:hideMark/>
          </w:tcPr>
          <w:p w14:paraId="4CCF7020"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D0D5E15" w14:textId="77777777" w:rsidR="00100696" w:rsidRPr="007647EB" w:rsidRDefault="00100696" w:rsidP="008123FC">
            <w:pPr>
              <w:spacing w:before="40" w:after="40"/>
              <w:jc w:val="right"/>
              <w:rPr>
                <w:sz w:val="18"/>
                <w:szCs w:val="18"/>
              </w:rPr>
            </w:pPr>
            <w:r w:rsidRPr="007647EB">
              <w:rPr>
                <w:color w:val="000000"/>
                <w:sz w:val="18"/>
                <w:szCs w:val="18"/>
              </w:rPr>
              <w:t>10 000</w:t>
            </w:r>
          </w:p>
        </w:tc>
        <w:tc>
          <w:tcPr>
            <w:tcW w:w="1276" w:type="dxa"/>
            <w:tcBorders>
              <w:top w:val="nil"/>
            </w:tcBorders>
            <w:noWrap/>
            <w:vAlign w:val="center"/>
            <w:hideMark/>
          </w:tcPr>
          <w:p w14:paraId="14DF1908" w14:textId="77777777" w:rsidR="00100696" w:rsidRPr="007647EB" w:rsidRDefault="00100696" w:rsidP="008123FC">
            <w:pPr>
              <w:spacing w:before="40" w:after="40"/>
              <w:jc w:val="right"/>
              <w:rPr>
                <w:sz w:val="18"/>
                <w:szCs w:val="18"/>
              </w:rPr>
            </w:pPr>
            <w:r w:rsidRPr="007647EB">
              <w:rPr>
                <w:color w:val="000000"/>
                <w:sz w:val="18"/>
                <w:szCs w:val="18"/>
              </w:rPr>
              <w:t>10 000</w:t>
            </w:r>
          </w:p>
        </w:tc>
        <w:tc>
          <w:tcPr>
            <w:tcW w:w="1134" w:type="dxa"/>
            <w:tcBorders>
              <w:top w:val="nil"/>
            </w:tcBorders>
            <w:noWrap/>
            <w:vAlign w:val="center"/>
            <w:hideMark/>
          </w:tcPr>
          <w:p w14:paraId="4DD013BC"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291E63E"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23AB548" w14:textId="77777777" w:rsidR="00100696" w:rsidRPr="007647EB" w:rsidRDefault="00100696" w:rsidP="008123FC">
            <w:pPr>
              <w:spacing w:before="40" w:after="40"/>
              <w:jc w:val="right"/>
              <w:rPr>
                <w:sz w:val="18"/>
                <w:szCs w:val="18"/>
              </w:rPr>
            </w:pPr>
          </w:p>
        </w:tc>
      </w:tr>
      <w:tr w:rsidR="00100696" w:rsidRPr="007647EB" w14:paraId="616C2F04" w14:textId="77777777" w:rsidTr="008123FC">
        <w:trPr>
          <w:trHeight w:val="52"/>
          <w:jc w:val="right"/>
        </w:trPr>
        <w:tc>
          <w:tcPr>
            <w:tcW w:w="284" w:type="dxa"/>
            <w:tcBorders>
              <w:top w:val="nil"/>
            </w:tcBorders>
            <w:noWrap/>
            <w:hideMark/>
          </w:tcPr>
          <w:p w14:paraId="0CB662B5"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tcBorders>
              <w:top w:val="nil"/>
            </w:tcBorders>
            <w:noWrap/>
            <w:vAlign w:val="center"/>
            <w:hideMark/>
          </w:tcPr>
          <w:p w14:paraId="4BF57732" w14:textId="77777777" w:rsidR="00100696" w:rsidRPr="007647EB" w:rsidRDefault="00100696" w:rsidP="008123FC">
            <w:pPr>
              <w:spacing w:before="40" w:after="40"/>
              <w:rPr>
                <w:sz w:val="18"/>
                <w:szCs w:val="18"/>
              </w:rPr>
            </w:pPr>
            <w:r w:rsidRPr="007647EB">
              <w:rPr>
                <w:color w:val="000000"/>
                <w:sz w:val="18"/>
                <w:szCs w:val="18"/>
              </w:rPr>
              <w:t>12.3. Autres formes de coopération et de coordination</w:t>
            </w:r>
          </w:p>
        </w:tc>
        <w:tc>
          <w:tcPr>
            <w:tcW w:w="1275" w:type="dxa"/>
            <w:tcBorders>
              <w:top w:val="nil"/>
            </w:tcBorders>
            <w:noWrap/>
            <w:vAlign w:val="center"/>
            <w:hideMark/>
          </w:tcPr>
          <w:p w14:paraId="22EA90E8"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1BC5E2A9"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119520B9"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21151CF2"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42042B2F"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34F9778D" w14:textId="77777777" w:rsidR="00100696" w:rsidRPr="007647EB" w:rsidRDefault="00100696" w:rsidP="008123FC">
            <w:pPr>
              <w:spacing w:before="40" w:after="40"/>
              <w:jc w:val="right"/>
              <w:rPr>
                <w:sz w:val="18"/>
                <w:szCs w:val="18"/>
              </w:rPr>
            </w:pPr>
          </w:p>
        </w:tc>
      </w:tr>
      <w:tr w:rsidR="00100696" w:rsidRPr="007647EB" w14:paraId="4A29E37E" w14:textId="77777777" w:rsidTr="008123FC">
        <w:trPr>
          <w:trHeight w:val="93"/>
          <w:jc w:val="right"/>
        </w:trPr>
        <w:tc>
          <w:tcPr>
            <w:tcW w:w="7230" w:type="dxa"/>
            <w:gridSpan w:val="2"/>
            <w:shd w:val="clear" w:color="000000" w:fill="B4C6E7"/>
            <w:noWrap/>
            <w:vAlign w:val="center"/>
            <w:hideMark/>
          </w:tcPr>
          <w:p w14:paraId="0E54A1A5" w14:textId="77777777" w:rsidR="00100696" w:rsidRPr="007647EB" w:rsidRDefault="00100696" w:rsidP="008123FC">
            <w:pPr>
              <w:spacing w:before="40" w:after="40"/>
              <w:rPr>
                <w:b/>
                <w:bCs/>
                <w:sz w:val="18"/>
                <w:szCs w:val="18"/>
              </w:rPr>
            </w:pPr>
            <w:r w:rsidRPr="007647EB">
              <w:rPr>
                <w:b/>
                <w:bCs/>
                <w:color w:val="000000"/>
                <w:sz w:val="18"/>
                <w:szCs w:val="18"/>
              </w:rPr>
              <w:t>12.</w:t>
            </w:r>
            <w:r w:rsidRPr="007647EB">
              <w:rPr>
                <w:color w:val="000000"/>
                <w:sz w:val="18"/>
                <w:szCs w:val="18"/>
              </w:rPr>
              <w:t xml:space="preserve"> </w:t>
            </w:r>
            <w:r w:rsidRPr="007647EB">
              <w:rPr>
                <w:b/>
                <w:bCs/>
                <w:color w:val="000000"/>
                <w:sz w:val="18"/>
                <w:szCs w:val="18"/>
              </w:rPr>
              <w:t>Coopération et coordination au niveau international</w:t>
            </w:r>
          </w:p>
        </w:tc>
        <w:tc>
          <w:tcPr>
            <w:tcW w:w="1275" w:type="dxa"/>
            <w:shd w:val="clear" w:color="000000" w:fill="B4C6E7"/>
            <w:noWrap/>
            <w:vAlign w:val="center"/>
            <w:hideMark/>
          </w:tcPr>
          <w:p w14:paraId="5FC9EDB6"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60B156DA" w14:textId="77777777" w:rsidR="00100696" w:rsidRPr="007647EB" w:rsidRDefault="00100696" w:rsidP="008123FC">
            <w:pPr>
              <w:spacing w:before="40" w:after="40"/>
              <w:jc w:val="right"/>
              <w:rPr>
                <w:b/>
                <w:bCs/>
                <w:sz w:val="18"/>
                <w:szCs w:val="18"/>
              </w:rPr>
            </w:pPr>
            <w:r w:rsidRPr="007647EB">
              <w:rPr>
                <w:b/>
                <w:bCs/>
                <w:color w:val="000000"/>
                <w:sz w:val="18"/>
                <w:szCs w:val="18"/>
              </w:rPr>
              <w:t>10 000</w:t>
            </w:r>
          </w:p>
        </w:tc>
        <w:tc>
          <w:tcPr>
            <w:tcW w:w="1276" w:type="dxa"/>
            <w:shd w:val="clear" w:color="000000" w:fill="B4C6E7"/>
            <w:noWrap/>
            <w:vAlign w:val="center"/>
            <w:hideMark/>
          </w:tcPr>
          <w:p w14:paraId="0E5DCD14" w14:textId="77777777" w:rsidR="00100696" w:rsidRPr="007647EB" w:rsidRDefault="00100696" w:rsidP="008123FC">
            <w:pPr>
              <w:spacing w:before="40" w:after="40"/>
              <w:jc w:val="right"/>
              <w:rPr>
                <w:b/>
                <w:bCs/>
                <w:sz w:val="18"/>
                <w:szCs w:val="18"/>
              </w:rPr>
            </w:pPr>
            <w:r w:rsidRPr="007647EB">
              <w:rPr>
                <w:b/>
                <w:bCs/>
                <w:color w:val="000000"/>
                <w:sz w:val="18"/>
                <w:szCs w:val="18"/>
              </w:rPr>
              <w:t>10 000</w:t>
            </w:r>
          </w:p>
        </w:tc>
        <w:tc>
          <w:tcPr>
            <w:tcW w:w="1134" w:type="dxa"/>
            <w:shd w:val="clear" w:color="000000" w:fill="B4C6E7"/>
            <w:noWrap/>
            <w:vAlign w:val="center"/>
            <w:hideMark/>
          </w:tcPr>
          <w:p w14:paraId="3F91309D" w14:textId="77777777" w:rsidR="00100696" w:rsidRPr="007647EB" w:rsidRDefault="00100696" w:rsidP="008123FC">
            <w:pPr>
              <w:spacing w:before="40" w:after="40"/>
              <w:jc w:val="right"/>
              <w:rPr>
                <w:b/>
                <w:bCs/>
                <w:sz w:val="18"/>
                <w:szCs w:val="18"/>
              </w:rPr>
            </w:pPr>
            <w:r w:rsidRPr="007647EB">
              <w:rPr>
                <w:b/>
                <w:bCs/>
                <w:color w:val="000000"/>
                <w:sz w:val="18"/>
                <w:szCs w:val="18"/>
              </w:rPr>
              <w:t>50 000</w:t>
            </w:r>
          </w:p>
        </w:tc>
        <w:tc>
          <w:tcPr>
            <w:tcW w:w="1134" w:type="dxa"/>
            <w:shd w:val="clear" w:color="000000" w:fill="B4C6E7"/>
            <w:noWrap/>
            <w:vAlign w:val="center"/>
            <w:hideMark/>
          </w:tcPr>
          <w:p w14:paraId="4002C14A" w14:textId="77777777" w:rsidR="00100696" w:rsidRPr="007647EB" w:rsidRDefault="00100696" w:rsidP="008123FC">
            <w:pPr>
              <w:spacing w:before="40" w:after="40"/>
              <w:jc w:val="right"/>
              <w:rPr>
                <w:b/>
                <w:bCs/>
                <w:sz w:val="18"/>
                <w:szCs w:val="18"/>
              </w:rPr>
            </w:pPr>
            <w:r w:rsidRPr="007647EB">
              <w:rPr>
                <w:b/>
                <w:bCs/>
                <w:color w:val="000000"/>
                <w:sz w:val="18"/>
                <w:szCs w:val="18"/>
              </w:rPr>
              <w:t>50 000</w:t>
            </w:r>
          </w:p>
        </w:tc>
        <w:tc>
          <w:tcPr>
            <w:tcW w:w="1245" w:type="dxa"/>
            <w:shd w:val="clear" w:color="000000" w:fill="B4C6E7"/>
            <w:noWrap/>
            <w:vAlign w:val="center"/>
            <w:hideMark/>
          </w:tcPr>
          <w:p w14:paraId="44BE0DF2" w14:textId="77777777" w:rsidR="00100696" w:rsidRPr="007647EB" w:rsidRDefault="00100696" w:rsidP="008123FC">
            <w:pPr>
              <w:spacing w:before="40" w:after="40"/>
              <w:jc w:val="right"/>
              <w:rPr>
                <w:b/>
                <w:bCs/>
                <w:sz w:val="18"/>
                <w:szCs w:val="18"/>
              </w:rPr>
            </w:pPr>
            <w:r w:rsidRPr="007647EB">
              <w:rPr>
                <w:b/>
                <w:bCs/>
                <w:color w:val="000000"/>
                <w:sz w:val="18"/>
                <w:szCs w:val="18"/>
              </w:rPr>
              <w:t>100 000</w:t>
            </w:r>
          </w:p>
        </w:tc>
      </w:tr>
      <w:tr w:rsidR="00100696" w:rsidRPr="007647EB" w14:paraId="15574570" w14:textId="77777777" w:rsidTr="008123FC">
        <w:trPr>
          <w:trHeight w:val="52"/>
          <w:jc w:val="right"/>
        </w:trPr>
        <w:tc>
          <w:tcPr>
            <w:tcW w:w="7230" w:type="dxa"/>
            <w:gridSpan w:val="2"/>
            <w:noWrap/>
            <w:vAlign w:val="center"/>
            <w:hideMark/>
          </w:tcPr>
          <w:p w14:paraId="440925CD" w14:textId="77777777" w:rsidR="00100696" w:rsidRPr="007647EB" w:rsidRDefault="00100696" w:rsidP="008123FC">
            <w:pPr>
              <w:spacing w:before="40" w:after="40"/>
              <w:rPr>
                <w:b/>
                <w:bCs/>
                <w:sz w:val="18"/>
                <w:szCs w:val="18"/>
              </w:rPr>
            </w:pPr>
            <w:r w:rsidRPr="007647EB">
              <w:rPr>
                <w:b/>
                <w:bCs/>
                <w:color w:val="000000"/>
                <w:sz w:val="18"/>
                <w:szCs w:val="18"/>
              </w:rPr>
              <w:t>13.</w:t>
            </w:r>
            <w:r w:rsidRPr="007647EB">
              <w:rPr>
                <w:color w:val="000000"/>
                <w:sz w:val="18"/>
                <w:szCs w:val="18"/>
              </w:rPr>
              <w:t xml:space="preserve"> </w:t>
            </w:r>
            <w:r w:rsidRPr="007647EB">
              <w:rPr>
                <w:b/>
                <w:bCs/>
                <w:color w:val="000000"/>
                <w:sz w:val="18"/>
                <w:szCs w:val="18"/>
              </w:rPr>
              <w:t>Ressources financières et mécanisme de financement</w:t>
            </w:r>
            <w:r w:rsidRPr="007647EB">
              <w:rPr>
                <w:color w:val="000000"/>
                <w:sz w:val="18"/>
                <w:szCs w:val="18"/>
              </w:rPr>
              <w:t xml:space="preserve"> </w:t>
            </w:r>
          </w:p>
        </w:tc>
        <w:tc>
          <w:tcPr>
            <w:tcW w:w="1275" w:type="dxa"/>
            <w:noWrap/>
            <w:vAlign w:val="center"/>
            <w:hideMark/>
          </w:tcPr>
          <w:p w14:paraId="2DFBF8D3" w14:textId="77777777" w:rsidR="00100696" w:rsidRPr="007647EB" w:rsidRDefault="00100696" w:rsidP="008123FC">
            <w:pPr>
              <w:spacing w:before="40" w:after="40"/>
              <w:jc w:val="right"/>
              <w:rPr>
                <w:b/>
                <w:bCs/>
                <w:sz w:val="18"/>
                <w:szCs w:val="18"/>
              </w:rPr>
            </w:pPr>
          </w:p>
        </w:tc>
        <w:tc>
          <w:tcPr>
            <w:tcW w:w="1134" w:type="dxa"/>
            <w:noWrap/>
            <w:vAlign w:val="center"/>
            <w:hideMark/>
          </w:tcPr>
          <w:p w14:paraId="368577D7" w14:textId="77777777" w:rsidR="00100696" w:rsidRPr="007647EB" w:rsidRDefault="00100696" w:rsidP="008123FC">
            <w:pPr>
              <w:spacing w:before="40" w:after="40"/>
              <w:jc w:val="right"/>
              <w:rPr>
                <w:b/>
                <w:bCs/>
                <w:sz w:val="18"/>
                <w:szCs w:val="18"/>
              </w:rPr>
            </w:pPr>
          </w:p>
        </w:tc>
        <w:tc>
          <w:tcPr>
            <w:tcW w:w="1276" w:type="dxa"/>
            <w:noWrap/>
            <w:vAlign w:val="center"/>
            <w:hideMark/>
          </w:tcPr>
          <w:p w14:paraId="39534DFF" w14:textId="77777777" w:rsidR="00100696" w:rsidRPr="007647EB" w:rsidRDefault="00100696" w:rsidP="008123FC">
            <w:pPr>
              <w:spacing w:before="40" w:after="40"/>
              <w:jc w:val="right"/>
              <w:rPr>
                <w:b/>
                <w:bCs/>
                <w:sz w:val="18"/>
                <w:szCs w:val="18"/>
              </w:rPr>
            </w:pPr>
          </w:p>
        </w:tc>
        <w:tc>
          <w:tcPr>
            <w:tcW w:w="1134" w:type="dxa"/>
            <w:noWrap/>
            <w:vAlign w:val="center"/>
            <w:hideMark/>
          </w:tcPr>
          <w:p w14:paraId="4BE3EFC6" w14:textId="77777777" w:rsidR="00100696" w:rsidRPr="007647EB" w:rsidRDefault="00100696" w:rsidP="008123FC">
            <w:pPr>
              <w:spacing w:before="40" w:after="40"/>
              <w:jc w:val="right"/>
              <w:rPr>
                <w:b/>
                <w:bCs/>
                <w:sz w:val="18"/>
                <w:szCs w:val="18"/>
              </w:rPr>
            </w:pPr>
          </w:p>
        </w:tc>
        <w:tc>
          <w:tcPr>
            <w:tcW w:w="1134" w:type="dxa"/>
            <w:noWrap/>
            <w:vAlign w:val="center"/>
            <w:hideMark/>
          </w:tcPr>
          <w:p w14:paraId="02726B5B" w14:textId="77777777" w:rsidR="00100696" w:rsidRPr="007647EB" w:rsidRDefault="00100696" w:rsidP="008123FC">
            <w:pPr>
              <w:spacing w:before="40" w:after="40"/>
              <w:jc w:val="right"/>
              <w:rPr>
                <w:b/>
                <w:bCs/>
                <w:sz w:val="18"/>
                <w:szCs w:val="18"/>
              </w:rPr>
            </w:pPr>
          </w:p>
        </w:tc>
        <w:tc>
          <w:tcPr>
            <w:tcW w:w="1245" w:type="dxa"/>
            <w:noWrap/>
            <w:vAlign w:val="center"/>
            <w:hideMark/>
          </w:tcPr>
          <w:p w14:paraId="7A8D2F2A" w14:textId="77777777" w:rsidR="00100696" w:rsidRPr="007647EB" w:rsidRDefault="00100696" w:rsidP="008123FC">
            <w:pPr>
              <w:spacing w:before="40" w:after="40"/>
              <w:jc w:val="right"/>
              <w:rPr>
                <w:b/>
                <w:bCs/>
                <w:sz w:val="18"/>
                <w:szCs w:val="18"/>
              </w:rPr>
            </w:pPr>
          </w:p>
        </w:tc>
      </w:tr>
      <w:tr w:rsidR="00100696" w:rsidRPr="007647EB" w14:paraId="729F2538" w14:textId="77777777" w:rsidTr="008123FC">
        <w:trPr>
          <w:trHeight w:val="52"/>
          <w:jc w:val="right"/>
        </w:trPr>
        <w:tc>
          <w:tcPr>
            <w:tcW w:w="284" w:type="dxa"/>
            <w:noWrap/>
            <w:hideMark/>
          </w:tcPr>
          <w:p w14:paraId="500FA8BC"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03C92657" w14:textId="77777777" w:rsidR="00100696" w:rsidRPr="007647EB" w:rsidRDefault="00100696" w:rsidP="008123FC">
            <w:pPr>
              <w:spacing w:before="40" w:after="40"/>
              <w:rPr>
                <w:sz w:val="18"/>
                <w:szCs w:val="18"/>
              </w:rPr>
            </w:pPr>
            <w:r w:rsidRPr="007647EB">
              <w:rPr>
                <w:color w:val="000000"/>
                <w:sz w:val="18"/>
                <w:szCs w:val="18"/>
              </w:rPr>
              <w:t>13.1. Ressources financières</w:t>
            </w:r>
          </w:p>
        </w:tc>
        <w:tc>
          <w:tcPr>
            <w:tcW w:w="1275" w:type="dxa"/>
            <w:noWrap/>
            <w:vAlign w:val="center"/>
            <w:hideMark/>
          </w:tcPr>
          <w:p w14:paraId="56D09C9D"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noWrap/>
            <w:vAlign w:val="center"/>
            <w:hideMark/>
          </w:tcPr>
          <w:p w14:paraId="1C15180A" w14:textId="77777777" w:rsidR="00100696" w:rsidRPr="007647EB" w:rsidRDefault="00100696" w:rsidP="008123FC">
            <w:pPr>
              <w:spacing w:before="40" w:after="40"/>
              <w:jc w:val="right"/>
              <w:rPr>
                <w:sz w:val="18"/>
                <w:szCs w:val="18"/>
              </w:rPr>
            </w:pPr>
          </w:p>
        </w:tc>
        <w:tc>
          <w:tcPr>
            <w:tcW w:w="1276" w:type="dxa"/>
            <w:noWrap/>
            <w:vAlign w:val="center"/>
            <w:hideMark/>
          </w:tcPr>
          <w:p w14:paraId="70480BC6" w14:textId="77777777" w:rsidR="00100696" w:rsidRPr="007647EB" w:rsidRDefault="00100696" w:rsidP="008123FC">
            <w:pPr>
              <w:spacing w:before="40" w:after="40"/>
              <w:jc w:val="right"/>
              <w:rPr>
                <w:sz w:val="18"/>
                <w:szCs w:val="18"/>
              </w:rPr>
            </w:pPr>
            <w:r w:rsidRPr="007647EB">
              <w:rPr>
                <w:color w:val="000000"/>
                <w:sz w:val="18"/>
                <w:szCs w:val="18"/>
              </w:rPr>
              <w:t>30 000</w:t>
            </w:r>
          </w:p>
        </w:tc>
        <w:tc>
          <w:tcPr>
            <w:tcW w:w="1134" w:type="dxa"/>
            <w:noWrap/>
            <w:vAlign w:val="center"/>
            <w:hideMark/>
          </w:tcPr>
          <w:p w14:paraId="16F8AA76" w14:textId="77777777" w:rsidR="00100696" w:rsidRPr="007647EB" w:rsidRDefault="00100696" w:rsidP="008123FC">
            <w:pPr>
              <w:spacing w:before="40" w:after="40"/>
              <w:jc w:val="right"/>
              <w:rPr>
                <w:sz w:val="18"/>
                <w:szCs w:val="18"/>
              </w:rPr>
            </w:pPr>
            <w:r w:rsidRPr="007647EB">
              <w:rPr>
                <w:color w:val="000000"/>
                <w:sz w:val="18"/>
                <w:szCs w:val="18"/>
              </w:rPr>
              <w:t>24 000</w:t>
            </w:r>
          </w:p>
        </w:tc>
        <w:tc>
          <w:tcPr>
            <w:tcW w:w="1134" w:type="dxa"/>
            <w:noWrap/>
            <w:vAlign w:val="center"/>
            <w:hideMark/>
          </w:tcPr>
          <w:p w14:paraId="5CB02A56" w14:textId="77777777" w:rsidR="00100696" w:rsidRPr="007647EB" w:rsidRDefault="00100696" w:rsidP="008123FC">
            <w:pPr>
              <w:spacing w:before="40" w:after="40"/>
              <w:jc w:val="right"/>
              <w:rPr>
                <w:sz w:val="18"/>
                <w:szCs w:val="18"/>
              </w:rPr>
            </w:pPr>
          </w:p>
        </w:tc>
        <w:tc>
          <w:tcPr>
            <w:tcW w:w="1245" w:type="dxa"/>
            <w:noWrap/>
            <w:vAlign w:val="center"/>
            <w:hideMark/>
          </w:tcPr>
          <w:p w14:paraId="6D550B4B" w14:textId="77777777" w:rsidR="00100696" w:rsidRPr="007647EB" w:rsidRDefault="00100696" w:rsidP="008123FC">
            <w:pPr>
              <w:spacing w:before="40" w:after="40"/>
              <w:jc w:val="right"/>
              <w:rPr>
                <w:sz w:val="18"/>
                <w:szCs w:val="18"/>
              </w:rPr>
            </w:pPr>
            <w:r w:rsidRPr="007647EB">
              <w:rPr>
                <w:color w:val="000000"/>
                <w:sz w:val="18"/>
                <w:szCs w:val="18"/>
              </w:rPr>
              <w:t>24 000</w:t>
            </w:r>
          </w:p>
        </w:tc>
      </w:tr>
      <w:tr w:rsidR="00100696" w:rsidRPr="007647EB" w14:paraId="3337182C" w14:textId="77777777" w:rsidTr="008123FC">
        <w:trPr>
          <w:trHeight w:val="300"/>
          <w:jc w:val="right"/>
        </w:trPr>
        <w:tc>
          <w:tcPr>
            <w:tcW w:w="284" w:type="dxa"/>
            <w:noWrap/>
            <w:hideMark/>
          </w:tcPr>
          <w:p w14:paraId="5E63C19D"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34079002" w14:textId="49C7CD59" w:rsidR="00100696" w:rsidRPr="007647EB" w:rsidRDefault="00100696" w:rsidP="008123FC">
            <w:pPr>
              <w:spacing w:before="40" w:after="40"/>
              <w:rPr>
                <w:sz w:val="18"/>
                <w:szCs w:val="18"/>
              </w:rPr>
            </w:pPr>
            <w:r w:rsidRPr="007647EB">
              <w:rPr>
                <w:color w:val="000000"/>
                <w:sz w:val="18"/>
                <w:szCs w:val="18"/>
              </w:rPr>
              <w:t>13.2. Mécanisme de financement – Fonds pour l</w:t>
            </w:r>
            <w:r w:rsidR="00D82E47" w:rsidRPr="007647EB">
              <w:rPr>
                <w:color w:val="000000"/>
                <w:sz w:val="18"/>
                <w:szCs w:val="18"/>
              </w:rPr>
              <w:t>’</w:t>
            </w:r>
            <w:r w:rsidRPr="007647EB">
              <w:rPr>
                <w:color w:val="000000"/>
                <w:sz w:val="18"/>
                <w:szCs w:val="18"/>
              </w:rPr>
              <w:t>environnement mondial</w:t>
            </w:r>
          </w:p>
        </w:tc>
        <w:tc>
          <w:tcPr>
            <w:tcW w:w="1275" w:type="dxa"/>
            <w:noWrap/>
            <w:vAlign w:val="center"/>
            <w:hideMark/>
          </w:tcPr>
          <w:p w14:paraId="212C6CC1" w14:textId="77777777" w:rsidR="00100696" w:rsidRPr="007647EB" w:rsidRDefault="00100696" w:rsidP="008123FC">
            <w:pPr>
              <w:spacing w:before="40" w:after="40"/>
              <w:jc w:val="right"/>
              <w:rPr>
                <w:sz w:val="18"/>
                <w:szCs w:val="18"/>
              </w:rPr>
            </w:pPr>
          </w:p>
        </w:tc>
        <w:tc>
          <w:tcPr>
            <w:tcW w:w="1134" w:type="dxa"/>
            <w:noWrap/>
            <w:vAlign w:val="center"/>
            <w:hideMark/>
          </w:tcPr>
          <w:p w14:paraId="4054DB4A" w14:textId="77777777" w:rsidR="00100696" w:rsidRPr="007647EB" w:rsidRDefault="00100696" w:rsidP="008123FC">
            <w:pPr>
              <w:spacing w:before="40" w:after="40"/>
              <w:jc w:val="right"/>
              <w:rPr>
                <w:sz w:val="18"/>
                <w:szCs w:val="18"/>
              </w:rPr>
            </w:pPr>
          </w:p>
        </w:tc>
        <w:tc>
          <w:tcPr>
            <w:tcW w:w="1276" w:type="dxa"/>
            <w:noWrap/>
            <w:vAlign w:val="center"/>
            <w:hideMark/>
          </w:tcPr>
          <w:p w14:paraId="126D820C" w14:textId="77777777" w:rsidR="00100696" w:rsidRPr="007647EB" w:rsidRDefault="00100696" w:rsidP="008123FC">
            <w:pPr>
              <w:spacing w:before="40" w:after="40"/>
              <w:jc w:val="right"/>
              <w:rPr>
                <w:sz w:val="18"/>
                <w:szCs w:val="18"/>
              </w:rPr>
            </w:pPr>
          </w:p>
        </w:tc>
        <w:tc>
          <w:tcPr>
            <w:tcW w:w="1134" w:type="dxa"/>
            <w:noWrap/>
            <w:vAlign w:val="center"/>
            <w:hideMark/>
          </w:tcPr>
          <w:p w14:paraId="0E22C9E0" w14:textId="77777777" w:rsidR="00100696" w:rsidRPr="007647EB" w:rsidRDefault="00100696" w:rsidP="008123FC">
            <w:pPr>
              <w:spacing w:before="40" w:after="40"/>
              <w:jc w:val="right"/>
              <w:rPr>
                <w:sz w:val="18"/>
                <w:szCs w:val="18"/>
              </w:rPr>
            </w:pPr>
            <w:r w:rsidRPr="007647EB">
              <w:rPr>
                <w:color w:val="000000"/>
                <w:sz w:val="18"/>
                <w:szCs w:val="18"/>
              </w:rPr>
              <w:t>20 000</w:t>
            </w:r>
          </w:p>
        </w:tc>
        <w:tc>
          <w:tcPr>
            <w:tcW w:w="1134" w:type="dxa"/>
            <w:noWrap/>
            <w:vAlign w:val="center"/>
            <w:hideMark/>
          </w:tcPr>
          <w:p w14:paraId="67A73CBC" w14:textId="77777777" w:rsidR="00100696" w:rsidRPr="007647EB" w:rsidRDefault="00100696" w:rsidP="008123FC">
            <w:pPr>
              <w:spacing w:before="40" w:after="40"/>
              <w:jc w:val="right"/>
              <w:rPr>
                <w:sz w:val="18"/>
                <w:szCs w:val="18"/>
              </w:rPr>
            </w:pPr>
          </w:p>
        </w:tc>
        <w:tc>
          <w:tcPr>
            <w:tcW w:w="1245" w:type="dxa"/>
            <w:noWrap/>
            <w:vAlign w:val="center"/>
            <w:hideMark/>
          </w:tcPr>
          <w:p w14:paraId="15D1F881" w14:textId="77777777" w:rsidR="00100696" w:rsidRPr="007647EB" w:rsidRDefault="00100696" w:rsidP="008123FC">
            <w:pPr>
              <w:spacing w:before="40" w:after="40"/>
              <w:jc w:val="right"/>
              <w:rPr>
                <w:sz w:val="18"/>
                <w:szCs w:val="18"/>
              </w:rPr>
            </w:pPr>
            <w:r w:rsidRPr="007647EB">
              <w:rPr>
                <w:color w:val="000000"/>
                <w:sz w:val="18"/>
                <w:szCs w:val="18"/>
              </w:rPr>
              <w:t>20 000</w:t>
            </w:r>
          </w:p>
        </w:tc>
      </w:tr>
      <w:tr w:rsidR="00100696" w:rsidRPr="007647EB" w14:paraId="2E162FA3" w14:textId="77777777" w:rsidTr="008123FC">
        <w:trPr>
          <w:trHeight w:val="315"/>
          <w:jc w:val="right"/>
        </w:trPr>
        <w:tc>
          <w:tcPr>
            <w:tcW w:w="284" w:type="dxa"/>
            <w:noWrap/>
            <w:hideMark/>
          </w:tcPr>
          <w:p w14:paraId="63A7295F" w14:textId="77777777" w:rsidR="00100696" w:rsidRPr="007647EB" w:rsidRDefault="00100696" w:rsidP="008123FC">
            <w:pPr>
              <w:spacing w:before="40" w:after="40"/>
              <w:rPr>
                <w:sz w:val="18"/>
                <w:szCs w:val="18"/>
              </w:rPr>
            </w:pPr>
            <w:r w:rsidRPr="007647EB">
              <w:rPr>
                <w:color w:val="000000"/>
                <w:sz w:val="18"/>
                <w:szCs w:val="18"/>
              </w:rPr>
              <w:t> </w:t>
            </w:r>
          </w:p>
        </w:tc>
        <w:tc>
          <w:tcPr>
            <w:tcW w:w="6946" w:type="dxa"/>
            <w:noWrap/>
            <w:vAlign w:val="center"/>
            <w:hideMark/>
          </w:tcPr>
          <w:p w14:paraId="1EEB161A" w14:textId="77777777" w:rsidR="00100696" w:rsidRPr="007647EB" w:rsidRDefault="00100696" w:rsidP="008123FC">
            <w:pPr>
              <w:spacing w:before="40" w:after="40"/>
              <w:rPr>
                <w:sz w:val="18"/>
                <w:szCs w:val="18"/>
              </w:rPr>
            </w:pPr>
            <w:r w:rsidRPr="007647EB">
              <w:rPr>
                <w:color w:val="000000"/>
                <w:sz w:val="18"/>
                <w:szCs w:val="18"/>
              </w:rPr>
              <w:t>13.3. Mécanisme de financement – Programme international spécifique</w:t>
            </w:r>
          </w:p>
        </w:tc>
        <w:tc>
          <w:tcPr>
            <w:tcW w:w="1275" w:type="dxa"/>
            <w:noWrap/>
            <w:vAlign w:val="center"/>
            <w:hideMark/>
          </w:tcPr>
          <w:p w14:paraId="3BBBAF33" w14:textId="77777777" w:rsidR="00100696" w:rsidRPr="007647EB" w:rsidRDefault="00100696" w:rsidP="008123FC">
            <w:pPr>
              <w:spacing w:before="40" w:after="40"/>
              <w:jc w:val="right"/>
              <w:rPr>
                <w:sz w:val="18"/>
                <w:szCs w:val="18"/>
              </w:rPr>
            </w:pPr>
          </w:p>
        </w:tc>
        <w:tc>
          <w:tcPr>
            <w:tcW w:w="1134" w:type="dxa"/>
            <w:noWrap/>
            <w:vAlign w:val="center"/>
            <w:hideMark/>
          </w:tcPr>
          <w:p w14:paraId="2A3D0382" w14:textId="77777777" w:rsidR="00100696" w:rsidRPr="007647EB" w:rsidRDefault="00100696" w:rsidP="008123FC">
            <w:pPr>
              <w:spacing w:before="40" w:after="40"/>
              <w:jc w:val="right"/>
              <w:rPr>
                <w:sz w:val="18"/>
                <w:szCs w:val="18"/>
              </w:rPr>
            </w:pPr>
          </w:p>
        </w:tc>
        <w:tc>
          <w:tcPr>
            <w:tcW w:w="1276" w:type="dxa"/>
            <w:noWrap/>
            <w:vAlign w:val="center"/>
            <w:hideMark/>
          </w:tcPr>
          <w:p w14:paraId="01BC4CC0" w14:textId="77777777" w:rsidR="00100696" w:rsidRPr="007647EB" w:rsidRDefault="00100696" w:rsidP="008123FC">
            <w:pPr>
              <w:spacing w:before="40" w:after="40"/>
              <w:jc w:val="right"/>
              <w:rPr>
                <w:sz w:val="18"/>
                <w:szCs w:val="18"/>
              </w:rPr>
            </w:pPr>
          </w:p>
        </w:tc>
        <w:tc>
          <w:tcPr>
            <w:tcW w:w="1134" w:type="dxa"/>
            <w:noWrap/>
            <w:vAlign w:val="center"/>
            <w:hideMark/>
          </w:tcPr>
          <w:p w14:paraId="2FD90FE8" w14:textId="77777777" w:rsidR="00100696" w:rsidRPr="007647EB" w:rsidRDefault="00100696" w:rsidP="008123FC">
            <w:pPr>
              <w:spacing w:before="40" w:after="40"/>
              <w:jc w:val="right"/>
              <w:rPr>
                <w:sz w:val="18"/>
                <w:szCs w:val="18"/>
              </w:rPr>
            </w:pPr>
          </w:p>
        </w:tc>
        <w:tc>
          <w:tcPr>
            <w:tcW w:w="1134" w:type="dxa"/>
            <w:noWrap/>
            <w:vAlign w:val="center"/>
            <w:hideMark/>
          </w:tcPr>
          <w:p w14:paraId="35440CED" w14:textId="77777777" w:rsidR="00100696" w:rsidRPr="007647EB" w:rsidRDefault="00100696" w:rsidP="008123FC">
            <w:pPr>
              <w:spacing w:before="40" w:after="40"/>
              <w:jc w:val="right"/>
              <w:rPr>
                <w:sz w:val="18"/>
                <w:szCs w:val="18"/>
              </w:rPr>
            </w:pPr>
          </w:p>
        </w:tc>
        <w:tc>
          <w:tcPr>
            <w:tcW w:w="1245" w:type="dxa"/>
            <w:noWrap/>
            <w:vAlign w:val="center"/>
            <w:hideMark/>
          </w:tcPr>
          <w:p w14:paraId="0EB0C22F" w14:textId="77777777" w:rsidR="00100696" w:rsidRPr="007647EB" w:rsidRDefault="00100696" w:rsidP="008123FC">
            <w:pPr>
              <w:spacing w:before="40" w:after="40"/>
              <w:jc w:val="right"/>
              <w:rPr>
                <w:sz w:val="18"/>
                <w:szCs w:val="18"/>
              </w:rPr>
            </w:pPr>
          </w:p>
        </w:tc>
      </w:tr>
      <w:tr w:rsidR="00100696" w:rsidRPr="007647EB" w14:paraId="12973AE7" w14:textId="77777777" w:rsidTr="008123FC">
        <w:trPr>
          <w:trHeight w:val="52"/>
          <w:jc w:val="right"/>
        </w:trPr>
        <w:tc>
          <w:tcPr>
            <w:tcW w:w="7230" w:type="dxa"/>
            <w:gridSpan w:val="2"/>
            <w:tcBorders>
              <w:bottom w:val="single" w:sz="4" w:space="0" w:color="auto"/>
            </w:tcBorders>
            <w:shd w:val="clear" w:color="000000" w:fill="B4C6E7"/>
            <w:noWrap/>
            <w:vAlign w:val="center"/>
            <w:hideMark/>
          </w:tcPr>
          <w:p w14:paraId="242E3A49" w14:textId="77777777" w:rsidR="00100696" w:rsidRPr="007647EB" w:rsidRDefault="00100696" w:rsidP="008123FC">
            <w:pPr>
              <w:spacing w:before="40" w:after="40"/>
              <w:rPr>
                <w:b/>
                <w:bCs/>
                <w:sz w:val="18"/>
                <w:szCs w:val="18"/>
              </w:rPr>
            </w:pPr>
            <w:r w:rsidRPr="007647EB">
              <w:rPr>
                <w:b/>
                <w:bCs/>
                <w:color w:val="000000"/>
                <w:sz w:val="18"/>
                <w:szCs w:val="18"/>
              </w:rPr>
              <w:t>13.</w:t>
            </w:r>
            <w:r w:rsidRPr="007647EB">
              <w:rPr>
                <w:color w:val="000000"/>
                <w:sz w:val="18"/>
                <w:szCs w:val="18"/>
              </w:rPr>
              <w:t xml:space="preserve"> </w:t>
            </w:r>
            <w:r w:rsidRPr="007647EB">
              <w:rPr>
                <w:b/>
                <w:bCs/>
                <w:color w:val="000000"/>
                <w:sz w:val="18"/>
                <w:szCs w:val="18"/>
              </w:rPr>
              <w:t>Ressources financières et mécanisme de financement</w:t>
            </w:r>
            <w:r w:rsidRPr="007647EB">
              <w:rPr>
                <w:color w:val="000000"/>
                <w:sz w:val="18"/>
                <w:szCs w:val="18"/>
              </w:rPr>
              <w:t xml:space="preserve"> </w:t>
            </w:r>
          </w:p>
        </w:tc>
        <w:tc>
          <w:tcPr>
            <w:tcW w:w="1275" w:type="dxa"/>
            <w:tcBorders>
              <w:bottom w:val="single" w:sz="4" w:space="0" w:color="auto"/>
            </w:tcBorders>
            <w:shd w:val="clear" w:color="000000" w:fill="B4C6E7"/>
            <w:noWrap/>
            <w:vAlign w:val="center"/>
            <w:hideMark/>
          </w:tcPr>
          <w:p w14:paraId="1C7ED398" w14:textId="77777777" w:rsidR="00100696" w:rsidRPr="007647EB" w:rsidRDefault="00100696" w:rsidP="008123FC">
            <w:pPr>
              <w:spacing w:before="40" w:after="40"/>
              <w:jc w:val="right"/>
              <w:rPr>
                <w:b/>
                <w:bCs/>
                <w:sz w:val="18"/>
                <w:szCs w:val="18"/>
              </w:rPr>
            </w:pPr>
            <w:r w:rsidRPr="007647EB">
              <w:rPr>
                <w:b/>
                <w:bCs/>
                <w:color w:val="000000"/>
                <w:sz w:val="18"/>
                <w:szCs w:val="18"/>
              </w:rPr>
              <w:t>30 000</w:t>
            </w:r>
          </w:p>
        </w:tc>
        <w:tc>
          <w:tcPr>
            <w:tcW w:w="1134" w:type="dxa"/>
            <w:tcBorders>
              <w:bottom w:val="single" w:sz="4" w:space="0" w:color="auto"/>
            </w:tcBorders>
            <w:shd w:val="clear" w:color="000000" w:fill="B4C6E7"/>
            <w:noWrap/>
            <w:vAlign w:val="center"/>
            <w:hideMark/>
          </w:tcPr>
          <w:p w14:paraId="4888363A"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C9517E7" w14:textId="77777777" w:rsidR="00100696" w:rsidRPr="007647EB" w:rsidRDefault="00100696" w:rsidP="008123FC">
            <w:pPr>
              <w:spacing w:before="40" w:after="40"/>
              <w:jc w:val="right"/>
              <w:rPr>
                <w:b/>
                <w:bCs/>
                <w:sz w:val="18"/>
                <w:szCs w:val="18"/>
              </w:rPr>
            </w:pPr>
            <w:r w:rsidRPr="007647EB">
              <w:rPr>
                <w:b/>
                <w:bCs/>
                <w:color w:val="000000"/>
                <w:sz w:val="18"/>
                <w:szCs w:val="18"/>
              </w:rPr>
              <w:t>30 000</w:t>
            </w:r>
          </w:p>
        </w:tc>
        <w:tc>
          <w:tcPr>
            <w:tcW w:w="1134" w:type="dxa"/>
            <w:tcBorders>
              <w:bottom w:val="single" w:sz="4" w:space="0" w:color="auto"/>
            </w:tcBorders>
            <w:shd w:val="clear" w:color="000000" w:fill="B4C6E7"/>
            <w:noWrap/>
            <w:vAlign w:val="center"/>
            <w:hideMark/>
          </w:tcPr>
          <w:p w14:paraId="6EC2C1AC" w14:textId="77777777" w:rsidR="00100696" w:rsidRPr="007647EB" w:rsidRDefault="00100696" w:rsidP="008123FC">
            <w:pPr>
              <w:spacing w:before="40" w:after="40"/>
              <w:jc w:val="right"/>
              <w:rPr>
                <w:b/>
                <w:bCs/>
                <w:sz w:val="18"/>
                <w:szCs w:val="18"/>
              </w:rPr>
            </w:pPr>
            <w:r w:rsidRPr="007647EB">
              <w:rPr>
                <w:b/>
                <w:bCs/>
                <w:color w:val="000000"/>
                <w:sz w:val="18"/>
                <w:szCs w:val="18"/>
              </w:rPr>
              <w:t>44 000</w:t>
            </w:r>
          </w:p>
        </w:tc>
        <w:tc>
          <w:tcPr>
            <w:tcW w:w="1134" w:type="dxa"/>
            <w:tcBorders>
              <w:bottom w:val="single" w:sz="4" w:space="0" w:color="auto"/>
            </w:tcBorders>
            <w:shd w:val="clear" w:color="000000" w:fill="B4C6E7"/>
            <w:noWrap/>
            <w:vAlign w:val="center"/>
            <w:hideMark/>
          </w:tcPr>
          <w:p w14:paraId="408CCBA3" w14:textId="77777777" w:rsidR="00100696" w:rsidRPr="007647EB" w:rsidRDefault="00100696" w:rsidP="008123FC">
            <w:pPr>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746CF245" w14:textId="77777777" w:rsidR="00100696" w:rsidRPr="007647EB" w:rsidRDefault="00100696" w:rsidP="008123FC">
            <w:pPr>
              <w:spacing w:before="40" w:after="40"/>
              <w:jc w:val="right"/>
              <w:rPr>
                <w:b/>
                <w:bCs/>
                <w:sz w:val="18"/>
                <w:szCs w:val="18"/>
              </w:rPr>
            </w:pPr>
            <w:r w:rsidRPr="007647EB">
              <w:rPr>
                <w:b/>
                <w:bCs/>
                <w:color w:val="000000"/>
                <w:sz w:val="18"/>
                <w:szCs w:val="18"/>
              </w:rPr>
              <w:t>44 000</w:t>
            </w:r>
          </w:p>
        </w:tc>
      </w:tr>
      <w:tr w:rsidR="00100696" w:rsidRPr="007647EB" w14:paraId="498115ED"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4EBB70E1"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(E)</w:t>
            </w:r>
          </w:p>
        </w:tc>
        <w:tc>
          <w:tcPr>
            <w:tcW w:w="1275" w:type="dxa"/>
            <w:tcBorders>
              <w:top w:val="single" w:sz="4" w:space="0" w:color="auto"/>
              <w:bottom w:val="single" w:sz="4" w:space="0" w:color="auto"/>
            </w:tcBorders>
            <w:shd w:val="clear" w:color="000000" w:fill="DBB731"/>
            <w:noWrap/>
            <w:vAlign w:val="center"/>
            <w:hideMark/>
          </w:tcPr>
          <w:p w14:paraId="07E65417" w14:textId="77777777" w:rsidR="00100696" w:rsidRPr="007647EB" w:rsidRDefault="00100696" w:rsidP="008123FC">
            <w:pPr>
              <w:spacing w:before="40" w:after="40"/>
              <w:jc w:val="right"/>
              <w:rPr>
                <w:b/>
                <w:bCs/>
                <w:sz w:val="18"/>
                <w:szCs w:val="18"/>
              </w:rPr>
            </w:pPr>
            <w:r w:rsidRPr="007647EB">
              <w:rPr>
                <w:b/>
                <w:bCs/>
                <w:color w:val="000000"/>
                <w:sz w:val="18"/>
                <w:szCs w:val="18"/>
              </w:rPr>
              <w:t>2 837 057</w:t>
            </w:r>
          </w:p>
        </w:tc>
        <w:tc>
          <w:tcPr>
            <w:tcW w:w="1134" w:type="dxa"/>
            <w:tcBorders>
              <w:top w:val="single" w:sz="4" w:space="0" w:color="auto"/>
              <w:bottom w:val="single" w:sz="4" w:space="0" w:color="auto"/>
            </w:tcBorders>
            <w:shd w:val="clear" w:color="000000" w:fill="DBB731"/>
            <w:noWrap/>
            <w:vAlign w:val="center"/>
            <w:hideMark/>
          </w:tcPr>
          <w:p w14:paraId="2A349C7F" w14:textId="77777777" w:rsidR="00100696" w:rsidRPr="007647EB" w:rsidRDefault="00100696" w:rsidP="008123FC">
            <w:pPr>
              <w:spacing w:before="40" w:after="40"/>
              <w:jc w:val="right"/>
              <w:rPr>
                <w:b/>
                <w:bCs/>
                <w:sz w:val="18"/>
                <w:szCs w:val="18"/>
              </w:rPr>
            </w:pPr>
            <w:r w:rsidRPr="007647EB">
              <w:rPr>
                <w:b/>
                <w:bCs/>
                <w:color w:val="000000"/>
                <w:sz w:val="18"/>
                <w:szCs w:val="18"/>
              </w:rPr>
              <w:t>2 802 495</w:t>
            </w:r>
          </w:p>
        </w:tc>
        <w:tc>
          <w:tcPr>
            <w:tcW w:w="1276" w:type="dxa"/>
            <w:tcBorders>
              <w:top w:val="single" w:sz="4" w:space="0" w:color="auto"/>
              <w:bottom w:val="single" w:sz="4" w:space="0" w:color="auto"/>
            </w:tcBorders>
            <w:shd w:val="clear" w:color="000000" w:fill="DBB731"/>
            <w:noWrap/>
            <w:vAlign w:val="center"/>
            <w:hideMark/>
          </w:tcPr>
          <w:p w14:paraId="3F647912" w14:textId="77777777" w:rsidR="00100696" w:rsidRPr="007647EB" w:rsidRDefault="00100696" w:rsidP="008123FC">
            <w:pPr>
              <w:spacing w:before="40" w:after="40"/>
              <w:jc w:val="right"/>
              <w:rPr>
                <w:b/>
                <w:bCs/>
                <w:sz w:val="18"/>
                <w:szCs w:val="18"/>
              </w:rPr>
            </w:pPr>
            <w:r w:rsidRPr="007647EB">
              <w:rPr>
                <w:b/>
                <w:bCs/>
                <w:color w:val="000000"/>
                <w:sz w:val="18"/>
                <w:szCs w:val="18"/>
              </w:rPr>
              <w:t>5 639 552</w:t>
            </w:r>
          </w:p>
        </w:tc>
        <w:tc>
          <w:tcPr>
            <w:tcW w:w="1134" w:type="dxa"/>
            <w:tcBorders>
              <w:top w:val="single" w:sz="4" w:space="0" w:color="auto"/>
              <w:bottom w:val="single" w:sz="4" w:space="0" w:color="auto"/>
            </w:tcBorders>
            <w:shd w:val="clear" w:color="000000" w:fill="DBB731"/>
            <w:noWrap/>
            <w:vAlign w:val="center"/>
            <w:hideMark/>
          </w:tcPr>
          <w:p w14:paraId="0C858594" w14:textId="77777777" w:rsidR="00100696" w:rsidRPr="007647EB" w:rsidRDefault="00100696" w:rsidP="008123FC">
            <w:pPr>
              <w:spacing w:before="40" w:after="40"/>
              <w:jc w:val="right"/>
              <w:rPr>
                <w:b/>
                <w:bCs/>
                <w:sz w:val="18"/>
                <w:szCs w:val="18"/>
              </w:rPr>
            </w:pPr>
            <w:r w:rsidRPr="007647EB">
              <w:rPr>
                <w:b/>
                <w:bCs/>
                <w:color w:val="000000"/>
                <w:sz w:val="18"/>
                <w:szCs w:val="18"/>
              </w:rPr>
              <w:t>94 000</w:t>
            </w:r>
          </w:p>
        </w:tc>
        <w:tc>
          <w:tcPr>
            <w:tcW w:w="1134" w:type="dxa"/>
            <w:tcBorders>
              <w:top w:val="single" w:sz="4" w:space="0" w:color="auto"/>
              <w:bottom w:val="single" w:sz="4" w:space="0" w:color="auto"/>
            </w:tcBorders>
            <w:shd w:val="clear" w:color="000000" w:fill="DBB731"/>
            <w:noWrap/>
            <w:vAlign w:val="center"/>
            <w:hideMark/>
          </w:tcPr>
          <w:p w14:paraId="796230AA" w14:textId="77777777" w:rsidR="00100696" w:rsidRPr="007647EB" w:rsidRDefault="00100696" w:rsidP="008123FC">
            <w:pPr>
              <w:spacing w:before="40" w:after="40"/>
              <w:jc w:val="right"/>
              <w:rPr>
                <w:b/>
                <w:bCs/>
                <w:sz w:val="18"/>
                <w:szCs w:val="18"/>
              </w:rPr>
            </w:pPr>
            <w:r w:rsidRPr="007647EB">
              <w:rPr>
                <w:b/>
                <w:bCs/>
                <w:color w:val="000000"/>
                <w:sz w:val="18"/>
                <w:szCs w:val="18"/>
              </w:rPr>
              <w:t>50 000</w:t>
            </w:r>
          </w:p>
        </w:tc>
        <w:tc>
          <w:tcPr>
            <w:tcW w:w="1245" w:type="dxa"/>
            <w:tcBorders>
              <w:top w:val="single" w:sz="4" w:space="0" w:color="auto"/>
              <w:bottom w:val="single" w:sz="4" w:space="0" w:color="auto"/>
            </w:tcBorders>
            <w:shd w:val="clear" w:color="000000" w:fill="DBB731"/>
            <w:noWrap/>
            <w:vAlign w:val="center"/>
            <w:hideMark/>
          </w:tcPr>
          <w:p w14:paraId="46F1E8E9" w14:textId="77777777" w:rsidR="00100696" w:rsidRPr="007647EB" w:rsidRDefault="00100696" w:rsidP="008123FC">
            <w:pPr>
              <w:spacing w:before="40" w:after="40"/>
              <w:jc w:val="right"/>
              <w:rPr>
                <w:b/>
                <w:bCs/>
                <w:sz w:val="18"/>
                <w:szCs w:val="18"/>
              </w:rPr>
            </w:pPr>
            <w:r w:rsidRPr="007647EB">
              <w:rPr>
                <w:b/>
                <w:bCs/>
                <w:color w:val="000000"/>
                <w:sz w:val="18"/>
                <w:szCs w:val="18"/>
              </w:rPr>
              <w:t>144 000</w:t>
            </w:r>
          </w:p>
        </w:tc>
      </w:tr>
      <w:tr w:rsidR="00100696" w:rsidRPr="007647EB" w14:paraId="2BF79BD8" w14:textId="77777777" w:rsidTr="008123FC">
        <w:trPr>
          <w:trHeight w:val="42"/>
          <w:jc w:val="right"/>
        </w:trPr>
        <w:tc>
          <w:tcPr>
            <w:tcW w:w="7230" w:type="dxa"/>
            <w:gridSpan w:val="2"/>
            <w:tcBorders>
              <w:top w:val="single" w:sz="4" w:space="0" w:color="auto"/>
            </w:tcBorders>
            <w:noWrap/>
            <w:vAlign w:val="center"/>
            <w:hideMark/>
          </w:tcPr>
          <w:p w14:paraId="7832F26C" w14:textId="77777777" w:rsidR="00100696" w:rsidRPr="007647EB" w:rsidRDefault="00100696" w:rsidP="008123FC">
            <w:pPr>
              <w:spacing w:before="40" w:after="40"/>
              <w:rPr>
                <w:b/>
                <w:bCs/>
                <w:sz w:val="18"/>
                <w:szCs w:val="18"/>
              </w:rPr>
            </w:pPr>
            <w:r w:rsidRPr="007647EB">
              <w:rPr>
                <w:b/>
                <w:bCs/>
                <w:color w:val="000000"/>
                <w:sz w:val="18"/>
                <w:szCs w:val="18"/>
              </w:rPr>
              <w:t>F.</w:t>
            </w:r>
            <w:r w:rsidRPr="007647EB">
              <w:rPr>
                <w:color w:val="000000"/>
                <w:sz w:val="18"/>
                <w:szCs w:val="18"/>
              </w:rPr>
              <w:t xml:space="preserve"> </w:t>
            </w:r>
            <w:r w:rsidRPr="007647EB">
              <w:rPr>
                <w:b/>
                <w:bCs/>
                <w:color w:val="000000"/>
                <w:sz w:val="18"/>
                <w:szCs w:val="18"/>
              </w:rPr>
              <w:t>Activités juridiques et relatives aux politiques</w:t>
            </w:r>
          </w:p>
        </w:tc>
        <w:tc>
          <w:tcPr>
            <w:tcW w:w="1275" w:type="dxa"/>
            <w:tcBorders>
              <w:top w:val="single" w:sz="4" w:space="0" w:color="auto"/>
            </w:tcBorders>
            <w:noWrap/>
            <w:vAlign w:val="center"/>
            <w:hideMark/>
          </w:tcPr>
          <w:p w14:paraId="558B0475"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5136D3A5"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3F62444C"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37E2EBE8"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1780E406"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46B86B42" w14:textId="77777777" w:rsidR="00100696" w:rsidRPr="007647EB" w:rsidRDefault="00100696" w:rsidP="008123FC">
            <w:pPr>
              <w:spacing w:before="40" w:after="40"/>
              <w:jc w:val="right"/>
              <w:rPr>
                <w:b/>
                <w:bCs/>
                <w:sz w:val="18"/>
                <w:szCs w:val="18"/>
              </w:rPr>
            </w:pPr>
          </w:p>
        </w:tc>
      </w:tr>
      <w:tr w:rsidR="00100696" w:rsidRPr="007647EB" w14:paraId="18061092" w14:textId="77777777" w:rsidTr="008123FC">
        <w:trPr>
          <w:trHeight w:val="52"/>
          <w:jc w:val="right"/>
        </w:trPr>
        <w:tc>
          <w:tcPr>
            <w:tcW w:w="7230" w:type="dxa"/>
            <w:gridSpan w:val="2"/>
            <w:noWrap/>
            <w:vAlign w:val="center"/>
            <w:hideMark/>
          </w:tcPr>
          <w:p w14:paraId="55227147" w14:textId="77777777" w:rsidR="00100696" w:rsidRPr="007647EB" w:rsidRDefault="00100696" w:rsidP="008123FC">
            <w:pPr>
              <w:spacing w:before="40" w:after="40"/>
              <w:rPr>
                <w:b/>
                <w:bCs/>
                <w:sz w:val="18"/>
                <w:szCs w:val="18"/>
              </w:rPr>
            </w:pPr>
            <w:r w:rsidRPr="007647EB">
              <w:rPr>
                <w:b/>
                <w:bCs/>
                <w:color w:val="000000"/>
                <w:sz w:val="18"/>
                <w:szCs w:val="18"/>
              </w:rPr>
              <w:t>14.</w:t>
            </w:r>
            <w:r w:rsidRPr="007647EB">
              <w:rPr>
                <w:color w:val="000000"/>
                <w:sz w:val="18"/>
                <w:szCs w:val="18"/>
              </w:rPr>
              <w:t xml:space="preserve"> </w:t>
            </w:r>
            <w:r w:rsidRPr="007647EB">
              <w:rPr>
                <w:b/>
                <w:bCs/>
                <w:color w:val="000000"/>
                <w:sz w:val="18"/>
                <w:szCs w:val="18"/>
              </w:rPr>
              <w:t>Activités juridiques et relatives aux politiques</w:t>
            </w:r>
            <w:r w:rsidRPr="007647EB">
              <w:rPr>
                <w:color w:val="000000"/>
                <w:sz w:val="18"/>
                <w:szCs w:val="18"/>
              </w:rPr>
              <w:t xml:space="preserve"> </w:t>
            </w:r>
          </w:p>
        </w:tc>
        <w:tc>
          <w:tcPr>
            <w:tcW w:w="1275" w:type="dxa"/>
            <w:noWrap/>
            <w:vAlign w:val="center"/>
            <w:hideMark/>
          </w:tcPr>
          <w:p w14:paraId="25609965" w14:textId="77777777" w:rsidR="00100696" w:rsidRPr="007647EB" w:rsidRDefault="00100696" w:rsidP="008123FC">
            <w:pPr>
              <w:spacing w:before="40" w:after="40"/>
              <w:jc w:val="right"/>
              <w:rPr>
                <w:b/>
                <w:bCs/>
                <w:sz w:val="18"/>
                <w:szCs w:val="18"/>
              </w:rPr>
            </w:pPr>
          </w:p>
        </w:tc>
        <w:tc>
          <w:tcPr>
            <w:tcW w:w="1134" w:type="dxa"/>
            <w:noWrap/>
            <w:vAlign w:val="center"/>
            <w:hideMark/>
          </w:tcPr>
          <w:p w14:paraId="05E9810D" w14:textId="77777777" w:rsidR="00100696" w:rsidRPr="007647EB" w:rsidRDefault="00100696" w:rsidP="008123FC">
            <w:pPr>
              <w:spacing w:before="40" w:after="40"/>
              <w:jc w:val="right"/>
              <w:rPr>
                <w:b/>
                <w:bCs/>
                <w:sz w:val="18"/>
                <w:szCs w:val="18"/>
              </w:rPr>
            </w:pPr>
          </w:p>
        </w:tc>
        <w:tc>
          <w:tcPr>
            <w:tcW w:w="1276" w:type="dxa"/>
            <w:noWrap/>
            <w:vAlign w:val="center"/>
            <w:hideMark/>
          </w:tcPr>
          <w:p w14:paraId="6A087C87" w14:textId="77777777" w:rsidR="00100696" w:rsidRPr="007647EB" w:rsidRDefault="00100696" w:rsidP="008123FC">
            <w:pPr>
              <w:spacing w:before="40" w:after="40"/>
              <w:jc w:val="right"/>
              <w:rPr>
                <w:sz w:val="18"/>
                <w:szCs w:val="18"/>
              </w:rPr>
            </w:pPr>
          </w:p>
        </w:tc>
        <w:tc>
          <w:tcPr>
            <w:tcW w:w="1134" w:type="dxa"/>
            <w:noWrap/>
            <w:vAlign w:val="center"/>
            <w:hideMark/>
          </w:tcPr>
          <w:p w14:paraId="629E38B5" w14:textId="77777777" w:rsidR="00100696" w:rsidRPr="007647EB" w:rsidRDefault="00100696" w:rsidP="008123FC">
            <w:pPr>
              <w:spacing w:before="40" w:after="40"/>
              <w:jc w:val="right"/>
              <w:rPr>
                <w:b/>
                <w:bCs/>
                <w:sz w:val="18"/>
                <w:szCs w:val="18"/>
              </w:rPr>
            </w:pPr>
          </w:p>
        </w:tc>
        <w:tc>
          <w:tcPr>
            <w:tcW w:w="1134" w:type="dxa"/>
            <w:noWrap/>
            <w:vAlign w:val="center"/>
            <w:hideMark/>
          </w:tcPr>
          <w:p w14:paraId="6AF266A5" w14:textId="77777777" w:rsidR="00100696" w:rsidRPr="007647EB" w:rsidRDefault="00100696" w:rsidP="008123FC">
            <w:pPr>
              <w:spacing w:before="40" w:after="40"/>
              <w:jc w:val="right"/>
              <w:rPr>
                <w:b/>
                <w:bCs/>
                <w:sz w:val="18"/>
                <w:szCs w:val="18"/>
              </w:rPr>
            </w:pPr>
          </w:p>
        </w:tc>
        <w:tc>
          <w:tcPr>
            <w:tcW w:w="1245" w:type="dxa"/>
            <w:noWrap/>
            <w:vAlign w:val="center"/>
            <w:hideMark/>
          </w:tcPr>
          <w:p w14:paraId="7058C18C" w14:textId="77777777" w:rsidR="00100696" w:rsidRPr="007647EB" w:rsidRDefault="00100696" w:rsidP="008123FC">
            <w:pPr>
              <w:spacing w:before="40" w:after="40"/>
              <w:jc w:val="right"/>
              <w:rPr>
                <w:sz w:val="18"/>
                <w:szCs w:val="18"/>
              </w:rPr>
            </w:pPr>
          </w:p>
        </w:tc>
      </w:tr>
      <w:tr w:rsidR="00100696" w:rsidRPr="007647EB" w14:paraId="42957AB1" w14:textId="77777777" w:rsidTr="008123FC">
        <w:trPr>
          <w:trHeight w:val="300"/>
          <w:jc w:val="right"/>
        </w:trPr>
        <w:tc>
          <w:tcPr>
            <w:tcW w:w="284" w:type="dxa"/>
            <w:tcBorders>
              <w:top w:val="nil"/>
            </w:tcBorders>
            <w:noWrap/>
            <w:vAlign w:val="center"/>
            <w:hideMark/>
          </w:tcPr>
          <w:p w14:paraId="3BB67C7E"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62D2C43D" w14:textId="77777777" w:rsidR="00100696" w:rsidRPr="007647EB" w:rsidRDefault="00100696" w:rsidP="008123FC">
            <w:pPr>
              <w:spacing w:before="40" w:after="40"/>
              <w:rPr>
                <w:sz w:val="18"/>
                <w:szCs w:val="18"/>
              </w:rPr>
            </w:pPr>
            <w:r w:rsidRPr="007647EB">
              <w:rPr>
                <w:color w:val="000000"/>
                <w:sz w:val="18"/>
                <w:szCs w:val="18"/>
              </w:rPr>
              <w:t>14.1. Programme de travail du Comité de mise en œuvre et du respect des obligations</w:t>
            </w:r>
          </w:p>
        </w:tc>
        <w:tc>
          <w:tcPr>
            <w:tcW w:w="1275" w:type="dxa"/>
            <w:tcBorders>
              <w:top w:val="nil"/>
            </w:tcBorders>
            <w:noWrap/>
            <w:vAlign w:val="center"/>
            <w:hideMark/>
          </w:tcPr>
          <w:p w14:paraId="4ABF4987"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27749311" w14:textId="77777777" w:rsidR="00100696" w:rsidRPr="007647EB" w:rsidRDefault="00100696" w:rsidP="008123FC">
            <w:pPr>
              <w:spacing w:before="40" w:after="40"/>
              <w:jc w:val="right"/>
              <w:rPr>
                <w:sz w:val="18"/>
                <w:szCs w:val="18"/>
              </w:rPr>
            </w:pPr>
          </w:p>
        </w:tc>
        <w:tc>
          <w:tcPr>
            <w:tcW w:w="1276" w:type="dxa"/>
            <w:tcBorders>
              <w:top w:val="nil"/>
            </w:tcBorders>
            <w:noWrap/>
            <w:vAlign w:val="center"/>
            <w:hideMark/>
          </w:tcPr>
          <w:p w14:paraId="3E3AB08B"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6C939544"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74D24A8F"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42834FB4" w14:textId="77777777" w:rsidR="00100696" w:rsidRPr="007647EB" w:rsidRDefault="00100696" w:rsidP="008123FC">
            <w:pPr>
              <w:spacing w:before="40" w:after="40"/>
              <w:jc w:val="right"/>
              <w:rPr>
                <w:sz w:val="18"/>
                <w:szCs w:val="18"/>
              </w:rPr>
            </w:pPr>
          </w:p>
        </w:tc>
      </w:tr>
      <w:tr w:rsidR="00100696" w:rsidRPr="007647EB" w14:paraId="3DDEE955" w14:textId="77777777" w:rsidTr="008123FC">
        <w:trPr>
          <w:trHeight w:val="122"/>
          <w:jc w:val="right"/>
        </w:trPr>
        <w:tc>
          <w:tcPr>
            <w:tcW w:w="284" w:type="dxa"/>
            <w:noWrap/>
            <w:vAlign w:val="center"/>
            <w:hideMark/>
          </w:tcPr>
          <w:p w14:paraId="7B90AB05"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77FDCD08" w14:textId="77777777" w:rsidR="00100696" w:rsidRPr="007647EB" w:rsidRDefault="00100696" w:rsidP="008123FC">
            <w:pPr>
              <w:spacing w:before="40" w:after="40"/>
              <w:rPr>
                <w:sz w:val="18"/>
                <w:szCs w:val="18"/>
              </w:rPr>
            </w:pPr>
            <w:r w:rsidRPr="007647EB">
              <w:rPr>
                <w:color w:val="000000"/>
                <w:sz w:val="18"/>
                <w:szCs w:val="18"/>
              </w:rPr>
              <w:t>14.2. Activités juridiques</w:t>
            </w:r>
          </w:p>
        </w:tc>
        <w:tc>
          <w:tcPr>
            <w:tcW w:w="1275" w:type="dxa"/>
            <w:noWrap/>
            <w:vAlign w:val="center"/>
            <w:hideMark/>
          </w:tcPr>
          <w:p w14:paraId="5EAFB39A" w14:textId="77777777" w:rsidR="00100696" w:rsidRPr="007647EB" w:rsidRDefault="00100696" w:rsidP="008123FC">
            <w:pPr>
              <w:spacing w:before="40" w:after="40"/>
              <w:jc w:val="right"/>
              <w:rPr>
                <w:sz w:val="18"/>
                <w:szCs w:val="18"/>
              </w:rPr>
            </w:pPr>
          </w:p>
        </w:tc>
        <w:tc>
          <w:tcPr>
            <w:tcW w:w="1134" w:type="dxa"/>
            <w:noWrap/>
            <w:vAlign w:val="center"/>
            <w:hideMark/>
          </w:tcPr>
          <w:p w14:paraId="1589F2FD" w14:textId="77777777" w:rsidR="00100696" w:rsidRPr="007647EB" w:rsidRDefault="00100696" w:rsidP="008123FC">
            <w:pPr>
              <w:spacing w:before="40" w:after="40"/>
              <w:jc w:val="right"/>
              <w:rPr>
                <w:sz w:val="18"/>
                <w:szCs w:val="18"/>
              </w:rPr>
            </w:pPr>
          </w:p>
        </w:tc>
        <w:tc>
          <w:tcPr>
            <w:tcW w:w="1276" w:type="dxa"/>
            <w:noWrap/>
            <w:vAlign w:val="center"/>
            <w:hideMark/>
          </w:tcPr>
          <w:p w14:paraId="683B97CB" w14:textId="77777777" w:rsidR="00100696" w:rsidRPr="007647EB" w:rsidRDefault="00100696" w:rsidP="008123FC">
            <w:pPr>
              <w:spacing w:before="40" w:after="40"/>
              <w:jc w:val="right"/>
              <w:rPr>
                <w:sz w:val="18"/>
                <w:szCs w:val="18"/>
              </w:rPr>
            </w:pPr>
          </w:p>
        </w:tc>
        <w:tc>
          <w:tcPr>
            <w:tcW w:w="1134" w:type="dxa"/>
            <w:noWrap/>
            <w:vAlign w:val="center"/>
            <w:hideMark/>
          </w:tcPr>
          <w:p w14:paraId="513B3650" w14:textId="77777777" w:rsidR="00100696" w:rsidRPr="007647EB" w:rsidRDefault="00100696" w:rsidP="008123FC">
            <w:pPr>
              <w:spacing w:before="40" w:after="40"/>
              <w:jc w:val="right"/>
              <w:rPr>
                <w:sz w:val="18"/>
                <w:szCs w:val="18"/>
              </w:rPr>
            </w:pPr>
          </w:p>
        </w:tc>
        <w:tc>
          <w:tcPr>
            <w:tcW w:w="1134" w:type="dxa"/>
            <w:noWrap/>
            <w:vAlign w:val="center"/>
            <w:hideMark/>
          </w:tcPr>
          <w:p w14:paraId="679F86A8" w14:textId="77777777" w:rsidR="00100696" w:rsidRPr="007647EB" w:rsidRDefault="00100696" w:rsidP="008123FC">
            <w:pPr>
              <w:spacing w:before="40" w:after="40"/>
              <w:jc w:val="right"/>
              <w:rPr>
                <w:sz w:val="18"/>
                <w:szCs w:val="18"/>
              </w:rPr>
            </w:pPr>
          </w:p>
        </w:tc>
        <w:tc>
          <w:tcPr>
            <w:tcW w:w="1245" w:type="dxa"/>
            <w:noWrap/>
            <w:vAlign w:val="center"/>
            <w:hideMark/>
          </w:tcPr>
          <w:p w14:paraId="6DFDD4F0" w14:textId="77777777" w:rsidR="00100696" w:rsidRPr="007647EB" w:rsidRDefault="00100696" w:rsidP="008123FC">
            <w:pPr>
              <w:spacing w:before="40" w:after="40"/>
              <w:jc w:val="right"/>
              <w:rPr>
                <w:sz w:val="18"/>
                <w:szCs w:val="18"/>
              </w:rPr>
            </w:pPr>
          </w:p>
        </w:tc>
      </w:tr>
      <w:tr w:rsidR="00100696" w:rsidRPr="007647EB" w14:paraId="545CC186" w14:textId="77777777" w:rsidTr="008123FC">
        <w:trPr>
          <w:trHeight w:val="122"/>
          <w:jc w:val="right"/>
        </w:trPr>
        <w:tc>
          <w:tcPr>
            <w:tcW w:w="284" w:type="dxa"/>
            <w:noWrap/>
            <w:vAlign w:val="center"/>
          </w:tcPr>
          <w:p w14:paraId="2BAA3C52" w14:textId="77777777" w:rsidR="00100696" w:rsidRPr="007647EB" w:rsidRDefault="00100696" w:rsidP="008123FC">
            <w:pPr>
              <w:spacing w:before="40" w:after="40"/>
              <w:rPr>
                <w:b/>
                <w:bCs/>
                <w:sz w:val="18"/>
                <w:szCs w:val="18"/>
              </w:rPr>
            </w:pPr>
          </w:p>
        </w:tc>
        <w:tc>
          <w:tcPr>
            <w:tcW w:w="6946" w:type="dxa"/>
            <w:noWrap/>
            <w:vAlign w:val="center"/>
          </w:tcPr>
          <w:p w14:paraId="3CD8D27B" w14:textId="77777777" w:rsidR="00100696" w:rsidRPr="007647EB" w:rsidRDefault="00100696" w:rsidP="008123FC">
            <w:pPr>
              <w:spacing w:before="40" w:after="40"/>
              <w:rPr>
                <w:sz w:val="18"/>
                <w:szCs w:val="18"/>
              </w:rPr>
            </w:pPr>
            <w:r w:rsidRPr="007647EB">
              <w:rPr>
                <w:color w:val="000000"/>
                <w:sz w:val="18"/>
                <w:szCs w:val="18"/>
              </w:rPr>
              <w:t>14.3. Législations nationales, commerce et contrôle du respect</w:t>
            </w:r>
          </w:p>
        </w:tc>
        <w:tc>
          <w:tcPr>
            <w:tcW w:w="1275" w:type="dxa"/>
            <w:noWrap/>
            <w:vAlign w:val="center"/>
          </w:tcPr>
          <w:p w14:paraId="650F9777" w14:textId="77777777" w:rsidR="00100696" w:rsidRPr="007647EB" w:rsidRDefault="00100696" w:rsidP="008123FC">
            <w:pPr>
              <w:spacing w:before="40" w:after="40"/>
              <w:jc w:val="right"/>
              <w:rPr>
                <w:sz w:val="18"/>
                <w:szCs w:val="18"/>
              </w:rPr>
            </w:pPr>
          </w:p>
        </w:tc>
        <w:tc>
          <w:tcPr>
            <w:tcW w:w="1134" w:type="dxa"/>
            <w:noWrap/>
            <w:vAlign w:val="center"/>
          </w:tcPr>
          <w:p w14:paraId="2232A7D1" w14:textId="77777777" w:rsidR="00100696" w:rsidRPr="007647EB" w:rsidRDefault="00100696" w:rsidP="008123FC">
            <w:pPr>
              <w:spacing w:before="40" w:after="40"/>
              <w:jc w:val="right"/>
              <w:rPr>
                <w:sz w:val="18"/>
                <w:szCs w:val="18"/>
              </w:rPr>
            </w:pPr>
          </w:p>
        </w:tc>
        <w:tc>
          <w:tcPr>
            <w:tcW w:w="1276" w:type="dxa"/>
            <w:noWrap/>
            <w:vAlign w:val="center"/>
          </w:tcPr>
          <w:p w14:paraId="0C5CD2DF" w14:textId="77777777" w:rsidR="00100696" w:rsidRPr="007647EB" w:rsidRDefault="00100696" w:rsidP="008123FC">
            <w:pPr>
              <w:spacing w:before="40" w:after="40"/>
              <w:jc w:val="right"/>
              <w:rPr>
                <w:sz w:val="18"/>
                <w:szCs w:val="18"/>
              </w:rPr>
            </w:pPr>
          </w:p>
        </w:tc>
        <w:tc>
          <w:tcPr>
            <w:tcW w:w="1134" w:type="dxa"/>
            <w:noWrap/>
            <w:vAlign w:val="center"/>
          </w:tcPr>
          <w:p w14:paraId="60127599" w14:textId="77777777" w:rsidR="00100696" w:rsidRPr="007647EB" w:rsidRDefault="00100696" w:rsidP="008123FC">
            <w:pPr>
              <w:spacing w:before="40" w:after="40"/>
              <w:jc w:val="right"/>
              <w:rPr>
                <w:sz w:val="18"/>
                <w:szCs w:val="18"/>
              </w:rPr>
            </w:pPr>
          </w:p>
        </w:tc>
        <w:tc>
          <w:tcPr>
            <w:tcW w:w="1134" w:type="dxa"/>
            <w:noWrap/>
            <w:vAlign w:val="center"/>
          </w:tcPr>
          <w:p w14:paraId="3F365E73" w14:textId="77777777" w:rsidR="00100696" w:rsidRPr="007647EB" w:rsidRDefault="00100696" w:rsidP="008123FC">
            <w:pPr>
              <w:spacing w:before="40" w:after="40"/>
              <w:jc w:val="right"/>
              <w:rPr>
                <w:sz w:val="18"/>
                <w:szCs w:val="18"/>
              </w:rPr>
            </w:pPr>
          </w:p>
        </w:tc>
        <w:tc>
          <w:tcPr>
            <w:tcW w:w="1245" w:type="dxa"/>
            <w:noWrap/>
            <w:vAlign w:val="center"/>
          </w:tcPr>
          <w:p w14:paraId="23D242E3" w14:textId="77777777" w:rsidR="00100696" w:rsidRPr="007647EB" w:rsidRDefault="00100696" w:rsidP="008123FC">
            <w:pPr>
              <w:spacing w:before="40" w:after="40"/>
              <w:jc w:val="right"/>
              <w:rPr>
                <w:sz w:val="18"/>
                <w:szCs w:val="18"/>
              </w:rPr>
            </w:pPr>
          </w:p>
        </w:tc>
      </w:tr>
      <w:tr w:rsidR="00100696" w:rsidRPr="007647EB" w14:paraId="43987CAF" w14:textId="77777777" w:rsidTr="008123FC">
        <w:trPr>
          <w:trHeight w:val="300"/>
          <w:jc w:val="right"/>
        </w:trPr>
        <w:tc>
          <w:tcPr>
            <w:tcW w:w="284" w:type="dxa"/>
            <w:noWrap/>
            <w:vAlign w:val="center"/>
            <w:hideMark/>
          </w:tcPr>
          <w:p w14:paraId="05792154"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1300395C" w14:textId="77777777" w:rsidR="00100696" w:rsidRPr="007647EB" w:rsidRDefault="00100696" w:rsidP="008123FC">
            <w:pPr>
              <w:spacing w:before="40" w:after="40"/>
              <w:rPr>
                <w:sz w:val="18"/>
                <w:szCs w:val="18"/>
              </w:rPr>
            </w:pPr>
            <w:r w:rsidRPr="007647EB">
              <w:rPr>
                <w:color w:val="000000"/>
                <w:sz w:val="18"/>
                <w:szCs w:val="18"/>
              </w:rPr>
              <w:t>14.4. Répondre aux besoins des groupes en situation de vulnérabilité</w:t>
            </w:r>
          </w:p>
        </w:tc>
        <w:tc>
          <w:tcPr>
            <w:tcW w:w="1275" w:type="dxa"/>
            <w:noWrap/>
            <w:vAlign w:val="center"/>
            <w:hideMark/>
          </w:tcPr>
          <w:p w14:paraId="0AA5277C" w14:textId="77777777" w:rsidR="00100696" w:rsidRPr="007647EB" w:rsidRDefault="00100696" w:rsidP="008123FC">
            <w:pPr>
              <w:spacing w:before="40" w:after="40"/>
              <w:jc w:val="right"/>
              <w:rPr>
                <w:sz w:val="18"/>
                <w:szCs w:val="18"/>
              </w:rPr>
            </w:pPr>
          </w:p>
        </w:tc>
        <w:tc>
          <w:tcPr>
            <w:tcW w:w="1134" w:type="dxa"/>
            <w:noWrap/>
            <w:vAlign w:val="center"/>
            <w:hideMark/>
          </w:tcPr>
          <w:p w14:paraId="7CE88833" w14:textId="77777777" w:rsidR="00100696" w:rsidRPr="007647EB" w:rsidRDefault="00100696" w:rsidP="008123FC">
            <w:pPr>
              <w:spacing w:before="40" w:after="40"/>
              <w:jc w:val="right"/>
              <w:rPr>
                <w:sz w:val="18"/>
                <w:szCs w:val="18"/>
              </w:rPr>
            </w:pPr>
          </w:p>
        </w:tc>
        <w:tc>
          <w:tcPr>
            <w:tcW w:w="1276" w:type="dxa"/>
            <w:noWrap/>
            <w:vAlign w:val="center"/>
            <w:hideMark/>
          </w:tcPr>
          <w:p w14:paraId="7FBE09A7" w14:textId="77777777" w:rsidR="00100696" w:rsidRPr="007647EB" w:rsidRDefault="00100696" w:rsidP="008123FC">
            <w:pPr>
              <w:spacing w:before="40" w:after="40"/>
              <w:jc w:val="right"/>
              <w:rPr>
                <w:sz w:val="18"/>
                <w:szCs w:val="18"/>
              </w:rPr>
            </w:pPr>
          </w:p>
        </w:tc>
        <w:tc>
          <w:tcPr>
            <w:tcW w:w="1134" w:type="dxa"/>
            <w:noWrap/>
            <w:vAlign w:val="center"/>
            <w:hideMark/>
          </w:tcPr>
          <w:p w14:paraId="3885590F" w14:textId="77777777" w:rsidR="00100696" w:rsidRPr="007647EB" w:rsidRDefault="00100696" w:rsidP="008123FC">
            <w:pPr>
              <w:spacing w:before="40" w:after="40"/>
              <w:jc w:val="right"/>
              <w:rPr>
                <w:sz w:val="18"/>
                <w:szCs w:val="18"/>
              </w:rPr>
            </w:pPr>
            <w:r w:rsidRPr="007647EB">
              <w:rPr>
                <w:color w:val="000000"/>
                <w:sz w:val="18"/>
                <w:szCs w:val="18"/>
              </w:rPr>
              <w:t>36 000</w:t>
            </w:r>
          </w:p>
        </w:tc>
        <w:tc>
          <w:tcPr>
            <w:tcW w:w="1134" w:type="dxa"/>
            <w:noWrap/>
            <w:vAlign w:val="center"/>
            <w:hideMark/>
          </w:tcPr>
          <w:p w14:paraId="6EB664FF" w14:textId="77777777" w:rsidR="00100696" w:rsidRPr="007647EB" w:rsidRDefault="00100696" w:rsidP="008123FC">
            <w:pPr>
              <w:spacing w:before="40" w:after="40"/>
              <w:jc w:val="right"/>
              <w:rPr>
                <w:sz w:val="18"/>
                <w:szCs w:val="18"/>
              </w:rPr>
            </w:pPr>
            <w:r w:rsidRPr="007647EB">
              <w:rPr>
                <w:color w:val="000000"/>
                <w:sz w:val="18"/>
                <w:szCs w:val="18"/>
              </w:rPr>
              <w:t>20 000</w:t>
            </w:r>
          </w:p>
        </w:tc>
        <w:tc>
          <w:tcPr>
            <w:tcW w:w="1245" w:type="dxa"/>
            <w:noWrap/>
            <w:vAlign w:val="center"/>
            <w:hideMark/>
          </w:tcPr>
          <w:p w14:paraId="664D6E97" w14:textId="77777777" w:rsidR="00100696" w:rsidRPr="007647EB" w:rsidRDefault="00100696" w:rsidP="008123FC">
            <w:pPr>
              <w:spacing w:before="40" w:after="40"/>
              <w:jc w:val="right"/>
              <w:rPr>
                <w:sz w:val="18"/>
                <w:szCs w:val="18"/>
              </w:rPr>
            </w:pPr>
            <w:r w:rsidRPr="007647EB">
              <w:rPr>
                <w:color w:val="000000"/>
                <w:sz w:val="18"/>
                <w:szCs w:val="18"/>
              </w:rPr>
              <w:t>56 000</w:t>
            </w:r>
          </w:p>
        </w:tc>
      </w:tr>
      <w:tr w:rsidR="00100696" w:rsidRPr="007647EB" w14:paraId="0946216C" w14:textId="77777777" w:rsidTr="008123FC">
        <w:trPr>
          <w:trHeight w:val="315"/>
          <w:jc w:val="right"/>
        </w:trPr>
        <w:tc>
          <w:tcPr>
            <w:tcW w:w="284" w:type="dxa"/>
            <w:noWrap/>
            <w:vAlign w:val="center"/>
            <w:hideMark/>
          </w:tcPr>
          <w:p w14:paraId="4BF419A5"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noWrap/>
            <w:vAlign w:val="center"/>
            <w:hideMark/>
          </w:tcPr>
          <w:p w14:paraId="6E88A123" w14:textId="388E3E90" w:rsidR="00100696" w:rsidRPr="007647EB" w:rsidRDefault="00100696" w:rsidP="008123FC">
            <w:pPr>
              <w:spacing w:before="40" w:after="40"/>
              <w:rPr>
                <w:sz w:val="18"/>
                <w:szCs w:val="18"/>
              </w:rPr>
            </w:pPr>
            <w:r w:rsidRPr="007647EB">
              <w:rPr>
                <w:color w:val="000000"/>
                <w:sz w:val="18"/>
                <w:szCs w:val="18"/>
              </w:rPr>
              <w:t>14.5. Manifestation de haut niveau à l</w:t>
            </w:r>
            <w:r w:rsidR="00D82E47" w:rsidRPr="007647EB">
              <w:rPr>
                <w:color w:val="000000"/>
                <w:sz w:val="18"/>
                <w:szCs w:val="18"/>
              </w:rPr>
              <w:t>’</w:t>
            </w:r>
            <w:r w:rsidRPr="007647EB">
              <w:rPr>
                <w:color w:val="000000"/>
                <w:sz w:val="18"/>
                <w:szCs w:val="18"/>
              </w:rPr>
              <w:t>occasion du dixième anniversaire de la Convention</w:t>
            </w:r>
          </w:p>
        </w:tc>
        <w:tc>
          <w:tcPr>
            <w:tcW w:w="1275" w:type="dxa"/>
            <w:noWrap/>
            <w:vAlign w:val="center"/>
            <w:hideMark/>
          </w:tcPr>
          <w:p w14:paraId="0A9A9F86" w14:textId="77777777" w:rsidR="00100696" w:rsidRPr="007647EB" w:rsidRDefault="00100696" w:rsidP="008123FC">
            <w:pPr>
              <w:spacing w:before="40" w:after="40"/>
              <w:jc w:val="right"/>
              <w:rPr>
                <w:sz w:val="18"/>
                <w:szCs w:val="18"/>
              </w:rPr>
            </w:pPr>
          </w:p>
        </w:tc>
        <w:tc>
          <w:tcPr>
            <w:tcW w:w="1134" w:type="dxa"/>
            <w:noWrap/>
            <w:vAlign w:val="center"/>
            <w:hideMark/>
          </w:tcPr>
          <w:p w14:paraId="68E6890E" w14:textId="77777777" w:rsidR="00100696" w:rsidRPr="007647EB" w:rsidRDefault="00100696" w:rsidP="008123FC">
            <w:pPr>
              <w:spacing w:before="40" w:after="40"/>
              <w:jc w:val="right"/>
              <w:rPr>
                <w:sz w:val="18"/>
                <w:szCs w:val="18"/>
              </w:rPr>
            </w:pPr>
          </w:p>
        </w:tc>
        <w:tc>
          <w:tcPr>
            <w:tcW w:w="1276" w:type="dxa"/>
            <w:noWrap/>
            <w:vAlign w:val="center"/>
            <w:hideMark/>
          </w:tcPr>
          <w:p w14:paraId="6F24D2D2" w14:textId="77777777" w:rsidR="00100696" w:rsidRPr="007647EB" w:rsidRDefault="00100696" w:rsidP="008123FC">
            <w:pPr>
              <w:spacing w:before="40" w:after="40"/>
              <w:jc w:val="right"/>
              <w:rPr>
                <w:sz w:val="18"/>
                <w:szCs w:val="18"/>
              </w:rPr>
            </w:pPr>
          </w:p>
        </w:tc>
        <w:tc>
          <w:tcPr>
            <w:tcW w:w="1134" w:type="dxa"/>
            <w:noWrap/>
            <w:vAlign w:val="center"/>
            <w:hideMark/>
          </w:tcPr>
          <w:p w14:paraId="72B8C257" w14:textId="77777777" w:rsidR="00100696" w:rsidRPr="007647EB" w:rsidRDefault="00100696" w:rsidP="008123FC">
            <w:pPr>
              <w:spacing w:before="40" w:after="40"/>
              <w:jc w:val="right"/>
              <w:rPr>
                <w:sz w:val="18"/>
                <w:szCs w:val="18"/>
              </w:rPr>
            </w:pPr>
          </w:p>
        </w:tc>
        <w:tc>
          <w:tcPr>
            <w:tcW w:w="1134" w:type="dxa"/>
            <w:noWrap/>
            <w:vAlign w:val="center"/>
            <w:hideMark/>
          </w:tcPr>
          <w:p w14:paraId="35046DC8" w14:textId="77777777" w:rsidR="00100696" w:rsidRPr="007647EB" w:rsidRDefault="00100696" w:rsidP="008123FC">
            <w:pPr>
              <w:spacing w:before="40" w:after="40"/>
              <w:jc w:val="right"/>
              <w:rPr>
                <w:sz w:val="18"/>
                <w:szCs w:val="18"/>
              </w:rPr>
            </w:pPr>
            <w:r w:rsidRPr="007647EB">
              <w:rPr>
                <w:color w:val="000000"/>
                <w:sz w:val="18"/>
                <w:szCs w:val="18"/>
              </w:rPr>
              <w:t>40 000</w:t>
            </w:r>
          </w:p>
        </w:tc>
        <w:tc>
          <w:tcPr>
            <w:tcW w:w="1245" w:type="dxa"/>
            <w:noWrap/>
            <w:vAlign w:val="center"/>
            <w:hideMark/>
          </w:tcPr>
          <w:p w14:paraId="05F453F9" w14:textId="77777777" w:rsidR="00100696" w:rsidRPr="007647EB" w:rsidRDefault="00100696" w:rsidP="008123FC">
            <w:pPr>
              <w:spacing w:before="40" w:after="40"/>
              <w:jc w:val="right"/>
              <w:rPr>
                <w:sz w:val="18"/>
                <w:szCs w:val="18"/>
              </w:rPr>
            </w:pPr>
            <w:r w:rsidRPr="007647EB">
              <w:rPr>
                <w:color w:val="000000"/>
                <w:sz w:val="18"/>
                <w:szCs w:val="18"/>
              </w:rPr>
              <w:t>40 000</w:t>
            </w:r>
          </w:p>
        </w:tc>
      </w:tr>
      <w:tr w:rsidR="00100696" w:rsidRPr="007647EB" w14:paraId="3F6C2C26" w14:textId="77777777" w:rsidTr="008123FC">
        <w:trPr>
          <w:trHeight w:val="330"/>
          <w:jc w:val="right"/>
        </w:trPr>
        <w:tc>
          <w:tcPr>
            <w:tcW w:w="7230" w:type="dxa"/>
            <w:gridSpan w:val="2"/>
            <w:tcBorders>
              <w:bottom w:val="single" w:sz="4" w:space="0" w:color="auto"/>
            </w:tcBorders>
            <w:shd w:val="clear" w:color="000000" w:fill="B4C6E7"/>
            <w:noWrap/>
            <w:vAlign w:val="center"/>
            <w:hideMark/>
          </w:tcPr>
          <w:p w14:paraId="627CD4EB" w14:textId="77777777" w:rsidR="00100696" w:rsidRPr="007647EB" w:rsidRDefault="00100696" w:rsidP="008123FC">
            <w:pPr>
              <w:spacing w:before="40" w:after="40"/>
              <w:rPr>
                <w:b/>
                <w:bCs/>
                <w:sz w:val="18"/>
                <w:szCs w:val="18"/>
              </w:rPr>
            </w:pPr>
            <w:r w:rsidRPr="007647EB">
              <w:rPr>
                <w:b/>
                <w:bCs/>
                <w:color w:val="000000"/>
                <w:sz w:val="18"/>
                <w:szCs w:val="18"/>
              </w:rPr>
              <w:t>14.</w:t>
            </w:r>
            <w:r w:rsidRPr="007647EB">
              <w:rPr>
                <w:color w:val="000000"/>
                <w:sz w:val="18"/>
                <w:szCs w:val="18"/>
              </w:rPr>
              <w:t xml:space="preserve"> </w:t>
            </w:r>
            <w:r w:rsidRPr="007647EB">
              <w:rPr>
                <w:b/>
                <w:bCs/>
                <w:color w:val="000000"/>
                <w:sz w:val="18"/>
                <w:szCs w:val="18"/>
              </w:rPr>
              <w:t>Activités juridiques et relatives aux politiques</w:t>
            </w:r>
            <w:r w:rsidRPr="007647EB">
              <w:rPr>
                <w:color w:val="000000"/>
                <w:sz w:val="18"/>
                <w:szCs w:val="18"/>
              </w:rPr>
              <w:t xml:space="preserve"> </w:t>
            </w:r>
          </w:p>
        </w:tc>
        <w:tc>
          <w:tcPr>
            <w:tcW w:w="1275" w:type="dxa"/>
            <w:tcBorders>
              <w:bottom w:val="single" w:sz="4" w:space="0" w:color="auto"/>
            </w:tcBorders>
            <w:shd w:val="clear" w:color="000000" w:fill="B4C6E7"/>
            <w:noWrap/>
            <w:vAlign w:val="center"/>
            <w:hideMark/>
          </w:tcPr>
          <w:p w14:paraId="6A012D69"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4A380084" w14:textId="77777777" w:rsidR="00100696" w:rsidRPr="007647EB" w:rsidRDefault="00100696" w:rsidP="008123FC">
            <w:pPr>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6178ACF4"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6D900725" w14:textId="77777777" w:rsidR="00100696" w:rsidRPr="007647EB" w:rsidRDefault="00100696" w:rsidP="008123FC">
            <w:pPr>
              <w:spacing w:before="40" w:after="40"/>
              <w:jc w:val="right"/>
              <w:rPr>
                <w:b/>
                <w:bCs/>
                <w:sz w:val="18"/>
                <w:szCs w:val="18"/>
              </w:rPr>
            </w:pPr>
            <w:r w:rsidRPr="007647EB">
              <w:rPr>
                <w:b/>
                <w:bCs/>
                <w:color w:val="000000"/>
                <w:sz w:val="18"/>
                <w:szCs w:val="18"/>
              </w:rPr>
              <w:t>36 000</w:t>
            </w:r>
          </w:p>
        </w:tc>
        <w:tc>
          <w:tcPr>
            <w:tcW w:w="1134" w:type="dxa"/>
            <w:tcBorders>
              <w:bottom w:val="single" w:sz="4" w:space="0" w:color="auto"/>
            </w:tcBorders>
            <w:shd w:val="clear" w:color="000000" w:fill="B4C6E7"/>
            <w:noWrap/>
            <w:vAlign w:val="center"/>
            <w:hideMark/>
          </w:tcPr>
          <w:p w14:paraId="496F15F8" w14:textId="77777777" w:rsidR="00100696" w:rsidRPr="007647EB" w:rsidRDefault="00100696" w:rsidP="008123FC">
            <w:pPr>
              <w:spacing w:before="40" w:after="40"/>
              <w:jc w:val="right"/>
              <w:rPr>
                <w:b/>
                <w:bCs/>
                <w:sz w:val="18"/>
                <w:szCs w:val="18"/>
              </w:rPr>
            </w:pPr>
            <w:r w:rsidRPr="007647EB">
              <w:rPr>
                <w:b/>
                <w:bCs/>
                <w:color w:val="000000"/>
                <w:sz w:val="18"/>
                <w:szCs w:val="18"/>
              </w:rPr>
              <w:t>60 000</w:t>
            </w:r>
          </w:p>
        </w:tc>
        <w:tc>
          <w:tcPr>
            <w:tcW w:w="1245" w:type="dxa"/>
            <w:tcBorders>
              <w:bottom w:val="single" w:sz="4" w:space="0" w:color="auto"/>
            </w:tcBorders>
            <w:shd w:val="clear" w:color="000000" w:fill="B4C6E7"/>
            <w:noWrap/>
            <w:vAlign w:val="center"/>
            <w:hideMark/>
          </w:tcPr>
          <w:p w14:paraId="45AAAAED" w14:textId="77777777" w:rsidR="00100696" w:rsidRPr="007647EB" w:rsidRDefault="00100696" w:rsidP="008123FC">
            <w:pPr>
              <w:spacing w:before="40" w:after="40"/>
              <w:jc w:val="right"/>
              <w:rPr>
                <w:b/>
                <w:bCs/>
                <w:sz w:val="18"/>
                <w:szCs w:val="18"/>
              </w:rPr>
            </w:pPr>
            <w:r w:rsidRPr="007647EB">
              <w:rPr>
                <w:b/>
                <w:bCs/>
                <w:color w:val="000000"/>
                <w:sz w:val="18"/>
                <w:szCs w:val="18"/>
              </w:rPr>
              <w:t>96 000</w:t>
            </w:r>
          </w:p>
        </w:tc>
      </w:tr>
      <w:tr w:rsidR="00100696" w:rsidRPr="007647EB" w14:paraId="3993AB7C" w14:textId="77777777" w:rsidTr="008123FC">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33E696C8"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lastRenderedPageBreak/>
              <w:t>Total (F)</w:t>
            </w:r>
          </w:p>
        </w:tc>
        <w:tc>
          <w:tcPr>
            <w:tcW w:w="1275" w:type="dxa"/>
            <w:tcBorders>
              <w:top w:val="single" w:sz="4" w:space="0" w:color="auto"/>
              <w:bottom w:val="single" w:sz="4" w:space="0" w:color="auto"/>
            </w:tcBorders>
            <w:shd w:val="clear" w:color="000000" w:fill="DBB731"/>
            <w:noWrap/>
            <w:vAlign w:val="center"/>
            <w:hideMark/>
          </w:tcPr>
          <w:p w14:paraId="30333C7E"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38A46C57" w14:textId="77777777" w:rsidR="00100696" w:rsidRPr="007647EB" w:rsidRDefault="00100696" w:rsidP="008123FC">
            <w:pPr>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16DD12C9"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3A265FF1" w14:textId="77777777" w:rsidR="00100696" w:rsidRPr="007647EB" w:rsidRDefault="00100696" w:rsidP="008123FC">
            <w:pPr>
              <w:spacing w:before="40" w:after="40"/>
              <w:jc w:val="right"/>
              <w:rPr>
                <w:b/>
                <w:bCs/>
                <w:sz w:val="18"/>
                <w:szCs w:val="18"/>
              </w:rPr>
            </w:pPr>
            <w:r w:rsidRPr="007647EB">
              <w:rPr>
                <w:b/>
                <w:bCs/>
                <w:color w:val="000000"/>
                <w:sz w:val="18"/>
                <w:szCs w:val="18"/>
              </w:rPr>
              <w:t>36 000</w:t>
            </w:r>
          </w:p>
        </w:tc>
        <w:tc>
          <w:tcPr>
            <w:tcW w:w="1134" w:type="dxa"/>
            <w:tcBorders>
              <w:top w:val="single" w:sz="4" w:space="0" w:color="auto"/>
              <w:bottom w:val="single" w:sz="4" w:space="0" w:color="auto"/>
            </w:tcBorders>
            <w:shd w:val="clear" w:color="000000" w:fill="DBB731"/>
            <w:noWrap/>
            <w:vAlign w:val="center"/>
            <w:hideMark/>
          </w:tcPr>
          <w:p w14:paraId="6D3B7FDB" w14:textId="77777777" w:rsidR="00100696" w:rsidRPr="007647EB" w:rsidRDefault="00100696" w:rsidP="008123FC">
            <w:pPr>
              <w:spacing w:before="40" w:after="40"/>
              <w:jc w:val="right"/>
              <w:rPr>
                <w:b/>
                <w:bCs/>
                <w:sz w:val="18"/>
                <w:szCs w:val="18"/>
              </w:rPr>
            </w:pPr>
            <w:r w:rsidRPr="007647EB">
              <w:rPr>
                <w:b/>
                <w:bCs/>
                <w:color w:val="000000"/>
                <w:sz w:val="18"/>
                <w:szCs w:val="18"/>
              </w:rPr>
              <w:t>60 000</w:t>
            </w:r>
          </w:p>
        </w:tc>
        <w:tc>
          <w:tcPr>
            <w:tcW w:w="1245" w:type="dxa"/>
            <w:tcBorders>
              <w:top w:val="single" w:sz="4" w:space="0" w:color="auto"/>
              <w:bottom w:val="single" w:sz="4" w:space="0" w:color="auto"/>
            </w:tcBorders>
            <w:shd w:val="clear" w:color="000000" w:fill="DBB731"/>
            <w:noWrap/>
            <w:vAlign w:val="center"/>
            <w:hideMark/>
          </w:tcPr>
          <w:p w14:paraId="1EA4F690" w14:textId="77777777" w:rsidR="00100696" w:rsidRPr="007647EB" w:rsidRDefault="00100696" w:rsidP="008123FC">
            <w:pPr>
              <w:spacing w:before="40" w:after="40"/>
              <w:jc w:val="right"/>
              <w:rPr>
                <w:b/>
                <w:bCs/>
                <w:sz w:val="18"/>
                <w:szCs w:val="18"/>
              </w:rPr>
            </w:pPr>
            <w:r w:rsidRPr="007647EB">
              <w:rPr>
                <w:b/>
                <w:bCs/>
                <w:color w:val="000000"/>
                <w:sz w:val="18"/>
                <w:szCs w:val="18"/>
              </w:rPr>
              <w:t>96 000</w:t>
            </w:r>
          </w:p>
        </w:tc>
      </w:tr>
      <w:tr w:rsidR="00100696" w:rsidRPr="007647EB" w14:paraId="5BA0AB3E" w14:textId="77777777" w:rsidTr="008123FC">
        <w:trPr>
          <w:trHeight w:val="42"/>
          <w:jc w:val="right"/>
        </w:trPr>
        <w:tc>
          <w:tcPr>
            <w:tcW w:w="7230" w:type="dxa"/>
            <w:gridSpan w:val="2"/>
            <w:tcBorders>
              <w:top w:val="single" w:sz="4" w:space="0" w:color="auto"/>
            </w:tcBorders>
            <w:noWrap/>
            <w:vAlign w:val="center"/>
            <w:hideMark/>
          </w:tcPr>
          <w:p w14:paraId="71267E39" w14:textId="77777777" w:rsidR="00100696" w:rsidRPr="007647EB" w:rsidRDefault="00100696" w:rsidP="008123FC">
            <w:pPr>
              <w:spacing w:before="40" w:after="40"/>
              <w:rPr>
                <w:b/>
                <w:bCs/>
                <w:sz w:val="18"/>
                <w:szCs w:val="18"/>
              </w:rPr>
            </w:pPr>
            <w:r w:rsidRPr="007647EB">
              <w:rPr>
                <w:b/>
                <w:bCs/>
                <w:color w:val="000000"/>
                <w:sz w:val="18"/>
                <w:szCs w:val="18"/>
              </w:rPr>
              <w:t>G.</w:t>
            </w:r>
            <w:r w:rsidRPr="007647EB">
              <w:rPr>
                <w:color w:val="000000"/>
                <w:sz w:val="18"/>
                <w:szCs w:val="18"/>
              </w:rPr>
              <w:t xml:space="preserve"> </w:t>
            </w:r>
            <w:r w:rsidRPr="007647EB">
              <w:rPr>
                <w:b/>
                <w:bCs/>
                <w:color w:val="000000"/>
                <w:sz w:val="18"/>
                <w:szCs w:val="18"/>
              </w:rPr>
              <w:t>Entretien des locaux de bureau et services connexes</w:t>
            </w:r>
          </w:p>
        </w:tc>
        <w:tc>
          <w:tcPr>
            <w:tcW w:w="1275" w:type="dxa"/>
            <w:tcBorders>
              <w:top w:val="single" w:sz="4" w:space="0" w:color="auto"/>
            </w:tcBorders>
            <w:noWrap/>
            <w:vAlign w:val="center"/>
            <w:hideMark/>
          </w:tcPr>
          <w:p w14:paraId="6CC54A2A"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67BB1807" w14:textId="77777777" w:rsidR="00100696" w:rsidRPr="007647EB" w:rsidRDefault="00100696" w:rsidP="008123FC">
            <w:pPr>
              <w:spacing w:before="40" w:after="40"/>
              <w:jc w:val="right"/>
              <w:rPr>
                <w:b/>
                <w:bCs/>
                <w:sz w:val="18"/>
                <w:szCs w:val="18"/>
              </w:rPr>
            </w:pPr>
          </w:p>
        </w:tc>
        <w:tc>
          <w:tcPr>
            <w:tcW w:w="1276" w:type="dxa"/>
            <w:tcBorders>
              <w:top w:val="single" w:sz="4" w:space="0" w:color="auto"/>
            </w:tcBorders>
            <w:noWrap/>
            <w:vAlign w:val="center"/>
            <w:hideMark/>
          </w:tcPr>
          <w:p w14:paraId="0F95BE9B"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7EBDEFA9" w14:textId="77777777" w:rsidR="00100696" w:rsidRPr="007647EB" w:rsidRDefault="00100696" w:rsidP="008123FC">
            <w:pPr>
              <w:spacing w:before="40" w:after="40"/>
              <w:jc w:val="right"/>
              <w:rPr>
                <w:b/>
                <w:bCs/>
                <w:sz w:val="18"/>
                <w:szCs w:val="18"/>
              </w:rPr>
            </w:pPr>
          </w:p>
        </w:tc>
        <w:tc>
          <w:tcPr>
            <w:tcW w:w="1134" w:type="dxa"/>
            <w:tcBorders>
              <w:top w:val="single" w:sz="4" w:space="0" w:color="auto"/>
            </w:tcBorders>
            <w:noWrap/>
            <w:vAlign w:val="center"/>
            <w:hideMark/>
          </w:tcPr>
          <w:p w14:paraId="57A01ECE" w14:textId="77777777" w:rsidR="00100696" w:rsidRPr="007647EB" w:rsidRDefault="00100696" w:rsidP="008123FC">
            <w:pPr>
              <w:spacing w:before="40" w:after="40"/>
              <w:jc w:val="right"/>
              <w:rPr>
                <w:b/>
                <w:bCs/>
                <w:sz w:val="18"/>
                <w:szCs w:val="18"/>
              </w:rPr>
            </w:pPr>
          </w:p>
        </w:tc>
        <w:tc>
          <w:tcPr>
            <w:tcW w:w="1245" w:type="dxa"/>
            <w:tcBorders>
              <w:top w:val="single" w:sz="4" w:space="0" w:color="auto"/>
            </w:tcBorders>
            <w:noWrap/>
            <w:vAlign w:val="center"/>
            <w:hideMark/>
          </w:tcPr>
          <w:p w14:paraId="34CA9AC8" w14:textId="77777777" w:rsidR="00100696" w:rsidRPr="007647EB" w:rsidRDefault="00100696" w:rsidP="008123FC">
            <w:pPr>
              <w:spacing w:before="40" w:after="40"/>
              <w:jc w:val="right"/>
              <w:rPr>
                <w:b/>
                <w:bCs/>
                <w:sz w:val="18"/>
                <w:szCs w:val="18"/>
              </w:rPr>
            </w:pPr>
          </w:p>
        </w:tc>
      </w:tr>
      <w:tr w:rsidR="00100696" w:rsidRPr="007647EB" w14:paraId="52CDFE6E" w14:textId="77777777" w:rsidTr="008123FC">
        <w:trPr>
          <w:trHeight w:val="52"/>
          <w:jc w:val="right"/>
        </w:trPr>
        <w:tc>
          <w:tcPr>
            <w:tcW w:w="7230" w:type="dxa"/>
            <w:gridSpan w:val="2"/>
            <w:noWrap/>
            <w:vAlign w:val="center"/>
            <w:hideMark/>
          </w:tcPr>
          <w:p w14:paraId="3DD65964" w14:textId="77777777" w:rsidR="00100696" w:rsidRPr="007647EB" w:rsidRDefault="00100696" w:rsidP="008123FC">
            <w:pPr>
              <w:spacing w:before="40" w:after="40"/>
              <w:rPr>
                <w:b/>
                <w:bCs/>
                <w:sz w:val="18"/>
                <w:szCs w:val="18"/>
              </w:rPr>
            </w:pPr>
            <w:r w:rsidRPr="007647EB">
              <w:rPr>
                <w:b/>
                <w:bCs/>
                <w:color w:val="000000"/>
                <w:sz w:val="18"/>
                <w:szCs w:val="18"/>
              </w:rPr>
              <w:t>15.</w:t>
            </w:r>
            <w:r w:rsidRPr="007647EB">
              <w:rPr>
                <w:color w:val="000000"/>
                <w:sz w:val="18"/>
                <w:szCs w:val="18"/>
              </w:rPr>
              <w:t xml:space="preserve"> </w:t>
            </w:r>
            <w:r w:rsidRPr="007647EB">
              <w:rPr>
                <w:b/>
                <w:bCs/>
                <w:color w:val="000000"/>
                <w:sz w:val="18"/>
                <w:szCs w:val="18"/>
              </w:rPr>
              <w:t>Entretien des locaux de bureau et services connexes</w:t>
            </w:r>
          </w:p>
        </w:tc>
        <w:tc>
          <w:tcPr>
            <w:tcW w:w="1275" w:type="dxa"/>
            <w:noWrap/>
            <w:vAlign w:val="center"/>
            <w:hideMark/>
          </w:tcPr>
          <w:p w14:paraId="6330326F" w14:textId="77777777" w:rsidR="00100696" w:rsidRPr="007647EB" w:rsidRDefault="00100696" w:rsidP="008123FC">
            <w:pPr>
              <w:spacing w:before="40" w:after="40"/>
              <w:jc w:val="right"/>
              <w:rPr>
                <w:b/>
                <w:bCs/>
                <w:sz w:val="18"/>
                <w:szCs w:val="18"/>
              </w:rPr>
            </w:pPr>
          </w:p>
        </w:tc>
        <w:tc>
          <w:tcPr>
            <w:tcW w:w="1134" w:type="dxa"/>
            <w:noWrap/>
            <w:vAlign w:val="center"/>
            <w:hideMark/>
          </w:tcPr>
          <w:p w14:paraId="4B0BB5BF" w14:textId="77777777" w:rsidR="00100696" w:rsidRPr="007647EB" w:rsidRDefault="00100696" w:rsidP="008123FC">
            <w:pPr>
              <w:spacing w:before="40" w:after="40"/>
              <w:jc w:val="right"/>
              <w:rPr>
                <w:b/>
                <w:bCs/>
                <w:sz w:val="18"/>
                <w:szCs w:val="18"/>
              </w:rPr>
            </w:pPr>
          </w:p>
        </w:tc>
        <w:tc>
          <w:tcPr>
            <w:tcW w:w="1276" w:type="dxa"/>
            <w:noWrap/>
            <w:vAlign w:val="center"/>
            <w:hideMark/>
          </w:tcPr>
          <w:p w14:paraId="1B485008" w14:textId="77777777" w:rsidR="00100696" w:rsidRPr="007647EB" w:rsidRDefault="00100696" w:rsidP="008123FC">
            <w:pPr>
              <w:spacing w:before="40" w:after="40"/>
              <w:jc w:val="right"/>
              <w:rPr>
                <w:sz w:val="18"/>
                <w:szCs w:val="18"/>
              </w:rPr>
            </w:pPr>
          </w:p>
        </w:tc>
        <w:tc>
          <w:tcPr>
            <w:tcW w:w="1134" w:type="dxa"/>
            <w:noWrap/>
            <w:vAlign w:val="center"/>
            <w:hideMark/>
          </w:tcPr>
          <w:p w14:paraId="40330F1C" w14:textId="77777777" w:rsidR="00100696" w:rsidRPr="007647EB" w:rsidRDefault="00100696" w:rsidP="008123FC">
            <w:pPr>
              <w:spacing w:before="40" w:after="40"/>
              <w:jc w:val="right"/>
              <w:rPr>
                <w:b/>
                <w:bCs/>
                <w:sz w:val="18"/>
                <w:szCs w:val="18"/>
              </w:rPr>
            </w:pPr>
          </w:p>
        </w:tc>
        <w:tc>
          <w:tcPr>
            <w:tcW w:w="1134" w:type="dxa"/>
            <w:noWrap/>
            <w:vAlign w:val="center"/>
            <w:hideMark/>
          </w:tcPr>
          <w:p w14:paraId="01D7749A" w14:textId="77777777" w:rsidR="00100696" w:rsidRPr="007647EB" w:rsidRDefault="00100696" w:rsidP="008123FC">
            <w:pPr>
              <w:spacing w:before="40" w:after="40"/>
              <w:jc w:val="right"/>
              <w:rPr>
                <w:b/>
                <w:bCs/>
                <w:sz w:val="18"/>
                <w:szCs w:val="18"/>
              </w:rPr>
            </w:pPr>
          </w:p>
        </w:tc>
        <w:tc>
          <w:tcPr>
            <w:tcW w:w="1245" w:type="dxa"/>
            <w:noWrap/>
            <w:vAlign w:val="center"/>
            <w:hideMark/>
          </w:tcPr>
          <w:p w14:paraId="41A0D9BD" w14:textId="77777777" w:rsidR="00100696" w:rsidRPr="007647EB" w:rsidRDefault="00100696" w:rsidP="008123FC">
            <w:pPr>
              <w:spacing w:before="40" w:after="40"/>
              <w:jc w:val="right"/>
              <w:rPr>
                <w:sz w:val="18"/>
                <w:szCs w:val="18"/>
              </w:rPr>
            </w:pPr>
          </w:p>
        </w:tc>
      </w:tr>
      <w:tr w:rsidR="00100696" w:rsidRPr="007647EB" w14:paraId="174CE49F" w14:textId="77777777" w:rsidTr="008123FC">
        <w:trPr>
          <w:trHeight w:val="71"/>
          <w:jc w:val="right"/>
        </w:trPr>
        <w:tc>
          <w:tcPr>
            <w:tcW w:w="284" w:type="dxa"/>
            <w:tcBorders>
              <w:top w:val="nil"/>
            </w:tcBorders>
            <w:noWrap/>
            <w:vAlign w:val="center"/>
            <w:hideMark/>
          </w:tcPr>
          <w:p w14:paraId="43A6997A"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695ABD27" w14:textId="77777777" w:rsidR="00100696" w:rsidRPr="007647EB" w:rsidRDefault="00100696" w:rsidP="008123FC">
            <w:pPr>
              <w:spacing w:before="40" w:after="40"/>
              <w:rPr>
                <w:sz w:val="18"/>
                <w:szCs w:val="18"/>
              </w:rPr>
            </w:pPr>
            <w:r w:rsidRPr="007647EB">
              <w:rPr>
                <w:color w:val="000000"/>
                <w:sz w:val="18"/>
                <w:szCs w:val="18"/>
              </w:rPr>
              <w:t>15.1. Entretien des locaux de bureau et services connexes</w:t>
            </w:r>
          </w:p>
        </w:tc>
        <w:tc>
          <w:tcPr>
            <w:tcW w:w="1275" w:type="dxa"/>
            <w:tcBorders>
              <w:top w:val="nil"/>
            </w:tcBorders>
            <w:noWrap/>
            <w:vAlign w:val="center"/>
            <w:hideMark/>
          </w:tcPr>
          <w:p w14:paraId="59176738" w14:textId="77777777" w:rsidR="00100696" w:rsidRPr="007647EB" w:rsidRDefault="00100696" w:rsidP="008123FC">
            <w:pPr>
              <w:spacing w:before="40" w:after="40"/>
              <w:jc w:val="right"/>
              <w:rPr>
                <w:sz w:val="18"/>
                <w:szCs w:val="18"/>
              </w:rPr>
            </w:pPr>
            <w:r w:rsidRPr="007647EB">
              <w:rPr>
                <w:color w:val="000000"/>
                <w:sz w:val="18"/>
                <w:szCs w:val="18"/>
              </w:rPr>
              <w:t>165 000</w:t>
            </w:r>
          </w:p>
        </w:tc>
        <w:tc>
          <w:tcPr>
            <w:tcW w:w="1134" w:type="dxa"/>
            <w:tcBorders>
              <w:top w:val="nil"/>
            </w:tcBorders>
            <w:noWrap/>
            <w:vAlign w:val="center"/>
            <w:hideMark/>
          </w:tcPr>
          <w:p w14:paraId="71DFB851" w14:textId="77777777" w:rsidR="00100696" w:rsidRPr="007647EB" w:rsidRDefault="00100696" w:rsidP="008123FC">
            <w:pPr>
              <w:spacing w:before="40" w:after="40"/>
              <w:jc w:val="right"/>
              <w:rPr>
                <w:sz w:val="18"/>
                <w:szCs w:val="18"/>
              </w:rPr>
            </w:pPr>
            <w:r w:rsidRPr="007647EB">
              <w:rPr>
                <w:color w:val="000000"/>
                <w:sz w:val="18"/>
                <w:szCs w:val="18"/>
              </w:rPr>
              <w:t>165 000</w:t>
            </w:r>
          </w:p>
        </w:tc>
        <w:tc>
          <w:tcPr>
            <w:tcW w:w="1276" w:type="dxa"/>
            <w:tcBorders>
              <w:top w:val="nil"/>
            </w:tcBorders>
            <w:noWrap/>
            <w:vAlign w:val="center"/>
            <w:hideMark/>
          </w:tcPr>
          <w:p w14:paraId="2EAEE7A0" w14:textId="77777777" w:rsidR="00100696" w:rsidRPr="007647EB" w:rsidRDefault="00100696" w:rsidP="008123FC">
            <w:pPr>
              <w:spacing w:before="40" w:after="40"/>
              <w:jc w:val="right"/>
              <w:rPr>
                <w:sz w:val="18"/>
                <w:szCs w:val="18"/>
              </w:rPr>
            </w:pPr>
            <w:r w:rsidRPr="007647EB">
              <w:rPr>
                <w:color w:val="000000"/>
                <w:sz w:val="18"/>
                <w:szCs w:val="18"/>
              </w:rPr>
              <w:t>330 000</w:t>
            </w:r>
          </w:p>
        </w:tc>
        <w:tc>
          <w:tcPr>
            <w:tcW w:w="1134" w:type="dxa"/>
            <w:tcBorders>
              <w:top w:val="nil"/>
            </w:tcBorders>
            <w:noWrap/>
            <w:vAlign w:val="center"/>
            <w:hideMark/>
          </w:tcPr>
          <w:p w14:paraId="06F8A3B2"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0BAC8A7B"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7549479A" w14:textId="77777777" w:rsidR="00100696" w:rsidRPr="007647EB" w:rsidRDefault="00100696" w:rsidP="008123FC">
            <w:pPr>
              <w:spacing w:before="40" w:after="40"/>
              <w:jc w:val="right"/>
              <w:rPr>
                <w:sz w:val="18"/>
                <w:szCs w:val="18"/>
              </w:rPr>
            </w:pPr>
          </w:p>
        </w:tc>
      </w:tr>
      <w:tr w:rsidR="00100696" w:rsidRPr="007647EB" w14:paraId="180A42AD" w14:textId="77777777" w:rsidTr="008123FC">
        <w:trPr>
          <w:trHeight w:val="315"/>
          <w:jc w:val="right"/>
        </w:trPr>
        <w:tc>
          <w:tcPr>
            <w:tcW w:w="7230" w:type="dxa"/>
            <w:gridSpan w:val="2"/>
            <w:shd w:val="clear" w:color="000000" w:fill="B4C6E7"/>
            <w:noWrap/>
            <w:vAlign w:val="center"/>
            <w:hideMark/>
          </w:tcPr>
          <w:p w14:paraId="7BEB5D08" w14:textId="77777777" w:rsidR="00100696" w:rsidRPr="007647EB" w:rsidRDefault="00100696" w:rsidP="008123FC">
            <w:pPr>
              <w:spacing w:before="40" w:after="40"/>
              <w:rPr>
                <w:b/>
                <w:bCs/>
                <w:sz w:val="18"/>
                <w:szCs w:val="18"/>
              </w:rPr>
            </w:pPr>
            <w:r w:rsidRPr="007647EB">
              <w:rPr>
                <w:b/>
                <w:bCs/>
                <w:color w:val="000000"/>
                <w:sz w:val="18"/>
                <w:szCs w:val="18"/>
              </w:rPr>
              <w:t>15.</w:t>
            </w:r>
            <w:r w:rsidRPr="007647EB">
              <w:rPr>
                <w:color w:val="000000"/>
                <w:sz w:val="18"/>
                <w:szCs w:val="18"/>
              </w:rPr>
              <w:t xml:space="preserve"> </w:t>
            </w:r>
            <w:r w:rsidRPr="007647EB">
              <w:rPr>
                <w:b/>
                <w:bCs/>
                <w:color w:val="000000"/>
                <w:sz w:val="18"/>
                <w:szCs w:val="18"/>
              </w:rPr>
              <w:t>Entretien des locaux de bureau et services connexes</w:t>
            </w:r>
          </w:p>
        </w:tc>
        <w:tc>
          <w:tcPr>
            <w:tcW w:w="1275" w:type="dxa"/>
            <w:shd w:val="clear" w:color="000000" w:fill="B4C6E7"/>
            <w:noWrap/>
            <w:vAlign w:val="center"/>
            <w:hideMark/>
          </w:tcPr>
          <w:p w14:paraId="0F5D01BB" w14:textId="77777777" w:rsidR="00100696" w:rsidRPr="007647EB" w:rsidRDefault="00100696" w:rsidP="008123FC">
            <w:pPr>
              <w:spacing w:before="40" w:after="40"/>
              <w:jc w:val="right"/>
              <w:rPr>
                <w:b/>
                <w:bCs/>
                <w:sz w:val="18"/>
                <w:szCs w:val="18"/>
              </w:rPr>
            </w:pPr>
            <w:r w:rsidRPr="007647EB">
              <w:rPr>
                <w:b/>
                <w:bCs/>
                <w:color w:val="000000"/>
                <w:sz w:val="18"/>
                <w:szCs w:val="18"/>
              </w:rPr>
              <w:t>165 000</w:t>
            </w:r>
          </w:p>
        </w:tc>
        <w:tc>
          <w:tcPr>
            <w:tcW w:w="1134" w:type="dxa"/>
            <w:shd w:val="clear" w:color="000000" w:fill="B4C6E7"/>
            <w:noWrap/>
            <w:vAlign w:val="center"/>
            <w:hideMark/>
          </w:tcPr>
          <w:p w14:paraId="7E18264A" w14:textId="77777777" w:rsidR="00100696" w:rsidRPr="007647EB" w:rsidRDefault="00100696" w:rsidP="008123FC">
            <w:pPr>
              <w:spacing w:before="40" w:after="40"/>
              <w:jc w:val="right"/>
              <w:rPr>
                <w:b/>
                <w:bCs/>
                <w:sz w:val="18"/>
                <w:szCs w:val="18"/>
              </w:rPr>
            </w:pPr>
            <w:r w:rsidRPr="007647EB">
              <w:rPr>
                <w:b/>
                <w:bCs/>
                <w:color w:val="000000"/>
                <w:sz w:val="18"/>
                <w:szCs w:val="18"/>
              </w:rPr>
              <w:t>165 000</w:t>
            </w:r>
          </w:p>
        </w:tc>
        <w:tc>
          <w:tcPr>
            <w:tcW w:w="1276" w:type="dxa"/>
            <w:shd w:val="clear" w:color="000000" w:fill="B4C6E7"/>
            <w:noWrap/>
            <w:vAlign w:val="center"/>
            <w:hideMark/>
          </w:tcPr>
          <w:p w14:paraId="7F81F065" w14:textId="77777777" w:rsidR="00100696" w:rsidRPr="007647EB" w:rsidRDefault="00100696" w:rsidP="008123FC">
            <w:pPr>
              <w:spacing w:before="40" w:after="40"/>
              <w:jc w:val="right"/>
              <w:rPr>
                <w:b/>
                <w:bCs/>
                <w:sz w:val="18"/>
                <w:szCs w:val="18"/>
              </w:rPr>
            </w:pPr>
            <w:r w:rsidRPr="007647EB">
              <w:rPr>
                <w:b/>
                <w:bCs/>
                <w:color w:val="000000"/>
                <w:sz w:val="18"/>
                <w:szCs w:val="18"/>
              </w:rPr>
              <w:t>330 000</w:t>
            </w:r>
          </w:p>
        </w:tc>
        <w:tc>
          <w:tcPr>
            <w:tcW w:w="1134" w:type="dxa"/>
            <w:shd w:val="clear" w:color="000000" w:fill="B4C6E7"/>
            <w:noWrap/>
            <w:vAlign w:val="center"/>
            <w:hideMark/>
          </w:tcPr>
          <w:p w14:paraId="36F05B49" w14:textId="77777777" w:rsidR="00100696" w:rsidRPr="007647EB" w:rsidRDefault="00100696" w:rsidP="008123FC">
            <w:pPr>
              <w:spacing w:before="40" w:after="40"/>
              <w:jc w:val="right"/>
              <w:rPr>
                <w:b/>
                <w:bCs/>
                <w:sz w:val="18"/>
                <w:szCs w:val="18"/>
              </w:rPr>
            </w:pPr>
          </w:p>
        </w:tc>
        <w:tc>
          <w:tcPr>
            <w:tcW w:w="1134" w:type="dxa"/>
            <w:shd w:val="clear" w:color="000000" w:fill="B4C6E7"/>
            <w:noWrap/>
            <w:vAlign w:val="center"/>
            <w:hideMark/>
          </w:tcPr>
          <w:p w14:paraId="3DEADE74"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7664E74C" w14:textId="77777777" w:rsidR="00100696" w:rsidRPr="007647EB" w:rsidRDefault="00100696" w:rsidP="008123FC">
            <w:pPr>
              <w:spacing w:before="40" w:after="40"/>
              <w:jc w:val="right"/>
              <w:rPr>
                <w:b/>
                <w:bCs/>
                <w:sz w:val="18"/>
                <w:szCs w:val="18"/>
              </w:rPr>
            </w:pPr>
          </w:p>
        </w:tc>
      </w:tr>
      <w:tr w:rsidR="00100696" w:rsidRPr="007647EB" w14:paraId="23E280CE" w14:textId="77777777" w:rsidTr="008123FC">
        <w:trPr>
          <w:trHeight w:val="93"/>
          <w:jc w:val="right"/>
        </w:trPr>
        <w:tc>
          <w:tcPr>
            <w:tcW w:w="7230" w:type="dxa"/>
            <w:gridSpan w:val="2"/>
            <w:noWrap/>
            <w:vAlign w:val="center"/>
            <w:hideMark/>
          </w:tcPr>
          <w:p w14:paraId="5CACA842" w14:textId="77777777" w:rsidR="00100696" w:rsidRPr="007647EB" w:rsidRDefault="00100696" w:rsidP="008123FC">
            <w:pPr>
              <w:spacing w:before="40" w:after="40"/>
              <w:rPr>
                <w:b/>
                <w:bCs/>
                <w:sz w:val="18"/>
                <w:szCs w:val="18"/>
              </w:rPr>
            </w:pPr>
            <w:r w:rsidRPr="007647EB">
              <w:rPr>
                <w:b/>
                <w:bCs/>
                <w:color w:val="000000"/>
                <w:sz w:val="18"/>
                <w:szCs w:val="18"/>
              </w:rPr>
              <w:t>16.</w:t>
            </w:r>
            <w:r w:rsidRPr="007647EB">
              <w:rPr>
                <w:color w:val="000000"/>
                <w:sz w:val="18"/>
                <w:szCs w:val="18"/>
              </w:rPr>
              <w:t xml:space="preserve"> </w:t>
            </w:r>
            <w:r w:rsidRPr="007647EB">
              <w:rPr>
                <w:b/>
                <w:bCs/>
                <w:color w:val="000000"/>
                <w:sz w:val="18"/>
                <w:szCs w:val="18"/>
              </w:rPr>
              <w:t>Services informatiques</w:t>
            </w:r>
          </w:p>
        </w:tc>
        <w:tc>
          <w:tcPr>
            <w:tcW w:w="1275" w:type="dxa"/>
            <w:noWrap/>
            <w:vAlign w:val="center"/>
            <w:hideMark/>
          </w:tcPr>
          <w:p w14:paraId="66BFDBC4" w14:textId="77777777" w:rsidR="00100696" w:rsidRPr="007647EB" w:rsidRDefault="00100696" w:rsidP="008123FC">
            <w:pPr>
              <w:spacing w:before="40" w:after="40"/>
              <w:jc w:val="right"/>
              <w:rPr>
                <w:b/>
                <w:bCs/>
                <w:sz w:val="18"/>
                <w:szCs w:val="18"/>
              </w:rPr>
            </w:pPr>
          </w:p>
        </w:tc>
        <w:tc>
          <w:tcPr>
            <w:tcW w:w="1134" w:type="dxa"/>
            <w:noWrap/>
            <w:vAlign w:val="center"/>
            <w:hideMark/>
          </w:tcPr>
          <w:p w14:paraId="695EEEB4" w14:textId="77777777" w:rsidR="00100696" w:rsidRPr="007647EB" w:rsidRDefault="00100696" w:rsidP="008123FC">
            <w:pPr>
              <w:spacing w:before="40" w:after="40"/>
              <w:jc w:val="right"/>
              <w:rPr>
                <w:b/>
                <w:bCs/>
                <w:sz w:val="18"/>
                <w:szCs w:val="18"/>
              </w:rPr>
            </w:pPr>
          </w:p>
        </w:tc>
        <w:tc>
          <w:tcPr>
            <w:tcW w:w="1276" w:type="dxa"/>
            <w:noWrap/>
            <w:vAlign w:val="center"/>
            <w:hideMark/>
          </w:tcPr>
          <w:p w14:paraId="79F85CEF" w14:textId="77777777" w:rsidR="00100696" w:rsidRPr="007647EB" w:rsidRDefault="00100696" w:rsidP="008123FC">
            <w:pPr>
              <w:spacing w:before="40" w:after="40"/>
              <w:jc w:val="right"/>
              <w:rPr>
                <w:b/>
                <w:bCs/>
                <w:sz w:val="18"/>
                <w:szCs w:val="18"/>
              </w:rPr>
            </w:pPr>
          </w:p>
        </w:tc>
        <w:tc>
          <w:tcPr>
            <w:tcW w:w="1134" w:type="dxa"/>
            <w:noWrap/>
            <w:vAlign w:val="center"/>
            <w:hideMark/>
          </w:tcPr>
          <w:p w14:paraId="48122C18" w14:textId="77777777" w:rsidR="00100696" w:rsidRPr="007647EB" w:rsidRDefault="00100696" w:rsidP="008123FC">
            <w:pPr>
              <w:spacing w:before="40" w:after="40"/>
              <w:jc w:val="right"/>
              <w:rPr>
                <w:b/>
                <w:bCs/>
                <w:sz w:val="18"/>
                <w:szCs w:val="18"/>
              </w:rPr>
            </w:pPr>
          </w:p>
        </w:tc>
        <w:tc>
          <w:tcPr>
            <w:tcW w:w="1134" w:type="dxa"/>
            <w:noWrap/>
            <w:vAlign w:val="center"/>
            <w:hideMark/>
          </w:tcPr>
          <w:p w14:paraId="7C326484" w14:textId="77777777" w:rsidR="00100696" w:rsidRPr="007647EB" w:rsidRDefault="00100696" w:rsidP="008123FC">
            <w:pPr>
              <w:spacing w:before="40" w:after="40"/>
              <w:jc w:val="right"/>
              <w:rPr>
                <w:b/>
                <w:bCs/>
                <w:sz w:val="18"/>
                <w:szCs w:val="18"/>
              </w:rPr>
            </w:pPr>
          </w:p>
        </w:tc>
        <w:tc>
          <w:tcPr>
            <w:tcW w:w="1245" w:type="dxa"/>
            <w:noWrap/>
            <w:vAlign w:val="center"/>
            <w:hideMark/>
          </w:tcPr>
          <w:p w14:paraId="344706F4" w14:textId="77777777" w:rsidR="00100696" w:rsidRPr="007647EB" w:rsidRDefault="00100696" w:rsidP="008123FC">
            <w:pPr>
              <w:spacing w:before="40" w:after="40"/>
              <w:jc w:val="right"/>
              <w:rPr>
                <w:b/>
                <w:bCs/>
                <w:sz w:val="18"/>
                <w:szCs w:val="18"/>
              </w:rPr>
            </w:pPr>
          </w:p>
        </w:tc>
      </w:tr>
      <w:tr w:rsidR="00100696" w:rsidRPr="007647EB" w14:paraId="2AB215CE" w14:textId="77777777" w:rsidTr="008123FC">
        <w:trPr>
          <w:trHeight w:val="97"/>
          <w:jc w:val="right"/>
        </w:trPr>
        <w:tc>
          <w:tcPr>
            <w:tcW w:w="284" w:type="dxa"/>
            <w:tcBorders>
              <w:top w:val="nil"/>
            </w:tcBorders>
            <w:noWrap/>
            <w:vAlign w:val="center"/>
            <w:hideMark/>
          </w:tcPr>
          <w:p w14:paraId="43742139" w14:textId="77777777" w:rsidR="00100696" w:rsidRPr="007647EB" w:rsidRDefault="00100696" w:rsidP="008123FC">
            <w:pPr>
              <w:spacing w:before="40" w:after="40"/>
              <w:rPr>
                <w:b/>
                <w:bCs/>
                <w:sz w:val="18"/>
                <w:szCs w:val="18"/>
              </w:rPr>
            </w:pPr>
            <w:r w:rsidRPr="007647EB">
              <w:rPr>
                <w:b/>
                <w:bCs/>
                <w:color w:val="000000"/>
                <w:sz w:val="18"/>
                <w:szCs w:val="18"/>
              </w:rPr>
              <w:t> </w:t>
            </w:r>
          </w:p>
        </w:tc>
        <w:tc>
          <w:tcPr>
            <w:tcW w:w="6946" w:type="dxa"/>
            <w:tcBorders>
              <w:top w:val="nil"/>
            </w:tcBorders>
            <w:noWrap/>
            <w:vAlign w:val="center"/>
            <w:hideMark/>
          </w:tcPr>
          <w:p w14:paraId="592B5EFF" w14:textId="77777777" w:rsidR="00100696" w:rsidRPr="007647EB" w:rsidRDefault="00100696" w:rsidP="008123FC">
            <w:pPr>
              <w:spacing w:before="40" w:after="40"/>
              <w:rPr>
                <w:sz w:val="18"/>
                <w:szCs w:val="18"/>
              </w:rPr>
            </w:pPr>
            <w:r w:rsidRPr="007647EB">
              <w:rPr>
                <w:color w:val="000000"/>
                <w:sz w:val="18"/>
                <w:szCs w:val="18"/>
              </w:rPr>
              <w:t>16.1. Services informatiques</w:t>
            </w:r>
          </w:p>
        </w:tc>
        <w:tc>
          <w:tcPr>
            <w:tcW w:w="1275" w:type="dxa"/>
            <w:tcBorders>
              <w:top w:val="nil"/>
            </w:tcBorders>
            <w:noWrap/>
            <w:vAlign w:val="center"/>
            <w:hideMark/>
          </w:tcPr>
          <w:p w14:paraId="6FE84DED" w14:textId="77777777" w:rsidR="00100696" w:rsidRPr="007647EB" w:rsidRDefault="00100696" w:rsidP="008123FC">
            <w:pPr>
              <w:spacing w:before="40" w:after="40"/>
              <w:jc w:val="right"/>
              <w:rPr>
                <w:sz w:val="18"/>
                <w:szCs w:val="18"/>
              </w:rPr>
            </w:pPr>
            <w:r w:rsidRPr="007647EB">
              <w:rPr>
                <w:color w:val="000000"/>
                <w:sz w:val="18"/>
                <w:szCs w:val="18"/>
              </w:rPr>
              <w:t>60 500</w:t>
            </w:r>
          </w:p>
        </w:tc>
        <w:tc>
          <w:tcPr>
            <w:tcW w:w="1134" w:type="dxa"/>
            <w:tcBorders>
              <w:top w:val="nil"/>
            </w:tcBorders>
            <w:noWrap/>
            <w:vAlign w:val="center"/>
            <w:hideMark/>
          </w:tcPr>
          <w:p w14:paraId="3E026F83" w14:textId="77777777" w:rsidR="00100696" w:rsidRPr="007647EB" w:rsidRDefault="00100696" w:rsidP="008123FC">
            <w:pPr>
              <w:spacing w:before="40" w:after="40"/>
              <w:jc w:val="right"/>
              <w:rPr>
                <w:sz w:val="18"/>
                <w:szCs w:val="18"/>
              </w:rPr>
            </w:pPr>
            <w:r w:rsidRPr="007647EB">
              <w:rPr>
                <w:color w:val="000000"/>
                <w:sz w:val="18"/>
                <w:szCs w:val="18"/>
              </w:rPr>
              <w:t>60 500</w:t>
            </w:r>
          </w:p>
        </w:tc>
        <w:tc>
          <w:tcPr>
            <w:tcW w:w="1276" w:type="dxa"/>
            <w:tcBorders>
              <w:top w:val="nil"/>
            </w:tcBorders>
            <w:noWrap/>
            <w:vAlign w:val="center"/>
            <w:hideMark/>
          </w:tcPr>
          <w:p w14:paraId="7E7CDC83" w14:textId="77777777" w:rsidR="00100696" w:rsidRPr="007647EB" w:rsidRDefault="00100696" w:rsidP="008123FC">
            <w:pPr>
              <w:spacing w:before="40" w:after="40"/>
              <w:jc w:val="right"/>
              <w:rPr>
                <w:sz w:val="18"/>
                <w:szCs w:val="18"/>
              </w:rPr>
            </w:pPr>
            <w:r w:rsidRPr="007647EB">
              <w:rPr>
                <w:color w:val="000000"/>
                <w:sz w:val="18"/>
                <w:szCs w:val="18"/>
              </w:rPr>
              <w:t>121 000</w:t>
            </w:r>
          </w:p>
        </w:tc>
        <w:tc>
          <w:tcPr>
            <w:tcW w:w="1134" w:type="dxa"/>
            <w:tcBorders>
              <w:top w:val="nil"/>
            </w:tcBorders>
            <w:noWrap/>
            <w:vAlign w:val="center"/>
            <w:hideMark/>
          </w:tcPr>
          <w:p w14:paraId="17248B53" w14:textId="77777777" w:rsidR="00100696" w:rsidRPr="007647EB" w:rsidRDefault="00100696" w:rsidP="008123FC">
            <w:pPr>
              <w:spacing w:before="40" w:after="40"/>
              <w:jc w:val="right"/>
              <w:rPr>
                <w:sz w:val="18"/>
                <w:szCs w:val="18"/>
              </w:rPr>
            </w:pPr>
          </w:p>
        </w:tc>
        <w:tc>
          <w:tcPr>
            <w:tcW w:w="1134" w:type="dxa"/>
            <w:tcBorders>
              <w:top w:val="nil"/>
            </w:tcBorders>
            <w:noWrap/>
            <w:vAlign w:val="center"/>
            <w:hideMark/>
          </w:tcPr>
          <w:p w14:paraId="70019AD5" w14:textId="77777777" w:rsidR="00100696" w:rsidRPr="007647EB" w:rsidRDefault="00100696" w:rsidP="008123FC">
            <w:pPr>
              <w:spacing w:before="40" w:after="40"/>
              <w:jc w:val="right"/>
              <w:rPr>
                <w:sz w:val="18"/>
                <w:szCs w:val="18"/>
              </w:rPr>
            </w:pPr>
          </w:p>
        </w:tc>
        <w:tc>
          <w:tcPr>
            <w:tcW w:w="1245" w:type="dxa"/>
            <w:tcBorders>
              <w:top w:val="nil"/>
            </w:tcBorders>
            <w:noWrap/>
            <w:vAlign w:val="center"/>
            <w:hideMark/>
          </w:tcPr>
          <w:p w14:paraId="089DD99D" w14:textId="77777777" w:rsidR="00100696" w:rsidRPr="007647EB" w:rsidRDefault="00100696" w:rsidP="008123FC">
            <w:pPr>
              <w:spacing w:before="40" w:after="40"/>
              <w:jc w:val="right"/>
              <w:rPr>
                <w:sz w:val="18"/>
                <w:szCs w:val="18"/>
              </w:rPr>
            </w:pPr>
          </w:p>
        </w:tc>
      </w:tr>
      <w:tr w:rsidR="00100696" w:rsidRPr="007647EB" w14:paraId="452374D4" w14:textId="77777777" w:rsidTr="008123FC">
        <w:trPr>
          <w:trHeight w:val="110"/>
          <w:jc w:val="right"/>
        </w:trPr>
        <w:tc>
          <w:tcPr>
            <w:tcW w:w="7230" w:type="dxa"/>
            <w:gridSpan w:val="2"/>
            <w:tcBorders>
              <w:bottom w:val="single" w:sz="4" w:space="0" w:color="auto"/>
            </w:tcBorders>
            <w:shd w:val="clear" w:color="000000" w:fill="B4C6E7"/>
            <w:noWrap/>
            <w:vAlign w:val="center"/>
            <w:hideMark/>
          </w:tcPr>
          <w:p w14:paraId="0CFB5B67" w14:textId="77777777" w:rsidR="00100696" w:rsidRPr="007647EB" w:rsidRDefault="00100696" w:rsidP="008123FC">
            <w:pPr>
              <w:spacing w:before="40" w:after="40"/>
              <w:rPr>
                <w:b/>
                <w:bCs/>
                <w:sz w:val="18"/>
                <w:szCs w:val="18"/>
              </w:rPr>
            </w:pPr>
            <w:r w:rsidRPr="007647EB">
              <w:rPr>
                <w:b/>
                <w:bCs/>
                <w:color w:val="000000"/>
                <w:sz w:val="18"/>
                <w:szCs w:val="18"/>
              </w:rPr>
              <w:t>16.</w:t>
            </w:r>
            <w:r w:rsidRPr="007647EB">
              <w:rPr>
                <w:color w:val="000000"/>
                <w:sz w:val="18"/>
                <w:szCs w:val="18"/>
              </w:rPr>
              <w:t xml:space="preserve"> </w:t>
            </w:r>
            <w:r w:rsidRPr="007647EB">
              <w:rPr>
                <w:b/>
                <w:bCs/>
                <w:color w:val="000000"/>
                <w:sz w:val="18"/>
                <w:szCs w:val="18"/>
              </w:rPr>
              <w:t>Services informatiques</w:t>
            </w:r>
          </w:p>
        </w:tc>
        <w:tc>
          <w:tcPr>
            <w:tcW w:w="1275" w:type="dxa"/>
            <w:tcBorders>
              <w:bottom w:val="single" w:sz="4" w:space="0" w:color="auto"/>
            </w:tcBorders>
            <w:shd w:val="clear" w:color="000000" w:fill="B4C6E7"/>
            <w:noWrap/>
            <w:vAlign w:val="center"/>
            <w:hideMark/>
          </w:tcPr>
          <w:p w14:paraId="21EE308C" w14:textId="77777777" w:rsidR="00100696" w:rsidRPr="007647EB" w:rsidRDefault="00100696" w:rsidP="008123FC">
            <w:pPr>
              <w:spacing w:before="40" w:after="40"/>
              <w:jc w:val="right"/>
              <w:rPr>
                <w:b/>
                <w:bCs/>
                <w:sz w:val="18"/>
                <w:szCs w:val="18"/>
              </w:rPr>
            </w:pPr>
            <w:r w:rsidRPr="007647EB">
              <w:rPr>
                <w:b/>
                <w:bCs/>
                <w:color w:val="000000"/>
                <w:sz w:val="18"/>
                <w:szCs w:val="18"/>
              </w:rPr>
              <w:t>60 500</w:t>
            </w:r>
          </w:p>
        </w:tc>
        <w:tc>
          <w:tcPr>
            <w:tcW w:w="1134" w:type="dxa"/>
            <w:tcBorders>
              <w:bottom w:val="single" w:sz="4" w:space="0" w:color="auto"/>
            </w:tcBorders>
            <w:shd w:val="clear" w:color="000000" w:fill="B4C6E7"/>
            <w:noWrap/>
            <w:vAlign w:val="center"/>
            <w:hideMark/>
          </w:tcPr>
          <w:p w14:paraId="49C93231" w14:textId="77777777" w:rsidR="00100696" w:rsidRPr="007647EB" w:rsidRDefault="00100696" w:rsidP="008123FC">
            <w:pPr>
              <w:spacing w:before="40" w:after="40"/>
              <w:jc w:val="right"/>
              <w:rPr>
                <w:b/>
                <w:bCs/>
                <w:sz w:val="18"/>
                <w:szCs w:val="18"/>
              </w:rPr>
            </w:pPr>
            <w:r w:rsidRPr="007647EB">
              <w:rPr>
                <w:b/>
                <w:bCs/>
                <w:color w:val="000000"/>
                <w:sz w:val="18"/>
                <w:szCs w:val="18"/>
              </w:rPr>
              <w:t>60 500</w:t>
            </w:r>
          </w:p>
        </w:tc>
        <w:tc>
          <w:tcPr>
            <w:tcW w:w="1276" w:type="dxa"/>
            <w:tcBorders>
              <w:bottom w:val="single" w:sz="4" w:space="0" w:color="auto"/>
            </w:tcBorders>
            <w:shd w:val="clear" w:color="000000" w:fill="B4C6E7"/>
            <w:noWrap/>
            <w:vAlign w:val="center"/>
            <w:hideMark/>
          </w:tcPr>
          <w:p w14:paraId="469758A5" w14:textId="77777777" w:rsidR="00100696" w:rsidRPr="007647EB" w:rsidRDefault="00100696" w:rsidP="008123FC">
            <w:pPr>
              <w:spacing w:before="40" w:after="40"/>
              <w:jc w:val="right"/>
              <w:rPr>
                <w:b/>
                <w:bCs/>
                <w:sz w:val="18"/>
                <w:szCs w:val="18"/>
              </w:rPr>
            </w:pPr>
            <w:r w:rsidRPr="007647EB">
              <w:rPr>
                <w:b/>
                <w:bCs/>
                <w:color w:val="000000"/>
                <w:sz w:val="18"/>
                <w:szCs w:val="18"/>
              </w:rPr>
              <w:t>121 000</w:t>
            </w:r>
          </w:p>
        </w:tc>
        <w:tc>
          <w:tcPr>
            <w:tcW w:w="1134" w:type="dxa"/>
            <w:tcBorders>
              <w:bottom w:val="single" w:sz="4" w:space="0" w:color="auto"/>
            </w:tcBorders>
            <w:shd w:val="clear" w:color="000000" w:fill="B4C6E7"/>
            <w:noWrap/>
            <w:vAlign w:val="center"/>
            <w:hideMark/>
          </w:tcPr>
          <w:p w14:paraId="3730796D" w14:textId="77777777" w:rsidR="00100696" w:rsidRPr="007647EB" w:rsidRDefault="00100696" w:rsidP="008123FC">
            <w:pPr>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59AF0903" w14:textId="77777777" w:rsidR="00100696" w:rsidRPr="007647EB" w:rsidRDefault="00100696" w:rsidP="008123FC">
            <w:pPr>
              <w:spacing w:before="40" w:after="40"/>
              <w:jc w:val="right"/>
              <w:rPr>
                <w:b/>
                <w:bCs/>
                <w:sz w:val="18"/>
                <w:szCs w:val="18"/>
              </w:rPr>
            </w:pPr>
          </w:p>
        </w:tc>
        <w:tc>
          <w:tcPr>
            <w:tcW w:w="1245" w:type="dxa"/>
            <w:shd w:val="clear" w:color="000000" w:fill="B4C6E7"/>
            <w:noWrap/>
            <w:vAlign w:val="center"/>
            <w:hideMark/>
          </w:tcPr>
          <w:p w14:paraId="2AF99DB2" w14:textId="77777777" w:rsidR="00100696" w:rsidRPr="007647EB" w:rsidRDefault="00100696" w:rsidP="008123FC">
            <w:pPr>
              <w:spacing w:before="40" w:after="40"/>
              <w:jc w:val="right"/>
              <w:rPr>
                <w:b/>
                <w:bCs/>
                <w:sz w:val="18"/>
                <w:szCs w:val="18"/>
              </w:rPr>
            </w:pPr>
          </w:p>
        </w:tc>
      </w:tr>
      <w:tr w:rsidR="00100696" w:rsidRPr="007647EB" w14:paraId="42D2F953" w14:textId="77777777" w:rsidTr="008123FC">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7C45C792" w14:textId="77777777" w:rsidR="00100696" w:rsidRPr="007647EB" w:rsidRDefault="00100696" w:rsidP="008123FC">
            <w:pPr>
              <w:spacing w:before="40" w:after="40"/>
              <w:ind w:firstLineChars="100" w:firstLine="181"/>
              <w:rPr>
                <w:b/>
                <w:bCs/>
                <w:sz w:val="18"/>
                <w:szCs w:val="18"/>
              </w:rPr>
            </w:pPr>
            <w:r w:rsidRPr="007647EB">
              <w:rPr>
                <w:b/>
                <w:bCs/>
                <w:color w:val="000000"/>
                <w:sz w:val="18"/>
                <w:szCs w:val="18"/>
              </w:rPr>
              <w:t>Total (G)</w:t>
            </w:r>
          </w:p>
        </w:tc>
        <w:tc>
          <w:tcPr>
            <w:tcW w:w="1275" w:type="dxa"/>
            <w:tcBorders>
              <w:top w:val="single" w:sz="4" w:space="0" w:color="auto"/>
              <w:bottom w:val="single" w:sz="4" w:space="0" w:color="auto"/>
            </w:tcBorders>
            <w:shd w:val="clear" w:color="000000" w:fill="DBB731"/>
            <w:noWrap/>
            <w:vAlign w:val="center"/>
            <w:hideMark/>
          </w:tcPr>
          <w:p w14:paraId="1C063516" w14:textId="77777777" w:rsidR="00100696" w:rsidRPr="007647EB" w:rsidRDefault="00100696" w:rsidP="008123FC">
            <w:pPr>
              <w:spacing w:before="40" w:after="40"/>
              <w:jc w:val="right"/>
              <w:rPr>
                <w:b/>
                <w:bCs/>
                <w:sz w:val="18"/>
                <w:szCs w:val="18"/>
              </w:rPr>
            </w:pPr>
            <w:r w:rsidRPr="007647EB">
              <w:rPr>
                <w:b/>
                <w:bCs/>
                <w:color w:val="000000"/>
                <w:sz w:val="18"/>
                <w:szCs w:val="18"/>
              </w:rPr>
              <w:t>225 500</w:t>
            </w:r>
          </w:p>
        </w:tc>
        <w:tc>
          <w:tcPr>
            <w:tcW w:w="1134" w:type="dxa"/>
            <w:tcBorders>
              <w:top w:val="single" w:sz="4" w:space="0" w:color="auto"/>
              <w:bottom w:val="single" w:sz="4" w:space="0" w:color="auto"/>
            </w:tcBorders>
            <w:shd w:val="clear" w:color="000000" w:fill="DBB731"/>
            <w:noWrap/>
            <w:vAlign w:val="center"/>
            <w:hideMark/>
          </w:tcPr>
          <w:p w14:paraId="352F4903" w14:textId="77777777" w:rsidR="00100696" w:rsidRPr="007647EB" w:rsidRDefault="00100696" w:rsidP="008123FC">
            <w:pPr>
              <w:spacing w:before="40" w:after="40"/>
              <w:jc w:val="right"/>
              <w:rPr>
                <w:b/>
                <w:bCs/>
                <w:sz w:val="18"/>
                <w:szCs w:val="18"/>
              </w:rPr>
            </w:pPr>
            <w:r w:rsidRPr="007647EB">
              <w:rPr>
                <w:b/>
                <w:bCs/>
                <w:color w:val="000000"/>
                <w:sz w:val="18"/>
                <w:szCs w:val="18"/>
              </w:rPr>
              <w:t>225 500</w:t>
            </w:r>
          </w:p>
        </w:tc>
        <w:tc>
          <w:tcPr>
            <w:tcW w:w="1276" w:type="dxa"/>
            <w:tcBorders>
              <w:top w:val="single" w:sz="4" w:space="0" w:color="auto"/>
              <w:bottom w:val="single" w:sz="4" w:space="0" w:color="auto"/>
            </w:tcBorders>
            <w:shd w:val="clear" w:color="000000" w:fill="DBB731"/>
            <w:noWrap/>
            <w:vAlign w:val="center"/>
            <w:hideMark/>
          </w:tcPr>
          <w:p w14:paraId="7210BE85" w14:textId="77777777" w:rsidR="00100696" w:rsidRPr="007647EB" w:rsidRDefault="00100696" w:rsidP="008123FC">
            <w:pPr>
              <w:spacing w:before="40" w:after="40"/>
              <w:jc w:val="right"/>
              <w:rPr>
                <w:b/>
                <w:bCs/>
                <w:sz w:val="18"/>
                <w:szCs w:val="18"/>
              </w:rPr>
            </w:pPr>
            <w:r w:rsidRPr="007647EB">
              <w:rPr>
                <w:b/>
                <w:bCs/>
                <w:color w:val="000000"/>
                <w:sz w:val="18"/>
                <w:szCs w:val="18"/>
              </w:rPr>
              <w:t>451 000</w:t>
            </w:r>
          </w:p>
        </w:tc>
        <w:tc>
          <w:tcPr>
            <w:tcW w:w="1134" w:type="dxa"/>
            <w:tcBorders>
              <w:top w:val="single" w:sz="4" w:space="0" w:color="auto"/>
              <w:bottom w:val="single" w:sz="4" w:space="0" w:color="auto"/>
            </w:tcBorders>
            <w:shd w:val="clear" w:color="000000" w:fill="DBB731"/>
            <w:noWrap/>
            <w:vAlign w:val="center"/>
            <w:hideMark/>
          </w:tcPr>
          <w:p w14:paraId="0769EAA2" w14:textId="77777777" w:rsidR="00100696" w:rsidRPr="007647EB" w:rsidRDefault="00100696" w:rsidP="008123FC">
            <w:pPr>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55AF523" w14:textId="77777777" w:rsidR="00100696" w:rsidRPr="007647EB" w:rsidRDefault="00100696" w:rsidP="008123FC">
            <w:pPr>
              <w:spacing w:before="40" w:after="40"/>
              <w:jc w:val="right"/>
              <w:rPr>
                <w:b/>
                <w:bCs/>
                <w:sz w:val="18"/>
                <w:szCs w:val="18"/>
              </w:rPr>
            </w:pPr>
          </w:p>
        </w:tc>
        <w:tc>
          <w:tcPr>
            <w:tcW w:w="1245" w:type="dxa"/>
            <w:tcBorders>
              <w:top w:val="nil"/>
            </w:tcBorders>
            <w:shd w:val="clear" w:color="000000" w:fill="DBB731"/>
            <w:noWrap/>
            <w:vAlign w:val="center"/>
            <w:hideMark/>
          </w:tcPr>
          <w:p w14:paraId="0D7B009B" w14:textId="77777777" w:rsidR="00100696" w:rsidRPr="007647EB" w:rsidRDefault="00100696" w:rsidP="008123FC">
            <w:pPr>
              <w:spacing w:before="40" w:after="40"/>
              <w:jc w:val="right"/>
              <w:rPr>
                <w:b/>
                <w:bCs/>
                <w:sz w:val="18"/>
                <w:szCs w:val="18"/>
              </w:rPr>
            </w:pPr>
          </w:p>
        </w:tc>
      </w:tr>
      <w:tr w:rsidR="00100696" w:rsidRPr="007647EB" w14:paraId="171724B4" w14:textId="77777777" w:rsidTr="008123FC">
        <w:trPr>
          <w:trHeight w:val="57"/>
          <w:jc w:val="right"/>
        </w:trPr>
        <w:tc>
          <w:tcPr>
            <w:tcW w:w="7230" w:type="dxa"/>
            <w:gridSpan w:val="2"/>
            <w:tcBorders>
              <w:top w:val="single" w:sz="4" w:space="0" w:color="auto"/>
            </w:tcBorders>
            <w:noWrap/>
            <w:vAlign w:val="center"/>
            <w:hideMark/>
          </w:tcPr>
          <w:p w14:paraId="32B3B5C7" w14:textId="77777777" w:rsidR="00100696" w:rsidRPr="007647EB" w:rsidRDefault="00100696" w:rsidP="008123FC">
            <w:pPr>
              <w:keepNext/>
              <w:keepLines/>
              <w:spacing w:before="40" w:after="40"/>
              <w:rPr>
                <w:b/>
                <w:bCs/>
                <w:sz w:val="18"/>
                <w:szCs w:val="18"/>
              </w:rPr>
            </w:pPr>
            <w:r w:rsidRPr="007647EB">
              <w:rPr>
                <w:b/>
                <w:bCs/>
                <w:color w:val="000000"/>
                <w:sz w:val="18"/>
                <w:szCs w:val="18"/>
              </w:rPr>
              <w:t>Ressources nécessaires pour toutes les activités</w:t>
            </w:r>
          </w:p>
        </w:tc>
        <w:tc>
          <w:tcPr>
            <w:tcW w:w="1275" w:type="dxa"/>
            <w:tcBorders>
              <w:top w:val="single" w:sz="4" w:space="0" w:color="auto"/>
            </w:tcBorders>
            <w:noWrap/>
            <w:vAlign w:val="center"/>
            <w:hideMark/>
          </w:tcPr>
          <w:p w14:paraId="335157DA"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2A427C0" w14:textId="77777777" w:rsidR="00100696" w:rsidRPr="007647EB" w:rsidRDefault="00100696" w:rsidP="008123FC">
            <w:pPr>
              <w:keepNext/>
              <w:keepLines/>
              <w:spacing w:before="40" w:after="40"/>
              <w:jc w:val="right"/>
              <w:rPr>
                <w:b/>
                <w:bCs/>
                <w:sz w:val="18"/>
                <w:szCs w:val="18"/>
              </w:rPr>
            </w:pPr>
          </w:p>
        </w:tc>
        <w:tc>
          <w:tcPr>
            <w:tcW w:w="1276" w:type="dxa"/>
            <w:tcBorders>
              <w:top w:val="single" w:sz="4" w:space="0" w:color="auto"/>
            </w:tcBorders>
            <w:noWrap/>
            <w:vAlign w:val="center"/>
            <w:hideMark/>
          </w:tcPr>
          <w:p w14:paraId="7E95DD9E"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663F3AD"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center"/>
            <w:hideMark/>
          </w:tcPr>
          <w:p w14:paraId="538828A9" w14:textId="77777777" w:rsidR="00100696" w:rsidRPr="007647EB" w:rsidRDefault="00100696" w:rsidP="008123FC">
            <w:pPr>
              <w:keepNext/>
              <w:keepLines/>
              <w:spacing w:before="40" w:after="40"/>
              <w:jc w:val="right"/>
              <w:rPr>
                <w:b/>
                <w:bCs/>
                <w:sz w:val="18"/>
                <w:szCs w:val="18"/>
              </w:rPr>
            </w:pPr>
          </w:p>
        </w:tc>
        <w:tc>
          <w:tcPr>
            <w:tcW w:w="1245" w:type="dxa"/>
            <w:noWrap/>
            <w:vAlign w:val="center"/>
            <w:hideMark/>
          </w:tcPr>
          <w:p w14:paraId="298CBC0E" w14:textId="77777777" w:rsidR="00100696" w:rsidRPr="007647EB" w:rsidRDefault="00100696" w:rsidP="008123FC">
            <w:pPr>
              <w:keepNext/>
              <w:keepLines/>
              <w:spacing w:before="40" w:after="40"/>
              <w:jc w:val="right"/>
              <w:rPr>
                <w:b/>
                <w:bCs/>
                <w:sz w:val="18"/>
                <w:szCs w:val="18"/>
              </w:rPr>
            </w:pPr>
          </w:p>
        </w:tc>
      </w:tr>
      <w:tr w:rsidR="00100696" w:rsidRPr="007647EB" w14:paraId="242B3C83" w14:textId="77777777" w:rsidTr="008123FC">
        <w:trPr>
          <w:trHeight w:val="58"/>
          <w:jc w:val="right"/>
        </w:trPr>
        <w:tc>
          <w:tcPr>
            <w:tcW w:w="7230" w:type="dxa"/>
            <w:gridSpan w:val="2"/>
            <w:noWrap/>
            <w:vAlign w:val="center"/>
            <w:hideMark/>
          </w:tcPr>
          <w:p w14:paraId="6DE7C908" w14:textId="41856085" w:rsidR="00100696" w:rsidRPr="007647EB" w:rsidRDefault="00100696" w:rsidP="008123FC">
            <w:pPr>
              <w:keepNext/>
              <w:keepLines/>
              <w:spacing w:before="40" w:after="40"/>
              <w:ind w:firstLineChars="100" w:firstLine="181"/>
              <w:rPr>
                <w:b/>
                <w:bCs/>
                <w:sz w:val="18"/>
                <w:szCs w:val="18"/>
              </w:rPr>
            </w:pPr>
            <w:r w:rsidRPr="007647EB">
              <w:rPr>
                <w:b/>
                <w:bCs/>
                <w:color w:val="000000"/>
                <w:sz w:val="18"/>
                <w:szCs w:val="18"/>
              </w:rPr>
              <w:t>Total (A à G), dépenses d</w:t>
            </w:r>
            <w:r w:rsidR="00D82E47" w:rsidRPr="007647EB">
              <w:rPr>
                <w:b/>
                <w:bCs/>
                <w:color w:val="000000"/>
                <w:sz w:val="18"/>
                <w:szCs w:val="18"/>
              </w:rPr>
              <w:t>’</w:t>
            </w:r>
            <w:r w:rsidRPr="007647EB">
              <w:rPr>
                <w:b/>
                <w:bCs/>
                <w:color w:val="000000"/>
                <w:sz w:val="18"/>
                <w:szCs w:val="18"/>
              </w:rPr>
              <w:t>appui aux programmes non comprises</w:t>
            </w:r>
          </w:p>
        </w:tc>
        <w:tc>
          <w:tcPr>
            <w:tcW w:w="1275" w:type="dxa"/>
            <w:noWrap/>
            <w:vAlign w:val="center"/>
            <w:hideMark/>
          </w:tcPr>
          <w:p w14:paraId="70182839" w14:textId="77777777" w:rsidR="00100696" w:rsidRPr="007647EB" w:rsidRDefault="00100696" w:rsidP="008123FC">
            <w:pPr>
              <w:keepNext/>
              <w:keepLines/>
              <w:spacing w:before="40" w:after="40"/>
              <w:jc w:val="right"/>
              <w:rPr>
                <w:sz w:val="18"/>
                <w:szCs w:val="18"/>
              </w:rPr>
            </w:pPr>
            <w:r w:rsidRPr="007647EB">
              <w:rPr>
                <w:color w:val="000000"/>
                <w:sz w:val="18"/>
                <w:szCs w:val="18"/>
              </w:rPr>
              <w:t>3 384 057</w:t>
            </w:r>
          </w:p>
        </w:tc>
        <w:tc>
          <w:tcPr>
            <w:tcW w:w="1134" w:type="dxa"/>
            <w:noWrap/>
            <w:vAlign w:val="center"/>
            <w:hideMark/>
          </w:tcPr>
          <w:p w14:paraId="69CBF755" w14:textId="77777777" w:rsidR="00100696" w:rsidRPr="007647EB" w:rsidRDefault="00100696" w:rsidP="008123FC">
            <w:pPr>
              <w:keepNext/>
              <w:keepLines/>
              <w:spacing w:before="40" w:after="40"/>
              <w:jc w:val="right"/>
              <w:rPr>
                <w:sz w:val="18"/>
                <w:szCs w:val="18"/>
              </w:rPr>
            </w:pPr>
            <w:r w:rsidRPr="007647EB">
              <w:rPr>
                <w:color w:val="000000"/>
                <w:sz w:val="18"/>
                <w:szCs w:val="18"/>
              </w:rPr>
              <w:t>4 162 495</w:t>
            </w:r>
          </w:p>
        </w:tc>
        <w:tc>
          <w:tcPr>
            <w:tcW w:w="1276" w:type="dxa"/>
            <w:noWrap/>
            <w:vAlign w:val="center"/>
            <w:hideMark/>
          </w:tcPr>
          <w:p w14:paraId="50DC75FC" w14:textId="77777777" w:rsidR="00100696" w:rsidRPr="007647EB" w:rsidRDefault="00100696" w:rsidP="008123FC">
            <w:pPr>
              <w:keepNext/>
              <w:keepLines/>
              <w:spacing w:before="40" w:after="40"/>
              <w:jc w:val="right"/>
              <w:rPr>
                <w:sz w:val="18"/>
                <w:szCs w:val="18"/>
              </w:rPr>
            </w:pPr>
            <w:r w:rsidRPr="007647EB">
              <w:rPr>
                <w:color w:val="000000"/>
                <w:sz w:val="18"/>
                <w:szCs w:val="18"/>
              </w:rPr>
              <w:t>7 546 552</w:t>
            </w:r>
          </w:p>
        </w:tc>
        <w:tc>
          <w:tcPr>
            <w:tcW w:w="1134" w:type="dxa"/>
            <w:noWrap/>
            <w:vAlign w:val="center"/>
            <w:hideMark/>
          </w:tcPr>
          <w:p w14:paraId="34A712EC" w14:textId="77777777" w:rsidR="00100696" w:rsidRPr="007647EB" w:rsidRDefault="00100696" w:rsidP="008123FC">
            <w:pPr>
              <w:keepNext/>
              <w:keepLines/>
              <w:spacing w:before="40" w:after="40"/>
              <w:jc w:val="right"/>
              <w:rPr>
                <w:sz w:val="18"/>
                <w:szCs w:val="18"/>
              </w:rPr>
            </w:pPr>
            <w:r w:rsidRPr="007647EB">
              <w:rPr>
                <w:color w:val="000000"/>
                <w:sz w:val="18"/>
                <w:szCs w:val="18"/>
              </w:rPr>
              <w:t>1 839 500</w:t>
            </w:r>
          </w:p>
        </w:tc>
        <w:tc>
          <w:tcPr>
            <w:tcW w:w="1134" w:type="dxa"/>
            <w:noWrap/>
            <w:vAlign w:val="center"/>
            <w:hideMark/>
          </w:tcPr>
          <w:p w14:paraId="088DC16D" w14:textId="77777777" w:rsidR="00100696" w:rsidRPr="007647EB" w:rsidRDefault="00100696" w:rsidP="008123FC">
            <w:pPr>
              <w:keepNext/>
              <w:keepLines/>
              <w:spacing w:before="40" w:after="40"/>
              <w:jc w:val="right"/>
              <w:rPr>
                <w:sz w:val="18"/>
                <w:szCs w:val="18"/>
              </w:rPr>
            </w:pPr>
            <w:r w:rsidRPr="007647EB">
              <w:rPr>
                <w:color w:val="000000"/>
                <w:sz w:val="18"/>
                <w:szCs w:val="18"/>
              </w:rPr>
              <w:t>2 489 500</w:t>
            </w:r>
          </w:p>
        </w:tc>
        <w:tc>
          <w:tcPr>
            <w:tcW w:w="1245" w:type="dxa"/>
            <w:noWrap/>
            <w:vAlign w:val="center"/>
            <w:hideMark/>
          </w:tcPr>
          <w:p w14:paraId="41423655" w14:textId="77777777" w:rsidR="00100696" w:rsidRPr="007647EB" w:rsidRDefault="00100696" w:rsidP="008123FC">
            <w:pPr>
              <w:keepNext/>
              <w:keepLines/>
              <w:spacing w:before="40" w:after="40"/>
              <w:jc w:val="right"/>
              <w:rPr>
                <w:sz w:val="18"/>
                <w:szCs w:val="18"/>
              </w:rPr>
            </w:pPr>
            <w:r w:rsidRPr="007647EB">
              <w:rPr>
                <w:color w:val="000000"/>
                <w:sz w:val="18"/>
                <w:szCs w:val="18"/>
              </w:rPr>
              <w:t>4 329 000</w:t>
            </w:r>
          </w:p>
        </w:tc>
      </w:tr>
      <w:tr w:rsidR="00100696" w:rsidRPr="007647EB" w14:paraId="7FF45AE5" w14:textId="77777777" w:rsidTr="008123FC">
        <w:trPr>
          <w:trHeight w:val="315"/>
          <w:jc w:val="right"/>
        </w:trPr>
        <w:tc>
          <w:tcPr>
            <w:tcW w:w="7230" w:type="dxa"/>
            <w:gridSpan w:val="2"/>
            <w:tcBorders>
              <w:bottom w:val="single" w:sz="4" w:space="0" w:color="auto"/>
            </w:tcBorders>
            <w:noWrap/>
            <w:vAlign w:val="center"/>
            <w:hideMark/>
          </w:tcPr>
          <w:p w14:paraId="29BD3B11" w14:textId="5CD3BD3F" w:rsidR="00100696" w:rsidRPr="007647EB" w:rsidRDefault="00100696" w:rsidP="008123FC">
            <w:pPr>
              <w:keepNext/>
              <w:keepLines/>
              <w:spacing w:before="40" w:after="40"/>
              <w:rPr>
                <w:sz w:val="18"/>
                <w:szCs w:val="18"/>
              </w:rPr>
            </w:pPr>
            <w:r w:rsidRPr="007647EB">
              <w:rPr>
                <w:color w:val="000000"/>
                <w:sz w:val="18"/>
                <w:szCs w:val="18"/>
              </w:rPr>
              <w:t>Dépenses d</w:t>
            </w:r>
            <w:r w:rsidR="00D82E47" w:rsidRPr="007647EB">
              <w:rPr>
                <w:color w:val="000000"/>
                <w:sz w:val="18"/>
                <w:szCs w:val="18"/>
              </w:rPr>
              <w:t>’</w:t>
            </w:r>
            <w:r w:rsidRPr="007647EB">
              <w:rPr>
                <w:color w:val="000000"/>
                <w:sz w:val="18"/>
                <w:szCs w:val="18"/>
              </w:rPr>
              <w:t>appui aux programmes</w:t>
            </w:r>
          </w:p>
        </w:tc>
        <w:tc>
          <w:tcPr>
            <w:tcW w:w="1275" w:type="dxa"/>
            <w:tcBorders>
              <w:bottom w:val="single" w:sz="4" w:space="0" w:color="auto"/>
            </w:tcBorders>
            <w:noWrap/>
            <w:vAlign w:val="center"/>
            <w:hideMark/>
          </w:tcPr>
          <w:p w14:paraId="5B8FCDF8" w14:textId="77777777" w:rsidR="00100696" w:rsidRPr="007647EB" w:rsidRDefault="00100696" w:rsidP="008123FC">
            <w:pPr>
              <w:keepNext/>
              <w:keepLines/>
              <w:spacing w:before="40" w:after="40"/>
              <w:jc w:val="right"/>
              <w:rPr>
                <w:sz w:val="18"/>
                <w:szCs w:val="18"/>
              </w:rPr>
            </w:pPr>
            <w:r w:rsidRPr="007647EB">
              <w:rPr>
                <w:color w:val="000000"/>
                <w:sz w:val="18"/>
                <w:szCs w:val="18"/>
              </w:rPr>
              <w:t>439 927</w:t>
            </w:r>
          </w:p>
        </w:tc>
        <w:tc>
          <w:tcPr>
            <w:tcW w:w="1134" w:type="dxa"/>
            <w:tcBorders>
              <w:bottom w:val="single" w:sz="4" w:space="0" w:color="auto"/>
            </w:tcBorders>
            <w:noWrap/>
            <w:vAlign w:val="center"/>
            <w:hideMark/>
          </w:tcPr>
          <w:p w14:paraId="36DD9848" w14:textId="77777777" w:rsidR="00100696" w:rsidRPr="007647EB" w:rsidRDefault="00100696" w:rsidP="008123FC">
            <w:pPr>
              <w:keepNext/>
              <w:keepLines/>
              <w:spacing w:before="40" w:after="40"/>
              <w:jc w:val="right"/>
              <w:rPr>
                <w:sz w:val="18"/>
                <w:szCs w:val="18"/>
              </w:rPr>
            </w:pPr>
            <w:r w:rsidRPr="007647EB">
              <w:rPr>
                <w:color w:val="000000"/>
                <w:sz w:val="18"/>
                <w:szCs w:val="18"/>
              </w:rPr>
              <w:t>541 124</w:t>
            </w:r>
          </w:p>
        </w:tc>
        <w:tc>
          <w:tcPr>
            <w:tcW w:w="1276" w:type="dxa"/>
            <w:tcBorders>
              <w:bottom w:val="single" w:sz="4" w:space="0" w:color="auto"/>
            </w:tcBorders>
            <w:noWrap/>
            <w:vAlign w:val="center"/>
            <w:hideMark/>
          </w:tcPr>
          <w:p w14:paraId="6E27DF4A" w14:textId="77777777" w:rsidR="00100696" w:rsidRPr="007647EB" w:rsidRDefault="00100696" w:rsidP="008123FC">
            <w:pPr>
              <w:keepNext/>
              <w:keepLines/>
              <w:spacing w:before="40" w:after="40"/>
              <w:jc w:val="right"/>
              <w:rPr>
                <w:sz w:val="18"/>
                <w:szCs w:val="18"/>
              </w:rPr>
            </w:pPr>
            <w:r w:rsidRPr="007647EB">
              <w:rPr>
                <w:color w:val="000000"/>
                <w:sz w:val="18"/>
                <w:szCs w:val="18"/>
              </w:rPr>
              <w:t>981 052</w:t>
            </w:r>
          </w:p>
        </w:tc>
        <w:tc>
          <w:tcPr>
            <w:tcW w:w="1134" w:type="dxa"/>
            <w:tcBorders>
              <w:bottom w:val="single" w:sz="4" w:space="0" w:color="auto"/>
            </w:tcBorders>
            <w:noWrap/>
            <w:vAlign w:val="center"/>
            <w:hideMark/>
          </w:tcPr>
          <w:p w14:paraId="0AAE119F" w14:textId="77777777" w:rsidR="00100696" w:rsidRPr="007647EB" w:rsidRDefault="00100696" w:rsidP="008123FC">
            <w:pPr>
              <w:keepNext/>
              <w:keepLines/>
              <w:spacing w:before="40" w:after="40"/>
              <w:jc w:val="right"/>
              <w:rPr>
                <w:sz w:val="18"/>
                <w:szCs w:val="18"/>
              </w:rPr>
            </w:pPr>
            <w:r w:rsidRPr="007647EB">
              <w:rPr>
                <w:color w:val="000000"/>
                <w:sz w:val="18"/>
                <w:szCs w:val="18"/>
              </w:rPr>
              <w:t>239 135</w:t>
            </w:r>
          </w:p>
        </w:tc>
        <w:tc>
          <w:tcPr>
            <w:tcW w:w="1134" w:type="dxa"/>
            <w:tcBorders>
              <w:bottom w:val="single" w:sz="4" w:space="0" w:color="auto"/>
            </w:tcBorders>
            <w:noWrap/>
            <w:vAlign w:val="center"/>
            <w:hideMark/>
          </w:tcPr>
          <w:p w14:paraId="52E6BE6D" w14:textId="77777777" w:rsidR="00100696" w:rsidRPr="007647EB" w:rsidRDefault="00100696" w:rsidP="008123FC">
            <w:pPr>
              <w:keepNext/>
              <w:keepLines/>
              <w:spacing w:before="40" w:after="40"/>
              <w:jc w:val="right"/>
              <w:rPr>
                <w:sz w:val="18"/>
                <w:szCs w:val="18"/>
              </w:rPr>
            </w:pPr>
            <w:r w:rsidRPr="007647EB">
              <w:rPr>
                <w:color w:val="000000"/>
                <w:sz w:val="18"/>
                <w:szCs w:val="18"/>
              </w:rPr>
              <w:t>323 635</w:t>
            </w:r>
          </w:p>
        </w:tc>
        <w:tc>
          <w:tcPr>
            <w:tcW w:w="1245" w:type="dxa"/>
            <w:noWrap/>
            <w:vAlign w:val="center"/>
            <w:hideMark/>
          </w:tcPr>
          <w:p w14:paraId="7924483E" w14:textId="77777777" w:rsidR="00100696" w:rsidRPr="007647EB" w:rsidRDefault="00100696" w:rsidP="008123FC">
            <w:pPr>
              <w:keepNext/>
              <w:keepLines/>
              <w:spacing w:before="40" w:after="40"/>
              <w:jc w:val="right"/>
              <w:rPr>
                <w:sz w:val="18"/>
                <w:szCs w:val="18"/>
              </w:rPr>
            </w:pPr>
            <w:r w:rsidRPr="007647EB">
              <w:rPr>
                <w:color w:val="000000"/>
                <w:sz w:val="18"/>
                <w:szCs w:val="18"/>
              </w:rPr>
              <w:t>562 770</w:t>
            </w:r>
          </w:p>
        </w:tc>
      </w:tr>
      <w:tr w:rsidR="00100696" w:rsidRPr="007647EB" w14:paraId="164924F9" w14:textId="77777777" w:rsidTr="008123FC">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C500471" w14:textId="7A0B8C78" w:rsidR="00100696" w:rsidRPr="007647EB" w:rsidRDefault="00100696" w:rsidP="008123FC">
            <w:pPr>
              <w:keepNext/>
              <w:keepLines/>
              <w:spacing w:before="40" w:after="40"/>
              <w:ind w:firstLineChars="100" w:firstLine="181"/>
              <w:rPr>
                <w:b/>
                <w:bCs/>
                <w:sz w:val="18"/>
                <w:szCs w:val="18"/>
              </w:rPr>
            </w:pPr>
            <w:r w:rsidRPr="007647EB">
              <w:rPr>
                <w:b/>
                <w:bCs/>
                <w:color w:val="000000"/>
                <w:sz w:val="18"/>
                <w:szCs w:val="18"/>
              </w:rPr>
              <w:t>Total général (A à G), dépenses d</w:t>
            </w:r>
            <w:r w:rsidR="00D82E47" w:rsidRPr="007647EB">
              <w:rPr>
                <w:b/>
                <w:bCs/>
                <w:color w:val="000000"/>
                <w:sz w:val="18"/>
                <w:szCs w:val="18"/>
              </w:rPr>
              <w:t>’</w:t>
            </w:r>
            <w:r w:rsidRPr="007647EB">
              <w:rPr>
                <w:b/>
                <w:bCs/>
                <w:color w:val="000000"/>
                <w:sz w:val="18"/>
                <w:szCs w:val="18"/>
              </w:rPr>
              <w:t>appui aux programmes comprises</w:t>
            </w:r>
          </w:p>
        </w:tc>
        <w:tc>
          <w:tcPr>
            <w:tcW w:w="1275" w:type="dxa"/>
            <w:tcBorders>
              <w:top w:val="single" w:sz="4" w:space="0" w:color="auto"/>
              <w:bottom w:val="single" w:sz="4" w:space="0" w:color="auto"/>
            </w:tcBorders>
            <w:shd w:val="clear" w:color="000000" w:fill="DBB731"/>
            <w:noWrap/>
            <w:vAlign w:val="center"/>
            <w:hideMark/>
          </w:tcPr>
          <w:p w14:paraId="04C749A2"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3 823 984</w:t>
            </w:r>
          </w:p>
        </w:tc>
        <w:tc>
          <w:tcPr>
            <w:tcW w:w="1134" w:type="dxa"/>
            <w:tcBorders>
              <w:top w:val="single" w:sz="4" w:space="0" w:color="auto"/>
              <w:bottom w:val="single" w:sz="4" w:space="0" w:color="auto"/>
            </w:tcBorders>
            <w:shd w:val="clear" w:color="000000" w:fill="DBB731"/>
            <w:noWrap/>
            <w:vAlign w:val="center"/>
            <w:hideMark/>
          </w:tcPr>
          <w:p w14:paraId="6C607283"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4 703 619</w:t>
            </w:r>
          </w:p>
        </w:tc>
        <w:tc>
          <w:tcPr>
            <w:tcW w:w="1276" w:type="dxa"/>
            <w:tcBorders>
              <w:top w:val="single" w:sz="4" w:space="0" w:color="auto"/>
              <w:bottom w:val="single" w:sz="4" w:space="0" w:color="auto"/>
            </w:tcBorders>
            <w:shd w:val="clear" w:color="000000" w:fill="DBB731"/>
            <w:noWrap/>
            <w:vAlign w:val="center"/>
            <w:hideMark/>
          </w:tcPr>
          <w:p w14:paraId="4B16014D"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8 527 603</w:t>
            </w:r>
          </w:p>
        </w:tc>
        <w:tc>
          <w:tcPr>
            <w:tcW w:w="1134" w:type="dxa"/>
            <w:tcBorders>
              <w:top w:val="single" w:sz="4" w:space="0" w:color="auto"/>
              <w:bottom w:val="single" w:sz="4" w:space="0" w:color="auto"/>
            </w:tcBorders>
            <w:shd w:val="clear" w:color="000000" w:fill="DBB731"/>
            <w:noWrap/>
            <w:vAlign w:val="center"/>
            <w:hideMark/>
          </w:tcPr>
          <w:p w14:paraId="263CCE9A"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2 078 635</w:t>
            </w:r>
          </w:p>
        </w:tc>
        <w:tc>
          <w:tcPr>
            <w:tcW w:w="1134" w:type="dxa"/>
            <w:tcBorders>
              <w:top w:val="single" w:sz="4" w:space="0" w:color="auto"/>
              <w:bottom w:val="single" w:sz="4" w:space="0" w:color="auto"/>
            </w:tcBorders>
            <w:shd w:val="clear" w:color="000000" w:fill="DBB731"/>
            <w:noWrap/>
            <w:vAlign w:val="center"/>
            <w:hideMark/>
          </w:tcPr>
          <w:p w14:paraId="05CEA571"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2 813 135</w:t>
            </w:r>
          </w:p>
        </w:tc>
        <w:tc>
          <w:tcPr>
            <w:tcW w:w="1245" w:type="dxa"/>
            <w:tcBorders>
              <w:bottom w:val="single" w:sz="4" w:space="0" w:color="auto"/>
            </w:tcBorders>
            <w:shd w:val="clear" w:color="000000" w:fill="DBB731"/>
            <w:noWrap/>
            <w:vAlign w:val="center"/>
            <w:hideMark/>
          </w:tcPr>
          <w:p w14:paraId="63AD9C11"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4 891 770</w:t>
            </w:r>
          </w:p>
        </w:tc>
      </w:tr>
      <w:tr w:rsidR="00100696" w:rsidRPr="007647EB" w14:paraId="6C6B5388" w14:textId="77777777" w:rsidTr="008123FC">
        <w:trPr>
          <w:trHeight w:val="465"/>
          <w:jc w:val="right"/>
        </w:trPr>
        <w:tc>
          <w:tcPr>
            <w:tcW w:w="7230" w:type="dxa"/>
            <w:gridSpan w:val="2"/>
            <w:tcBorders>
              <w:top w:val="single" w:sz="4" w:space="0" w:color="auto"/>
            </w:tcBorders>
            <w:hideMark/>
          </w:tcPr>
          <w:p w14:paraId="0F1C3469" w14:textId="563E75C2" w:rsidR="00100696" w:rsidRPr="007647EB" w:rsidRDefault="00100696" w:rsidP="008123FC">
            <w:pPr>
              <w:keepNext/>
              <w:keepLines/>
              <w:spacing w:before="40" w:after="40"/>
              <w:rPr>
                <w:b/>
                <w:bCs/>
                <w:sz w:val="18"/>
                <w:szCs w:val="18"/>
              </w:rPr>
            </w:pPr>
            <w:r w:rsidRPr="007647EB">
              <w:rPr>
                <w:b/>
                <w:bCs/>
                <w:color w:val="000000"/>
                <w:sz w:val="18"/>
                <w:szCs w:val="18"/>
              </w:rPr>
              <w:t>Réunion du Groupe de l</w:t>
            </w:r>
            <w:r w:rsidR="00D82E47" w:rsidRPr="007647EB">
              <w:rPr>
                <w:b/>
                <w:bCs/>
                <w:color w:val="000000"/>
                <w:sz w:val="18"/>
                <w:szCs w:val="18"/>
              </w:rPr>
              <w:t>’</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 y compris les dépenses d</w:t>
            </w:r>
            <w:r w:rsidR="00D82E47" w:rsidRPr="007647EB">
              <w:rPr>
                <w:b/>
                <w:bCs/>
                <w:color w:val="000000"/>
                <w:sz w:val="18"/>
                <w:szCs w:val="18"/>
              </w:rPr>
              <w:t>’</w:t>
            </w:r>
            <w:r w:rsidRPr="007647EB">
              <w:rPr>
                <w:b/>
                <w:bCs/>
                <w:color w:val="000000"/>
                <w:sz w:val="18"/>
                <w:szCs w:val="18"/>
              </w:rPr>
              <w:t>appui au programme financées sur le budget de 2024 (la réunion n</w:t>
            </w:r>
            <w:r w:rsidR="00D82E47" w:rsidRPr="007647EB">
              <w:rPr>
                <w:b/>
                <w:bCs/>
                <w:color w:val="000000"/>
                <w:sz w:val="18"/>
                <w:szCs w:val="18"/>
              </w:rPr>
              <w:t>’</w:t>
            </w:r>
            <w:r w:rsidRPr="007647EB">
              <w:rPr>
                <w:b/>
                <w:bCs/>
                <w:color w:val="000000"/>
                <w:sz w:val="18"/>
                <w:szCs w:val="18"/>
              </w:rPr>
              <w:t>a pas eu lieu en 2024)</w:t>
            </w:r>
          </w:p>
        </w:tc>
        <w:tc>
          <w:tcPr>
            <w:tcW w:w="1275" w:type="dxa"/>
            <w:tcBorders>
              <w:top w:val="single" w:sz="4" w:space="0" w:color="auto"/>
            </w:tcBorders>
            <w:noWrap/>
            <w:vAlign w:val="bottom"/>
            <w:hideMark/>
          </w:tcPr>
          <w:p w14:paraId="48134C5A"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(96 050)</w:t>
            </w:r>
          </w:p>
        </w:tc>
        <w:tc>
          <w:tcPr>
            <w:tcW w:w="1134" w:type="dxa"/>
            <w:tcBorders>
              <w:top w:val="single" w:sz="4" w:space="0" w:color="auto"/>
            </w:tcBorders>
            <w:noWrap/>
            <w:vAlign w:val="bottom"/>
            <w:hideMark/>
          </w:tcPr>
          <w:p w14:paraId="2764F8FB" w14:textId="77777777" w:rsidR="00100696" w:rsidRPr="007647EB" w:rsidRDefault="00100696" w:rsidP="008123FC">
            <w:pPr>
              <w:keepNext/>
              <w:keepLines/>
              <w:spacing w:before="40" w:after="40"/>
              <w:jc w:val="right"/>
              <w:rPr>
                <w:b/>
                <w:bCs/>
                <w:sz w:val="18"/>
                <w:szCs w:val="18"/>
              </w:rPr>
            </w:pPr>
          </w:p>
        </w:tc>
        <w:tc>
          <w:tcPr>
            <w:tcW w:w="1276" w:type="dxa"/>
            <w:tcBorders>
              <w:top w:val="single" w:sz="4" w:space="0" w:color="auto"/>
            </w:tcBorders>
            <w:noWrap/>
            <w:vAlign w:val="bottom"/>
            <w:hideMark/>
          </w:tcPr>
          <w:p w14:paraId="67B07851" w14:textId="77777777" w:rsidR="00100696" w:rsidRPr="007647EB" w:rsidRDefault="00100696" w:rsidP="008123FC">
            <w:pPr>
              <w:keepNext/>
              <w:keepLines/>
              <w:spacing w:before="40" w:after="40"/>
              <w:jc w:val="right"/>
              <w:rPr>
                <w:b/>
                <w:bCs/>
                <w:sz w:val="18"/>
                <w:szCs w:val="18"/>
              </w:rPr>
            </w:pPr>
            <w:r w:rsidRPr="007647EB">
              <w:rPr>
                <w:b/>
                <w:bCs/>
                <w:color w:val="000000"/>
                <w:sz w:val="18"/>
                <w:szCs w:val="18"/>
              </w:rPr>
              <w:t>(96 050)</w:t>
            </w:r>
          </w:p>
        </w:tc>
        <w:tc>
          <w:tcPr>
            <w:tcW w:w="1134" w:type="dxa"/>
            <w:tcBorders>
              <w:top w:val="single" w:sz="4" w:space="0" w:color="auto"/>
            </w:tcBorders>
            <w:noWrap/>
            <w:vAlign w:val="bottom"/>
            <w:hideMark/>
          </w:tcPr>
          <w:p w14:paraId="7804B209" w14:textId="77777777" w:rsidR="00100696" w:rsidRPr="007647EB" w:rsidRDefault="00100696" w:rsidP="008123FC">
            <w:pPr>
              <w:keepNext/>
              <w:keepLines/>
              <w:spacing w:before="40" w:after="40"/>
              <w:jc w:val="right"/>
              <w:rPr>
                <w:b/>
                <w:bCs/>
                <w:sz w:val="18"/>
                <w:szCs w:val="18"/>
              </w:rPr>
            </w:pPr>
          </w:p>
        </w:tc>
        <w:tc>
          <w:tcPr>
            <w:tcW w:w="1134" w:type="dxa"/>
            <w:tcBorders>
              <w:top w:val="single" w:sz="4" w:space="0" w:color="auto"/>
            </w:tcBorders>
            <w:noWrap/>
            <w:vAlign w:val="bottom"/>
            <w:hideMark/>
          </w:tcPr>
          <w:p w14:paraId="672EF1B6" w14:textId="77777777" w:rsidR="00100696" w:rsidRPr="007647EB" w:rsidRDefault="00100696" w:rsidP="008123FC">
            <w:pPr>
              <w:keepNext/>
              <w:keepLines/>
              <w:spacing w:before="40" w:after="40"/>
              <w:jc w:val="right"/>
              <w:rPr>
                <w:b/>
                <w:bCs/>
                <w:sz w:val="18"/>
                <w:szCs w:val="18"/>
              </w:rPr>
            </w:pPr>
          </w:p>
        </w:tc>
        <w:tc>
          <w:tcPr>
            <w:tcW w:w="1245" w:type="dxa"/>
            <w:tcBorders>
              <w:top w:val="single" w:sz="4" w:space="0" w:color="auto"/>
            </w:tcBorders>
            <w:noWrap/>
            <w:vAlign w:val="bottom"/>
            <w:hideMark/>
          </w:tcPr>
          <w:p w14:paraId="0EFBC96F" w14:textId="77777777" w:rsidR="00100696" w:rsidRPr="007647EB" w:rsidRDefault="00100696" w:rsidP="008123FC">
            <w:pPr>
              <w:keepNext/>
              <w:keepLines/>
              <w:spacing w:before="40" w:after="40"/>
              <w:jc w:val="right"/>
              <w:rPr>
                <w:b/>
                <w:bCs/>
                <w:sz w:val="18"/>
                <w:szCs w:val="18"/>
              </w:rPr>
            </w:pPr>
          </w:p>
        </w:tc>
      </w:tr>
      <w:tr w:rsidR="00100696" w:rsidRPr="007647EB" w14:paraId="1EB8C819" w14:textId="77777777" w:rsidTr="008123FC">
        <w:trPr>
          <w:trHeight w:val="315"/>
          <w:jc w:val="right"/>
        </w:trPr>
        <w:tc>
          <w:tcPr>
            <w:tcW w:w="7230" w:type="dxa"/>
            <w:gridSpan w:val="2"/>
            <w:tcBorders>
              <w:bottom w:val="single" w:sz="12" w:space="0" w:color="auto"/>
            </w:tcBorders>
            <w:shd w:val="clear" w:color="000000" w:fill="DBB731"/>
            <w:noWrap/>
            <w:vAlign w:val="center"/>
            <w:hideMark/>
          </w:tcPr>
          <w:p w14:paraId="6C7068B0" w14:textId="73C8476A" w:rsidR="00100696" w:rsidRPr="007647EB" w:rsidRDefault="00100696" w:rsidP="008123FC">
            <w:pPr>
              <w:spacing w:before="40" w:after="40"/>
              <w:ind w:firstLineChars="100" w:firstLine="181"/>
              <w:rPr>
                <w:b/>
                <w:bCs/>
                <w:sz w:val="18"/>
                <w:szCs w:val="18"/>
              </w:rPr>
            </w:pPr>
            <w:r w:rsidRPr="007647EB">
              <w:rPr>
                <w:b/>
                <w:bCs/>
                <w:color w:val="000000"/>
                <w:sz w:val="18"/>
                <w:szCs w:val="18"/>
              </w:rPr>
              <w:t>Total général (après déduction de la réunion du Groupe de l</w:t>
            </w:r>
            <w:r w:rsidR="00D82E47" w:rsidRPr="007647EB">
              <w:rPr>
                <w:b/>
                <w:bCs/>
                <w:color w:val="000000"/>
                <w:sz w:val="18"/>
                <w:szCs w:val="18"/>
              </w:rPr>
              <w:t>’</w:t>
            </w:r>
            <w:r w:rsidRPr="007647EB">
              <w:rPr>
                <w:b/>
                <w:bCs/>
                <w:color w:val="000000"/>
                <w:sz w:val="18"/>
                <w:szCs w:val="18"/>
              </w:rPr>
              <w:t>évaluation de l</w:t>
            </w:r>
            <w:r w:rsidR="00D82E47" w:rsidRPr="007647EB">
              <w:rPr>
                <w:b/>
                <w:bCs/>
                <w:color w:val="000000"/>
                <w:sz w:val="18"/>
                <w:szCs w:val="18"/>
              </w:rPr>
              <w:t>’</w:t>
            </w:r>
            <w:r w:rsidRPr="007647EB">
              <w:rPr>
                <w:b/>
                <w:bCs/>
                <w:color w:val="000000"/>
                <w:sz w:val="18"/>
                <w:szCs w:val="18"/>
              </w:rPr>
              <w:t>efficacité)</w:t>
            </w:r>
          </w:p>
        </w:tc>
        <w:tc>
          <w:tcPr>
            <w:tcW w:w="1275" w:type="dxa"/>
            <w:tcBorders>
              <w:bottom w:val="single" w:sz="12" w:space="0" w:color="auto"/>
            </w:tcBorders>
            <w:shd w:val="clear" w:color="000000" w:fill="DBB731"/>
            <w:noWrap/>
            <w:vAlign w:val="center"/>
            <w:hideMark/>
          </w:tcPr>
          <w:p w14:paraId="2F6D1183" w14:textId="77777777" w:rsidR="00100696" w:rsidRPr="007647EB" w:rsidRDefault="00100696" w:rsidP="008123FC">
            <w:pPr>
              <w:spacing w:before="40" w:after="40"/>
              <w:jc w:val="right"/>
              <w:rPr>
                <w:b/>
                <w:bCs/>
                <w:sz w:val="18"/>
                <w:szCs w:val="18"/>
              </w:rPr>
            </w:pPr>
            <w:r w:rsidRPr="007647EB">
              <w:rPr>
                <w:b/>
                <w:bCs/>
                <w:color w:val="000000"/>
                <w:sz w:val="18"/>
                <w:szCs w:val="18"/>
              </w:rPr>
              <w:t>3 727 934</w:t>
            </w:r>
          </w:p>
        </w:tc>
        <w:tc>
          <w:tcPr>
            <w:tcW w:w="1134" w:type="dxa"/>
            <w:tcBorders>
              <w:bottom w:val="single" w:sz="12" w:space="0" w:color="auto"/>
            </w:tcBorders>
            <w:shd w:val="clear" w:color="000000" w:fill="DBB731"/>
            <w:noWrap/>
            <w:vAlign w:val="center"/>
            <w:hideMark/>
          </w:tcPr>
          <w:p w14:paraId="0645A5E3" w14:textId="77777777" w:rsidR="00100696" w:rsidRPr="007647EB" w:rsidRDefault="00100696" w:rsidP="008123FC">
            <w:pPr>
              <w:spacing w:before="40" w:after="40"/>
              <w:jc w:val="right"/>
              <w:rPr>
                <w:b/>
                <w:bCs/>
                <w:sz w:val="18"/>
                <w:szCs w:val="18"/>
              </w:rPr>
            </w:pPr>
            <w:r w:rsidRPr="007647EB">
              <w:rPr>
                <w:b/>
                <w:bCs/>
                <w:color w:val="000000"/>
                <w:sz w:val="18"/>
                <w:szCs w:val="18"/>
              </w:rPr>
              <w:t>4 703 619</w:t>
            </w:r>
          </w:p>
        </w:tc>
        <w:tc>
          <w:tcPr>
            <w:tcW w:w="1276" w:type="dxa"/>
            <w:tcBorders>
              <w:bottom w:val="single" w:sz="12" w:space="0" w:color="auto"/>
            </w:tcBorders>
            <w:shd w:val="clear" w:color="000000" w:fill="DBB731"/>
            <w:noWrap/>
            <w:vAlign w:val="center"/>
            <w:hideMark/>
          </w:tcPr>
          <w:p w14:paraId="38F99A08" w14:textId="77777777" w:rsidR="00100696" w:rsidRPr="007647EB" w:rsidRDefault="00100696" w:rsidP="008123FC">
            <w:pPr>
              <w:spacing w:before="40" w:after="40"/>
              <w:jc w:val="right"/>
              <w:rPr>
                <w:b/>
                <w:bCs/>
                <w:sz w:val="18"/>
                <w:szCs w:val="18"/>
              </w:rPr>
            </w:pPr>
            <w:r w:rsidRPr="007647EB">
              <w:rPr>
                <w:b/>
                <w:bCs/>
                <w:color w:val="000000"/>
                <w:sz w:val="18"/>
                <w:szCs w:val="18"/>
              </w:rPr>
              <w:t>8 431 553</w:t>
            </w:r>
          </w:p>
        </w:tc>
        <w:tc>
          <w:tcPr>
            <w:tcW w:w="1134" w:type="dxa"/>
            <w:tcBorders>
              <w:bottom w:val="single" w:sz="12" w:space="0" w:color="auto"/>
            </w:tcBorders>
            <w:shd w:val="clear" w:color="000000" w:fill="DBB731"/>
            <w:noWrap/>
            <w:vAlign w:val="center"/>
            <w:hideMark/>
          </w:tcPr>
          <w:p w14:paraId="5A96F0F5" w14:textId="77777777" w:rsidR="00100696" w:rsidRPr="007647EB" w:rsidRDefault="00100696" w:rsidP="008123FC">
            <w:pPr>
              <w:spacing w:before="40" w:after="40"/>
              <w:jc w:val="right"/>
              <w:rPr>
                <w:b/>
                <w:bCs/>
                <w:sz w:val="18"/>
                <w:szCs w:val="18"/>
              </w:rPr>
            </w:pPr>
            <w:r w:rsidRPr="007647EB">
              <w:rPr>
                <w:b/>
                <w:bCs/>
                <w:color w:val="000000"/>
                <w:sz w:val="18"/>
                <w:szCs w:val="18"/>
              </w:rPr>
              <w:t>2 078 635</w:t>
            </w:r>
          </w:p>
        </w:tc>
        <w:tc>
          <w:tcPr>
            <w:tcW w:w="1134" w:type="dxa"/>
            <w:tcBorders>
              <w:bottom w:val="single" w:sz="12" w:space="0" w:color="auto"/>
            </w:tcBorders>
            <w:shd w:val="clear" w:color="000000" w:fill="DBB731"/>
            <w:noWrap/>
            <w:vAlign w:val="center"/>
            <w:hideMark/>
          </w:tcPr>
          <w:p w14:paraId="6BA6CEDA" w14:textId="77777777" w:rsidR="00100696" w:rsidRPr="007647EB" w:rsidRDefault="00100696" w:rsidP="008123FC">
            <w:pPr>
              <w:spacing w:before="40" w:after="40"/>
              <w:jc w:val="right"/>
              <w:rPr>
                <w:b/>
                <w:bCs/>
                <w:sz w:val="18"/>
                <w:szCs w:val="18"/>
              </w:rPr>
            </w:pPr>
            <w:r w:rsidRPr="007647EB">
              <w:rPr>
                <w:b/>
                <w:bCs/>
                <w:color w:val="000000"/>
                <w:sz w:val="18"/>
                <w:szCs w:val="18"/>
              </w:rPr>
              <w:t>2 813 135</w:t>
            </w:r>
          </w:p>
        </w:tc>
        <w:tc>
          <w:tcPr>
            <w:tcW w:w="1245" w:type="dxa"/>
            <w:tcBorders>
              <w:bottom w:val="single" w:sz="12" w:space="0" w:color="auto"/>
            </w:tcBorders>
            <w:shd w:val="clear" w:color="000000" w:fill="DBB731"/>
            <w:noWrap/>
            <w:vAlign w:val="center"/>
            <w:hideMark/>
          </w:tcPr>
          <w:p w14:paraId="795A77F4" w14:textId="77777777" w:rsidR="00100696" w:rsidRPr="007647EB" w:rsidRDefault="00100696" w:rsidP="008123FC">
            <w:pPr>
              <w:spacing w:before="40" w:after="40"/>
              <w:jc w:val="right"/>
              <w:rPr>
                <w:b/>
                <w:bCs/>
                <w:sz w:val="18"/>
                <w:szCs w:val="18"/>
              </w:rPr>
            </w:pPr>
            <w:r w:rsidRPr="007647EB">
              <w:rPr>
                <w:b/>
                <w:bCs/>
                <w:color w:val="000000"/>
                <w:sz w:val="18"/>
                <w:szCs w:val="18"/>
              </w:rPr>
              <w:t>4 891 770</w:t>
            </w:r>
          </w:p>
        </w:tc>
      </w:tr>
    </w:tbl>
    <w:p w14:paraId="336A550B" w14:textId="5AB00F35" w:rsidR="00C055F6" w:rsidRPr="007647EB" w:rsidRDefault="00100696" w:rsidP="00B34FD4">
      <w:pPr>
        <w:spacing w:before="60"/>
        <w:ind w:left="1247"/>
        <w:rPr>
          <w:rFonts w:asciiTheme="majorBidi" w:hAnsiTheme="majorBidi" w:cstheme="majorBidi"/>
          <w:sz w:val="17"/>
          <w:szCs w:val="17"/>
        </w:rPr>
      </w:pPr>
      <w:r w:rsidRPr="007647EB">
        <w:rPr>
          <w:rFonts w:asciiTheme="majorBidi" w:hAnsiTheme="majorBidi" w:cstheme="majorBidi"/>
          <w:sz w:val="17"/>
          <w:szCs w:val="17"/>
        </w:rPr>
        <w:t>* À titre exceptionnel, la Secrétaire exécutive est autorisée à prélever des fonds supplémentaires, sans dépasser 541</w:t>
      </w:r>
      <w:r w:rsidR="00756848" w:rsidRPr="007647EB">
        <w:rPr>
          <w:rFonts w:asciiTheme="majorBidi" w:hAnsiTheme="majorBidi" w:cstheme="majorBidi"/>
          <w:sz w:val="17"/>
          <w:szCs w:val="17"/>
        </w:rPr>
        <w:t> </w:t>
      </w:r>
      <w:r w:rsidRPr="007647EB">
        <w:rPr>
          <w:rFonts w:asciiTheme="majorBidi" w:hAnsiTheme="majorBidi" w:cstheme="majorBidi"/>
          <w:sz w:val="17"/>
          <w:szCs w:val="17"/>
        </w:rPr>
        <w:t>749 dollars des États-Unis, sur le solde net du fonds d</w:t>
      </w:r>
      <w:r w:rsidR="00D82E47" w:rsidRPr="007647EB">
        <w:rPr>
          <w:rFonts w:asciiTheme="majorBidi" w:hAnsiTheme="majorBidi" w:cstheme="majorBidi"/>
          <w:sz w:val="17"/>
          <w:szCs w:val="17"/>
        </w:rPr>
        <w:t>’</w:t>
      </w:r>
      <w:r w:rsidRPr="007647EB">
        <w:rPr>
          <w:rFonts w:asciiTheme="majorBidi" w:hAnsiTheme="majorBidi" w:cstheme="majorBidi"/>
          <w:sz w:val="17"/>
          <w:szCs w:val="17"/>
        </w:rPr>
        <w:t>affectation spéciale général afin de couvrir tout déficit dans le tableau des effectifs approuvé pour l</w:t>
      </w:r>
      <w:r w:rsidR="00D82E47" w:rsidRPr="007647EB">
        <w:rPr>
          <w:rFonts w:asciiTheme="majorBidi" w:hAnsiTheme="majorBidi" w:cstheme="majorBidi"/>
          <w:sz w:val="17"/>
          <w:szCs w:val="17"/>
        </w:rPr>
        <w:t>’</w:t>
      </w:r>
      <w:r w:rsidRPr="007647EB">
        <w:rPr>
          <w:rFonts w:asciiTheme="majorBidi" w:hAnsiTheme="majorBidi" w:cstheme="majorBidi"/>
          <w:sz w:val="17"/>
          <w:szCs w:val="17"/>
        </w:rPr>
        <w:t>exercice biennal 2026-2027.</w:t>
      </w:r>
    </w:p>
    <w:p w14:paraId="5A643865" w14:textId="5A307CE9" w:rsidR="00312042" w:rsidRPr="007647EB" w:rsidRDefault="00312042" w:rsidP="00312042">
      <w:pPr>
        <w:spacing w:before="60"/>
        <w:ind w:left="1247"/>
        <w:rPr>
          <w:rFonts w:asciiTheme="majorBidi" w:hAnsiTheme="majorBidi" w:cstheme="majorBidi"/>
          <w:sz w:val="17"/>
          <w:szCs w:val="17"/>
        </w:rPr>
        <w:sectPr w:rsidR="00312042" w:rsidRPr="007647EB" w:rsidSect="00300193">
          <w:footerReference w:type="first" r:id="rId19"/>
          <w:footnotePr>
            <w:numRestart w:val="eachSect"/>
          </w:footnotePr>
          <w:pgSz w:w="16838" w:h="11906" w:orient="landscape" w:code="9"/>
          <w:pgMar w:top="907" w:right="992" w:bottom="1418" w:left="1418" w:header="539" w:footer="975" w:gutter="0"/>
          <w:cols w:space="539"/>
          <w:docGrid w:linePitch="360"/>
        </w:sectPr>
      </w:pPr>
    </w:p>
    <w:p w14:paraId="6F8C3422" w14:textId="77777777" w:rsidR="002B2CBE" w:rsidRPr="007647EB" w:rsidRDefault="002B2CBE" w:rsidP="002B2CBE">
      <w:pPr>
        <w:pStyle w:val="Titletable"/>
        <w:spacing w:after="0"/>
        <w:rPr>
          <w:b w:val="0"/>
          <w:bCs w:val="0"/>
        </w:rPr>
      </w:pPr>
      <w:r w:rsidRPr="007647EB">
        <w:rPr>
          <w:b w:val="0"/>
          <w:bCs w:val="0"/>
        </w:rPr>
        <w:lastRenderedPageBreak/>
        <w:t>Tableau 2</w:t>
      </w:r>
    </w:p>
    <w:p w14:paraId="70B8E805" w14:textId="085BD1F8" w:rsidR="002B2CBE" w:rsidRPr="007647EB" w:rsidRDefault="002B2CBE" w:rsidP="002B2CBE">
      <w:pPr>
        <w:pStyle w:val="Titletable"/>
        <w:spacing w:after="0"/>
        <w:rPr>
          <w:rFonts w:asciiTheme="majorBidi" w:hAnsiTheme="majorBidi" w:cstheme="majorBidi"/>
        </w:rPr>
      </w:pPr>
      <w:r w:rsidRPr="007647EB">
        <w:t>Aperçu du barème indicatif des quotes-parts et des contributions au fonds d</w:t>
      </w:r>
      <w:r w:rsidR="00D82E47" w:rsidRPr="007647EB">
        <w:t>’</w:t>
      </w:r>
      <w:r w:rsidRPr="007647EB">
        <w:t>affectation spéciale général pour l</w:t>
      </w:r>
      <w:r w:rsidR="00D82E47" w:rsidRPr="007647EB">
        <w:t>’</w:t>
      </w:r>
      <w:r w:rsidRPr="007647EB">
        <w:t>exercice biennal 2026-2027</w:t>
      </w:r>
    </w:p>
    <w:p w14:paraId="00AA08C6" w14:textId="77777777" w:rsidR="002B2CBE" w:rsidRPr="007647EB" w:rsidRDefault="002B2CBE" w:rsidP="002B2CBE">
      <w:pPr>
        <w:pStyle w:val="Titletable"/>
        <w:spacing w:after="120"/>
        <w:rPr>
          <w:rFonts w:asciiTheme="majorBidi" w:hAnsiTheme="majorBidi" w:cstheme="majorBidi"/>
          <w:b w:val="0"/>
          <w:bCs w:val="0"/>
        </w:rPr>
      </w:pPr>
      <w:r w:rsidRPr="007647EB">
        <w:rPr>
          <w:b w:val="0"/>
          <w:bCs w:val="0"/>
        </w:rPr>
        <w:t>(En dollars des États-Unis)</w:t>
      </w:r>
    </w:p>
    <w:tbl>
      <w:tblPr>
        <w:tblW w:w="5091" w:type="pct"/>
        <w:jc w:val="right"/>
        <w:tblLayout w:type="fixed"/>
        <w:tblLook w:val="04A0" w:firstRow="1" w:lastRow="0" w:firstColumn="1" w:lastColumn="0" w:noHBand="0" w:noVBand="1"/>
      </w:tblPr>
      <w:tblGrid>
        <w:gridCol w:w="705"/>
        <w:gridCol w:w="2573"/>
        <w:gridCol w:w="1395"/>
        <w:gridCol w:w="1134"/>
        <w:gridCol w:w="1276"/>
        <w:gridCol w:w="1276"/>
        <w:gridCol w:w="1291"/>
        <w:gridCol w:w="10"/>
      </w:tblGrid>
      <w:tr w:rsidR="002B2CBE" w:rsidRPr="007647EB" w14:paraId="5FCD384B" w14:textId="77777777" w:rsidTr="00330D4E">
        <w:trPr>
          <w:gridAfter w:val="1"/>
          <w:wAfter w:w="10" w:type="dxa"/>
          <w:trHeight w:val="680"/>
          <w:tblHeader/>
          <w:jc w:val="right"/>
        </w:trPr>
        <w:tc>
          <w:tcPr>
            <w:tcW w:w="705"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161F3846" w14:textId="77777777" w:rsidR="002B2CBE" w:rsidRPr="007647EB" w:rsidRDefault="002B2CBE" w:rsidP="008123FC">
            <w:pPr>
              <w:pStyle w:val="Normal-pool-Table"/>
              <w:rPr>
                <w:i/>
                <w:iCs/>
                <w:szCs w:val="18"/>
              </w:rPr>
            </w:pPr>
            <w:r w:rsidRPr="007647EB">
              <w:rPr>
                <w:i/>
                <w:iCs/>
                <w:color w:val="000000"/>
                <w:szCs w:val="18"/>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46BE8C94" w14:textId="77777777" w:rsidR="002B2CBE" w:rsidRPr="007647EB" w:rsidRDefault="002B2CBE" w:rsidP="008123FC">
            <w:pPr>
              <w:pStyle w:val="Normal-pool-Table"/>
              <w:rPr>
                <w:i/>
                <w:iCs/>
                <w:szCs w:val="18"/>
              </w:rPr>
            </w:pPr>
            <w:r w:rsidRPr="007647EB">
              <w:rPr>
                <w:i/>
                <w:iCs/>
                <w:color w:val="000000"/>
              </w:rPr>
              <w:t>Partie</w:t>
            </w:r>
          </w:p>
        </w:tc>
        <w:tc>
          <w:tcPr>
            <w:tcW w:w="1395" w:type="dxa"/>
            <w:tcBorders>
              <w:top w:val="single" w:sz="4" w:space="0" w:color="auto"/>
              <w:left w:val="nil"/>
              <w:bottom w:val="single" w:sz="12" w:space="0" w:color="auto"/>
              <w:right w:val="single" w:sz="4" w:space="0" w:color="auto"/>
            </w:tcBorders>
            <w:shd w:val="clear" w:color="000000" w:fill="DBB731"/>
            <w:vAlign w:val="bottom"/>
            <w:hideMark/>
          </w:tcPr>
          <w:p w14:paraId="1723E31F" w14:textId="2D8E7C66" w:rsidR="002B2CBE" w:rsidRPr="007647EB" w:rsidRDefault="002B2CBE" w:rsidP="008123FC">
            <w:pPr>
              <w:pStyle w:val="Normal-pool-Table"/>
              <w:jc w:val="right"/>
              <w:rPr>
                <w:i/>
                <w:iCs/>
                <w:szCs w:val="18"/>
              </w:rPr>
            </w:pPr>
            <w:r w:rsidRPr="007647EB">
              <w:rPr>
                <w:i/>
                <w:iCs/>
                <w:color w:val="000000"/>
              </w:rPr>
              <w:t>Barème des quotes-parts de l</w:t>
            </w:r>
            <w:r w:rsidR="00D82E47" w:rsidRPr="007647EB">
              <w:rPr>
                <w:i/>
                <w:iCs/>
                <w:color w:val="000000"/>
              </w:rPr>
              <w:t>’</w:t>
            </w:r>
            <w:r w:rsidRPr="007647EB">
              <w:rPr>
                <w:i/>
                <w:iCs/>
                <w:color w:val="000000"/>
              </w:rPr>
              <w:t>ONU (%)</w:t>
            </w:r>
          </w:p>
        </w:tc>
        <w:tc>
          <w:tcPr>
            <w:tcW w:w="1134" w:type="dxa"/>
            <w:tcBorders>
              <w:top w:val="single" w:sz="4" w:space="0" w:color="auto"/>
              <w:left w:val="nil"/>
              <w:bottom w:val="single" w:sz="12" w:space="0" w:color="auto"/>
              <w:right w:val="single" w:sz="4" w:space="0" w:color="auto"/>
            </w:tcBorders>
            <w:shd w:val="clear" w:color="000000" w:fill="DBB731"/>
            <w:vAlign w:val="bottom"/>
            <w:hideMark/>
          </w:tcPr>
          <w:p w14:paraId="56CCD3DC" w14:textId="77777777" w:rsidR="002B2CBE" w:rsidRPr="007647EB" w:rsidRDefault="002B2CBE" w:rsidP="008123FC">
            <w:pPr>
              <w:pStyle w:val="Normal-pool-Table"/>
              <w:jc w:val="right"/>
              <w:rPr>
                <w:i/>
                <w:iCs/>
                <w:szCs w:val="18"/>
              </w:rPr>
            </w:pPr>
            <w:r w:rsidRPr="007647EB">
              <w:rPr>
                <w:i/>
                <w:iCs/>
                <w:color w:val="000000"/>
              </w:rPr>
              <w:t>Barème des quotes-parts de la Convention de Minamata (%)</w:t>
            </w:r>
          </w:p>
        </w:tc>
        <w:tc>
          <w:tcPr>
            <w:tcW w:w="1276" w:type="dxa"/>
            <w:tcBorders>
              <w:top w:val="single" w:sz="4" w:space="0" w:color="auto"/>
              <w:left w:val="nil"/>
              <w:bottom w:val="single" w:sz="12" w:space="0" w:color="auto"/>
              <w:right w:val="single" w:sz="4" w:space="0" w:color="auto"/>
            </w:tcBorders>
            <w:shd w:val="clear" w:color="000000" w:fill="DBB731"/>
            <w:vAlign w:val="bottom"/>
            <w:hideMark/>
          </w:tcPr>
          <w:p w14:paraId="0AE87039" w14:textId="77777777" w:rsidR="002B2CBE" w:rsidRPr="007647EB" w:rsidRDefault="002B2CBE" w:rsidP="008123FC">
            <w:pPr>
              <w:pStyle w:val="Normal-pool-Table"/>
              <w:jc w:val="right"/>
              <w:rPr>
                <w:i/>
                <w:iCs/>
                <w:szCs w:val="18"/>
              </w:rPr>
            </w:pPr>
            <w:r w:rsidRPr="007647EB">
              <w:rPr>
                <w:i/>
                <w:iCs/>
                <w:color w:val="000000"/>
              </w:rPr>
              <w:t>Contributions pour 2026</w:t>
            </w:r>
          </w:p>
        </w:tc>
        <w:tc>
          <w:tcPr>
            <w:tcW w:w="1276" w:type="dxa"/>
            <w:tcBorders>
              <w:top w:val="single" w:sz="4" w:space="0" w:color="auto"/>
              <w:left w:val="nil"/>
              <w:bottom w:val="single" w:sz="12" w:space="0" w:color="auto"/>
              <w:right w:val="single" w:sz="4" w:space="0" w:color="auto"/>
            </w:tcBorders>
            <w:shd w:val="clear" w:color="000000" w:fill="DBB731"/>
            <w:vAlign w:val="bottom"/>
            <w:hideMark/>
          </w:tcPr>
          <w:p w14:paraId="1225F142" w14:textId="77777777" w:rsidR="002B2CBE" w:rsidRPr="007647EB" w:rsidRDefault="002B2CBE" w:rsidP="008123FC">
            <w:pPr>
              <w:pStyle w:val="Normal-pool-Table"/>
              <w:jc w:val="right"/>
              <w:rPr>
                <w:i/>
                <w:iCs/>
                <w:szCs w:val="18"/>
              </w:rPr>
            </w:pPr>
            <w:r w:rsidRPr="007647EB">
              <w:rPr>
                <w:i/>
                <w:iCs/>
                <w:color w:val="000000"/>
              </w:rPr>
              <w:t>Contributions pour 2027</w:t>
            </w:r>
          </w:p>
        </w:tc>
        <w:tc>
          <w:tcPr>
            <w:tcW w:w="1291" w:type="dxa"/>
            <w:tcBorders>
              <w:top w:val="single" w:sz="4" w:space="0" w:color="auto"/>
              <w:left w:val="nil"/>
              <w:bottom w:val="single" w:sz="12" w:space="0" w:color="auto"/>
              <w:right w:val="single" w:sz="4" w:space="0" w:color="auto"/>
            </w:tcBorders>
            <w:shd w:val="clear" w:color="000000" w:fill="DBB731"/>
            <w:vAlign w:val="bottom"/>
            <w:hideMark/>
          </w:tcPr>
          <w:p w14:paraId="54A52D71" w14:textId="1AAE2693" w:rsidR="002B2CBE" w:rsidRPr="007647EB" w:rsidRDefault="002B2CBE" w:rsidP="008123FC">
            <w:pPr>
              <w:pStyle w:val="Normal-pool-Table"/>
              <w:jc w:val="right"/>
              <w:rPr>
                <w:i/>
                <w:iCs/>
                <w:szCs w:val="18"/>
              </w:rPr>
            </w:pPr>
            <w:r w:rsidRPr="007647EB">
              <w:rPr>
                <w:i/>
                <w:iCs/>
                <w:color w:val="000000"/>
              </w:rPr>
              <w:t>Total des contributions au fonds d</w:t>
            </w:r>
            <w:r w:rsidR="00D82E47" w:rsidRPr="007647EB">
              <w:rPr>
                <w:i/>
                <w:iCs/>
                <w:color w:val="000000"/>
              </w:rPr>
              <w:t>’</w:t>
            </w:r>
            <w:r w:rsidRPr="007647EB">
              <w:rPr>
                <w:i/>
                <w:iCs/>
                <w:color w:val="000000"/>
              </w:rPr>
              <w:t>affectation spéciale général pour 2026-2027</w:t>
            </w:r>
          </w:p>
        </w:tc>
      </w:tr>
      <w:tr w:rsidR="002B2CBE" w:rsidRPr="007647EB" w14:paraId="09432A34" w14:textId="77777777" w:rsidTr="00330D4E">
        <w:trPr>
          <w:trHeight w:val="300"/>
          <w:jc w:val="right"/>
        </w:trPr>
        <w:tc>
          <w:tcPr>
            <w:tcW w:w="9660" w:type="dxa"/>
            <w:gridSpan w:val="8"/>
            <w:tcBorders>
              <w:top w:val="single" w:sz="12" w:space="0" w:color="auto"/>
              <w:left w:val="single" w:sz="4" w:space="0" w:color="auto"/>
              <w:bottom w:val="single" w:sz="4" w:space="0" w:color="auto"/>
              <w:right w:val="single" w:sz="4" w:space="0" w:color="000000"/>
            </w:tcBorders>
            <w:shd w:val="clear" w:color="000000" w:fill="C5D9F1"/>
            <w:noWrap/>
            <w:hideMark/>
          </w:tcPr>
          <w:p w14:paraId="5EF572D4" w14:textId="7F59D893"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Afrique (44)</w:t>
            </w:r>
          </w:p>
        </w:tc>
      </w:tr>
      <w:tr w:rsidR="006C63A6" w:rsidRPr="007647EB" w14:paraId="37A72CF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D385B35" w14:textId="420A9D03"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60FA7D1" w14:textId="77777777" w:rsidR="006C63A6" w:rsidRPr="007647EB" w:rsidRDefault="006C63A6" w:rsidP="008123FC">
            <w:pPr>
              <w:pStyle w:val="Normal-pool-Table"/>
              <w:rPr>
                <w:szCs w:val="18"/>
              </w:rPr>
            </w:pPr>
            <w:r w:rsidRPr="007647EB">
              <w:rPr>
                <w:color w:val="000000"/>
              </w:rPr>
              <w:t>Afrique du Sud</w:t>
            </w:r>
          </w:p>
        </w:tc>
        <w:tc>
          <w:tcPr>
            <w:tcW w:w="1395" w:type="dxa"/>
            <w:tcBorders>
              <w:top w:val="nil"/>
              <w:left w:val="nil"/>
              <w:bottom w:val="single" w:sz="4" w:space="0" w:color="auto"/>
              <w:right w:val="single" w:sz="4" w:space="0" w:color="auto"/>
            </w:tcBorders>
            <w:noWrap/>
            <w:hideMark/>
          </w:tcPr>
          <w:p w14:paraId="61A5D32B" w14:textId="77777777" w:rsidR="006C63A6" w:rsidRPr="007647EB" w:rsidRDefault="006C63A6" w:rsidP="008123FC">
            <w:pPr>
              <w:pStyle w:val="Normal-pool-Table"/>
              <w:jc w:val="right"/>
              <w:rPr>
                <w:szCs w:val="18"/>
              </w:rPr>
            </w:pPr>
            <w:r w:rsidRPr="007647EB">
              <w:rPr>
                <w:color w:val="000000"/>
              </w:rPr>
              <w:t>0,251</w:t>
            </w:r>
          </w:p>
        </w:tc>
        <w:tc>
          <w:tcPr>
            <w:tcW w:w="1134" w:type="dxa"/>
            <w:tcBorders>
              <w:top w:val="nil"/>
              <w:left w:val="nil"/>
              <w:bottom w:val="single" w:sz="4" w:space="0" w:color="auto"/>
              <w:right w:val="single" w:sz="4" w:space="0" w:color="auto"/>
            </w:tcBorders>
            <w:noWrap/>
            <w:hideMark/>
          </w:tcPr>
          <w:p w14:paraId="31A2F515" w14:textId="77777777" w:rsidR="006C63A6" w:rsidRPr="007647EB" w:rsidRDefault="006C63A6" w:rsidP="008123FC">
            <w:pPr>
              <w:pStyle w:val="Normal-pool-Table"/>
              <w:jc w:val="right"/>
              <w:rPr>
                <w:szCs w:val="18"/>
              </w:rPr>
            </w:pPr>
            <w:r w:rsidRPr="007647EB">
              <w:rPr>
                <w:color w:val="000000"/>
              </w:rPr>
              <w:t>0,2533</w:t>
            </w:r>
          </w:p>
        </w:tc>
        <w:tc>
          <w:tcPr>
            <w:tcW w:w="1276" w:type="dxa"/>
            <w:tcBorders>
              <w:top w:val="nil"/>
              <w:left w:val="nil"/>
              <w:bottom w:val="single" w:sz="4" w:space="0" w:color="auto"/>
              <w:right w:val="single" w:sz="4" w:space="0" w:color="auto"/>
            </w:tcBorders>
            <w:noWrap/>
            <w:hideMark/>
          </w:tcPr>
          <w:p w14:paraId="53A10603" w14:textId="77777777" w:rsidR="006C63A6" w:rsidRPr="007647EB" w:rsidRDefault="006C63A6" w:rsidP="008123FC">
            <w:pPr>
              <w:pStyle w:val="Normal-pool-Table"/>
              <w:jc w:val="right"/>
              <w:rPr>
                <w:szCs w:val="18"/>
              </w:rPr>
            </w:pPr>
            <w:r w:rsidRPr="007647EB">
              <w:rPr>
                <w:color w:val="000000"/>
              </w:rPr>
              <w:t>7 811</w:t>
            </w:r>
          </w:p>
        </w:tc>
        <w:tc>
          <w:tcPr>
            <w:tcW w:w="1276" w:type="dxa"/>
            <w:tcBorders>
              <w:top w:val="nil"/>
              <w:left w:val="nil"/>
              <w:bottom w:val="single" w:sz="4" w:space="0" w:color="auto"/>
              <w:right w:val="single" w:sz="4" w:space="0" w:color="auto"/>
            </w:tcBorders>
            <w:noWrap/>
            <w:hideMark/>
          </w:tcPr>
          <w:p w14:paraId="637083B2" w14:textId="77777777" w:rsidR="006C63A6" w:rsidRPr="007647EB" w:rsidRDefault="006C63A6" w:rsidP="008123FC">
            <w:pPr>
              <w:pStyle w:val="Normal-pool-Table"/>
              <w:jc w:val="right"/>
              <w:rPr>
                <w:szCs w:val="18"/>
              </w:rPr>
            </w:pPr>
            <w:r w:rsidRPr="007647EB">
              <w:rPr>
                <w:color w:val="000000"/>
              </w:rPr>
              <w:t>10 309</w:t>
            </w:r>
          </w:p>
        </w:tc>
        <w:tc>
          <w:tcPr>
            <w:tcW w:w="1291" w:type="dxa"/>
            <w:tcBorders>
              <w:top w:val="nil"/>
              <w:left w:val="nil"/>
              <w:bottom w:val="single" w:sz="4" w:space="0" w:color="auto"/>
              <w:right w:val="single" w:sz="4" w:space="0" w:color="auto"/>
            </w:tcBorders>
            <w:noWrap/>
            <w:hideMark/>
          </w:tcPr>
          <w:p w14:paraId="6E791F00" w14:textId="77777777" w:rsidR="006C63A6" w:rsidRPr="007647EB" w:rsidRDefault="006C63A6" w:rsidP="008123FC">
            <w:pPr>
              <w:pStyle w:val="Normal-pool-Table"/>
              <w:jc w:val="right"/>
              <w:rPr>
                <w:szCs w:val="18"/>
              </w:rPr>
            </w:pPr>
            <w:r w:rsidRPr="007647EB">
              <w:rPr>
                <w:color w:val="000000"/>
              </w:rPr>
              <w:t>18 120</w:t>
            </w:r>
          </w:p>
        </w:tc>
      </w:tr>
      <w:tr w:rsidR="006C63A6" w:rsidRPr="007647EB" w14:paraId="0A5CA806" w14:textId="77777777" w:rsidTr="00330D4E">
        <w:trPr>
          <w:gridAfter w:val="1"/>
          <w:wAfter w:w="10" w:type="dxa"/>
          <w:trHeight w:val="55"/>
          <w:jc w:val="right"/>
        </w:trPr>
        <w:tc>
          <w:tcPr>
            <w:tcW w:w="705" w:type="dxa"/>
            <w:tcBorders>
              <w:top w:val="nil"/>
              <w:left w:val="single" w:sz="4" w:space="0" w:color="auto"/>
              <w:bottom w:val="single" w:sz="4" w:space="0" w:color="auto"/>
              <w:right w:val="single" w:sz="4" w:space="0" w:color="auto"/>
            </w:tcBorders>
            <w:noWrap/>
          </w:tcPr>
          <w:p w14:paraId="23743A20" w14:textId="2C36481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CE69AEB" w14:textId="77777777" w:rsidR="006C63A6" w:rsidRPr="007647EB" w:rsidRDefault="006C63A6" w:rsidP="008123FC">
            <w:pPr>
              <w:pStyle w:val="Normal-pool-Table"/>
              <w:rPr>
                <w:szCs w:val="18"/>
              </w:rPr>
            </w:pPr>
            <w:r w:rsidRPr="007647EB">
              <w:rPr>
                <w:color w:val="000000"/>
              </w:rPr>
              <w:t>Algérie</w:t>
            </w:r>
          </w:p>
        </w:tc>
        <w:tc>
          <w:tcPr>
            <w:tcW w:w="1395" w:type="dxa"/>
            <w:tcBorders>
              <w:top w:val="nil"/>
              <w:left w:val="nil"/>
              <w:bottom w:val="single" w:sz="4" w:space="0" w:color="auto"/>
              <w:right w:val="single" w:sz="4" w:space="0" w:color="auto"/>
            </w:tcBorders>
            <w:noWrap/>
            <w:hideMark/>
          </w:tcPr>
          <w:p w14:paraId="75D1F32C" w14:textId="77777777" w:rsidR="006C63A6" w:rsidRPr="007647EB" w:rsidRDefault="006C63A6" w:rsidP="008123FC">
            <w:pPr>
              <w:pStyle w:val="Normal-pool-Table"/>
              <w:jc w:val="right"/>
              <w:rPr>
                <w:szCs w:val="18"/>
              </w:rPr>
            </w:pPr>
            <w:r w:rsidRPr="007647EB">
              <w:rPr>
                <w:color w:val="000000"/>
              </w:rPr>
              <w:t>0,087</w:t>
            </w:r>
          </w:p>
        </w:tc>
        <w:tc>
          <w:tcPr>
            <w:tcW w:w="1134" w:type="dxa"/>
            <w:tcBorders>
              <w:top w:val="nil"/>
              <w:left w:val="nil"/>
              <w:bottom w:val="single" w:sz="4" w:space="0" w:color="auto"/>
              <w:right w:val="single" w:sz="4" w:space="0" w:color="auto"/>
            </w:tcBorders>
            <w:noWrap/>
            <w:hideMark/>
          </w:tcPr>
          <w:p w14:paraId="126ADBF8" w14:textId="77777777" w:rsidR="006C63A6" w:rsidRPr="007647EB" w:rsidRDefault="006C63A6" w:rsidP="008123FC">
            <w:pPr>
              <w:pStyle w:val="Normal-pool-Table"/>
              <w:jc w:val="right"/>
              <w:rPr>
                <w:szCs w:val="18"/>
              </w:rPr>
            </w:pPr>
            <w:r w:rsidRPr="007647EB">
              <w:rPr>
                <w:color w:val="000000"/>
              </w:rPr>
              <w:t>0,0878</w:t>
            </w:r>
          </w:p>
        </w:tc>
        <w:tc>
          <w:tcPr>
            <w:tcW w:w="1276" w:type="dxa"/>
            <w:tcBorders>
              <w:top w:val="nil"/>
              <w:left w:val="nil"/>
              <w:bottom w:val="single" w:sz="4" w:space="0" w:color="auto"/>
              <w:right w:val="single" w:sz="4" w:space="0" w:color="auto"/>
            </w:tcBorders>
            <w:noWrap/>
            <w:hideMark/>
          </w:tcPr>
          <w:p w14:paraId="28856BAC" w14:textId="77777777" w:rsidR="006C63A6" w:rsidRPr="007647EB" w:rsidRDefault="006C63A6" w:rsidP="008123FC">
            <w:pPr>
              <w:pStyle w:val="Normal-pool-Table"/>
              <w:jc w:val="right"/>
              <w:rPr>
                <w:szCs w:val="18"/>
              </w:rPr>
            </w:pPr>
            <w:r w:rsidRPr="007647EB">
              <w:rPr>
                <w:color w:val="000000"/>
              </w:rPr>
              <w:t>2 707</w:t>
            </w:r>
          </w:p>
        </w:tc>
        <w:tc>
          <w:tcPr>
            <w:tcW w:w="1276" w:type="dxa"/>
            <w:tcBorders>
              <w:top w:val="nil"/>
              <w:left w:val="nil"/>
              <w:bottom w:val="single" w:sz="4" w:space="0" w:color="auto"/>
              <w:right w:val="single" w:sz="4" w:space="0" w:color="auto"/>
            </w:tcBorders>
            <w:noWrap/>
            <w:hideMark/>
          </w:tcPr>
          <w:p w14:paraId="21807044" w14:textId="77777777" w:rsidR="006C63A6" w:rsidRPr="007647EB" w:rsidRDefault="006C63A6" w:rsidP="008123FC">
            <w:pPr>
              <w:pStyle w:val="Normal-pool-Table"/>
              <w:jc w:val="right"/>
              <w:rPr>
                <w:szCs w:val="18"/>
              </w:rPr>
            </w:pPr>
            <w:r w:rsidRPr="007647EB">
              <w:rPr>
                <w:color w:val="000000"/>
              </w:rPr>
              <w:t>3 573</w:t>
            </w:r>
          </w:p>
        </w:tc>
        <w:tc>
          <w:tcPr>
            <w:tcW w:w="1291" w:type="dxa"/>
            <w:tcBorders>
              <w:top w:val="nil"/>
              <w:left w:val="nil"/>
              <w:bottom w:val="single" w:sz="4" w:space="0" w:color="auto"/>
              <w:right w:val="single" w:sz="4" w:space="0" w:color="auto"/>
            </w:tcBorders>
            <w:noWrap/>
            <w:hideMark/>
          </w:tcPr>
          <w:p w14:paraId="575F9ED1" w14:textId="77777777" w:rsidR="006C63A6" w:rsidRPr="007647EB" w:rsidRDefault="006C63A6" w:rsidP="008123FC">
            <w:pPr>
              <w:pStyle w:val="Normal-pool-Table"/>
              <w:jc w:val="right"/>
              <w:rPr>
                <w:szCs w:val="18"/>
              </w:rPr>
            </w:pPr>
            <w:r w:rsidRPr="007647EB">
              <w:rPr>
                <w:color w:val="000000"/>
              </w:rPr>
              <w:t>6 281</w:t>
            </w:r>
          </w:p>
        </w:tc>
      </w:tr>
      <w:tr w:rsidR="006C63A6" w:rsidRPr="007647EB" w14:paraId="2870D48A"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1FA69778" w14:textId="3977950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50D8D4A" w14:textId="77777777" w:rsidR="006C63A6" w:rsidRPr="007647EB" w:rsidRDefault="006C63A6" w:rsidP="008123FC">
            <w:pPr>
              <w:pStyle w:val="Normal-pool-Table"/>
              <w:rPr>
                <w:szCs w:val="18"/>
              </w:rPr>
            </w:pPr>
            <w:r w:rsidRPr="007647EB">
              <w:rPr>
                <w:color w:val="000000"/>
              </w:rPr>
              <w:t>Bénin</w:t>
            </w:r>
          </w:p>
        </w:tc>
        <w:tc>
          <w:tcPr>
            <w:tcW w:w="1395" w:type="dxa"/>
            <w:tcBorders>
              <w:top w:val="nil"/>
              <w:left w:val="nil"/>
              <w:bottom w:val="single" w:sz="4" w:space="0" w:color="auto"/>
              <w:right w:val="single" w:sz="4" w:space="0" w:color="auto"/>
            </w:tcBorders>
            <w:noWrap/>
            <w:hideMark/>
          </w:tcPr>
          <w:p w14:paraId="03F240A7"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7FA7084D"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5F676AC"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B337256"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FB61C85" w14:textId="77777777" w:rsidR="006C63A6" w:rsidRPr="007647EB" w:rsidRDefault="006C63A6" w:rsidP="008123FC">
            <w:pPr>
              <w:pStyle w:val="Normal-pool-Table"/>
              <w:jc w:val="right"/>
              <w:rPr>
                <w:szCs w:val="18"/>
              </w:rPr>
            </w:pPr>
            <w:r w:rsidRPr="007647EB">
              <w:rPr>
                <w:color w:val="000000"/>
              </w:rPr>
              <w:t>715</w:t>
            </w:r>
          </w:p>
        </w:tc>
      </w:tr>
      <w:tr w:rsidR="006C63A6" w:rsidRPr="007647EB" w14:paraId="3F4D5F2F"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0B966AC8" w14:textId="3B9E34F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48B3A6C" w14:textId="77777777" w:rsidR="006C63A6" w:rsidRPr="007647EB" w:rsidRDefault="006C63A6" w:rsidP="008123FC">
            <w:pPr>
              <w:pStyle w:val="Normal-pool-Table"/>
              <w:rPr>
                <w:szCs w:val="18"/>
              </w:rPr>
            </w:pPr>
            <w:r w:rsidRPr="007647EB">
              <w:rPr>
                <w:color w:val="000000"/>
              </w:rPr>
              <w:t>Botswana</w:t>
            </w:r>
          </w:p>
        </w:tc>
        <w:tc>
          <w:tcPr>
            <w:tcW w:w="1395" w:type="dxa"/>
            <w:tcBorders>
              <w:top w:val="nil"/>
              <w:left w:val="nil"/>
              <w:bottom w:val="single" w:sz="4" w:space="0" w:color="auto"/>
              <w:right w:val="single" w:sz="4" w:space="0" w:color="auto"/>
            </w:tcBorders>
            <w:noWrap/>
            <w:hideMark/>
          </w:tcPr>
          <w:p w14:paraId="0C4D0AD1" w14:textId="77777777" w:rsidR="006C63A6" w:rsidRPr="007647EB" w:rsidRDefault="006C63A6" w:rsidP="008123FC">
            <w:pPr>
              <w:pStyle w:val="Normal-pool-Table"/>
              <w:jc w:val="right"/>
              <w:rPr>
                <w:szCs w:val="18"/>
              </w:rPr>
            </w:pPr>
            <w:r w:rsidRPr="007647EB">
              <w:rPr>
                <w:color w:val="000000"/>
              </w:rPr>
              <w:t>0,013</w:t>
            </w:r>
          </w:p>
        </w:tc>
        <w:tc>
          <w:tcPr>
            <w:tcW w:w="1134" w:type="dxa"/>
            <w:tcBorders>
              <w:top w:val="nil"/>
              <w:left w:val="nil"/>
              <w:bottom w:val="single" w:sz="4" w:space="0" w:color="auto"/>
              <w:right w:val="single" w:sz="4" w:space="0" w:color="auto"/>
            </w:tcBorders>
            <w:noWrap/>
            <w:hideMark/>
          </w:tcPr>
          <w:p w14:paraId="02A4B5A4" w14:textId="77777777" w:rsidR="006C63A6" w:rsidRPr="007647EB" w:rsidRDefault="006C63A6" w:rsidP="008123FC">
            <w:pPr>
              <w:pStyle w:val="Normal-pool-Table"/>
              <w:jc w:val="right"/>
              <w:rPr>
                <w:szCs w:val="18"/>
              </w:rPr>
            </w:pPr>
            <w:r w:rsidRPr="007647EB">
              <w:rPr>
                <w:color w:val="000000"/>
              </w:rPr>
              <w:t>0,0131</w:t>
            </w:r>
          </w:p>
        </w:tc>
        <w:tc>
          <w:tcPr>
            <w:tcW w:w="1276" w:type="dxa"/>
            <w:tcBorders>
              <w:top w:val="nil"/>
              <w:left w:val="nil"/>
              <w:bottom w:val="single" w:sz="4" w:space="0" w:color="auto"/>
              <w:right w:val="single" w:sz="4" w:space="0" w:color="auto"/>
            </w:tcBorders>
            <w:noWrap/>
            <w:hideMark/>
          </w:tcPr>
          <w:p w14:paraId="03D91386" w14:textId="77777777" w:rsidR="006C63A6" w:rsidRPr="007647EB" w:rsidRDefault="006C63A6" w:rsidP="008123FC">
            <w:pPr>
              <w:pStyle w:val="Normal-pool-Table"/>
              <w:jc w:val="right"/>
              <w:rPr>
                <w:szCs w:val="18"/>
              </w:rPr>
            </w:pPr>
            <w:r w:rsidRPr="007647EB">
              <w:rPr>
                <w:color w:val="000000"/>
              </w:rPr>
              <w:t>405</w:t>
            </w:r>
          </w:p>
        </w:tc>
        <w:tc>
          <w:tcPr>
            <w:tcW w:w="1276" w:type="dxa"/>
            <w:tcBorders>
              <w:top w:val="nil"/>
              <w:left w:val="nil"/>
              <w:bottom w:val="single" w:sz="4" w:space="0" w:color="auto"/>
              <w:right w:val="single" w:sz="4" w:space="0" w:color="auto"/>
            </w:tcBorders>
            <w:noWrap/>
            <w:hideMark/>
          </w:tcPr>
          <w:p w14:paraId="39CE9EF9" w14:textId="77777777" w:rsidR="006C63A6" w:rsidRPr="007647EB" w:rsidRDefault="006C63A6" w:rsidP="008123FC">
            <w:pPr>
              <w:pStyle w:val="Normal-pool-Table"/>
              <w:jc w:val="right"/>
              <w:rPr>
                <w:szCs w:val="18"/>
              </w:rPr>
            </w:pPr>
            <w:r w:rsidRPr="007647EB">
              <w:rPr>
                <w:color w:val="000000"/>
              </w:rPr>
              <w:t>534</w:t>
            </w:r>
          </w:p>
        </w:tc>
        <w:tc>
          <w:tcPr>
            <w:tcW w:w="1291" w:type="dxa"/>
            <w:tcBorders>
              <w:top w:val="nil"/>
              <w:left w:val="nil"/>
              <w:bottom w:val="single" w:sz="4" w:space="0" w:color="auto"/>
              <w:right w:val="single" w:sz="4" w:space="0" w:color="auto"/>
            </w:tcBorders>
            <w:noWrap/>
            <w:hideMark/>
          </w:tcPr>
          <w:p w14:paraId="46B59622" w14:textId="77777777" w:rsidR="006C63A6" w:rsidRPr="007647EB" w:rsidRDefault="006C63A6" w:rsidP="008123FC">
            <w:pPr>
              <w:pStyle w:val="Normal-pool-Table"/>
              <w:jc w:val="right"/>
              <w:rPr>
                <w:szCs w:val="18"/>
              </w:rPr>
            </w:pPr>
            <w:r w:rsidRPr="007647EB">
              <w:rPr>
                <w:color w:val="000000"/>
              </w:rPr>
              <w:t>938</w:t>
            </w:r>
          </w:p>
        </w:tc>
      </w:tr>
      <w:tr w:rsidR="006C63A6" w:rsidRPr="007647EB" w14:paraId="6A10E735"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164956D5" w14:textId="3F62E3B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694EB2B" w14:textId="77777777" w:rsidR="006C63A6" w:rsidRPr="007647EB" w:rsidRDefault="006C63A6" w:rsidP="008123FC">
            <w:pPr>
              <w:pStyle w:val="Normal-pool-Table"/>
              <w:rPr>
                <w:szCs w:val="18"/>
              </w:rPr>
            </w:pPr>
            <w:r w:rsidRPr="007647EB">
              <w:rPr>
                <w:color w:val="000000"/>
              </w:rPr>
              <w:t>Burkina Faso</w:t>
            </w:r>
          </w:p>
        </w:tc>
        <w:tc>
          <w:tcPr>
            <w:tcW w:w="1395" w:type="dxa"/>
            <w:tcBorders>
              <w:top w:val="nil"/>
              <w:left w:val="nil"/>
              <w:bottom w:val="single" w:sz="4" w:space="0" w:color="auto"/>
              <w:right w:val="single" w:sz="4" w:space="0" w:color="auto"/>
            </w:tcBorders>
            <w:noWrap/>
            <w:hideMark/>
          </w:tcPr>
          <w:p w14:paraId="6A0E9687"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4CB1A4F0"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6117A9B"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79969F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3832AE1" w14:textId="77777777" w:rsidR="006C63A6" w:rsidRPr="007647EB" w:rsidRDefault="006C63A6" w:rsidP="008123FC">
            <w:pPr>
              <w:pStyle w:val="Normal-pool-Table"/>
              <w:jc w:val="right"/>
              <w:rPr>
                <w:szCs w:val="18"/>
              </w:rPr>
            </w:pPr>
            <w:r w:rsidRPr="007647EB">
              <w:rPr>
                <w:color w:val="000000"/>
              </w:rPr>
              <w:t>715</w:t>
            </w:r>
          </w:p>
        </w:tc>
      </w:tr>
      <w:tr w:rsidR="006C63A6" w:rsidRPr="007647EB" w14:paraId="3EABE389"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2582C48E" w14:textId="4FC794B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4BB4F6F" w14:textId="77777777" w:rsidR="006C63A6" w:rsidRPr="007647EB" w:rsidRDefault="006C63A6" w:rsidP="008123FC">
            <w:pPr>
              <w:pStyle w:val="Normal-pool-Table"/>
              <w:rPr>
                <w:szCs w:val="18"/>
              </w:rPr>
            </w:pPr>
            <w:r w:rsidRPr="007647EB">
              <w:rPr>
                <w:color w:val="000000"/>
              </w:rPr>
              <w:t>Burundi</w:t>
            </w:r>
          </w:p>
        </w:tc>
        <w:tc>
          <w:tcPr>
            <w:tcW w:w="1395" w:type="dxa"/>
            <w:tcBorders>
              <w:top w:val="nil"/>
              <w:left w:val="nil"/>
              <w:bottom w:val="single" w:sz="4" w:space="0" w:color="auto"/>
              <w:right w:val="single" w:sz="4" w:space="0" w:color="auto"/>
            </w:tcBorders>
            <w:noWrap/>
            <w:hideMark/>
          </w:tcPr>
          <w:p w14:paraId="40E3129E"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24E0133"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590FE81"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6809A2C"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EA72E67" w14:textId="77777777" w:rsidR="006C63A6" w:rsidRPr="007647EB" w:rsidRDefault="006C63A6" w:rsidP="008123FC">
            <w:pPr>
              <w:pStyle w:val="Normal-pool-Table"/>
              <w:jc w:val="right"/>
              <w:rPr>
                <w:szCs w:val="18"/>
              </w:rPr>
            </w:pPr>
            <w:r w:rsidRPr="007647EB">
              <w:rPr>
                <w:color w:val="000000"/>
              </w:rPr>
              <w:t>715</w:t>
            </w:r>
          </w:p>
        </w:tc>
      </w:tr>
      <w:tr w:rsidR="006C63A6" w:rsidRPr="007647EB" w14:paraId="7D43DBBB"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6344C87F" w14:textId="36A1F0A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0CCA626" w14:textId="77777777" w:rsidR="006C63A6" w:rsidRPr="007647EB" w:rsidRDefault="006C63A6" w:rsidP="008123FC">
            <w:pPr>
              <w:pStyle w:val="Normal-pool-Table"/>
              <w:rPr>
                <w:szCs w:val="18"/>
              </w:rPr>
            </w:pPr>
            <w:r w:rsidRPr="007647EB">
              <w:rPr>
                <w:color w:val="000000"/>
              </w:rPr>
              <w:t>Cameroun</w:t>
            </w:r>
          </w:p>
        </w:tc>
        <w:tc>
          <w:tcPr>
            <w:tcW w:w="1395" w:type="dxa"/>
            <w:tcBorders>
              <w:top w:val="nil"/>
              <w:left w:val="nil"/>
              <w:bottom w:val="single" w:sz="4" w:space="0" w:color="auto"/>
              <w:right w:val="single" w:sz="4" w:space="0" w:color="auto"/>
            </w:tcBorders>
            <w:noWrap/>
            <w:hideMark/>
          </w:tcPr>
          <w:p w14:paraId="260EDCDE" w14:textId="77777777" w:rsidR="006C63A6" w:rsidRPr="007647EB" w:rsidRDefault="006C63A6" w:rsidP="008123FC">
            <w:pPr>
              <w:pStyle w:val="Normal-pool-Table"/>
              <w:jc w:val="right"/>
              <w:rPr>
                <w:szCs w:val="18"/>
              </w:rPr>
            </w:pPr>
            <w:r w:rsidRPr="007647EB">
              <w:rPr>
                <w:color w:val="000000"/>
              </w:rPr>
              <w:t>0,014</w:t>
            </w:r>
          </w:p>
        </w:tc>
        <w:tc>
          <w:tcPr>
            <w:tcW w:w="1134" w:type="dxa"/>
            <w:tcBorders>
              <w:top w:val="nil"/>
              <w:left w:val="nil"/>
              <w:bottom w:val="single" w:sz="4" w:space="0" w:color="auto"/>
              <w:right w:val="single" w:sz="4" w:space="0" w:color="auto"/>
            </w:tcBorders>
            <w:noWrap/>
            <w:hideMark/>
          </w:tcPr>
          <w:p w14:paraId="233BFB0E" w14:textId="77777777" w:rsidR="006C63A6" w:rsidRPr="007647EB" w:rsidRDefault="006C63A6" w:rsidP="008123FC">
            <w:pPr>
              <w:pStyle w:val="Normal-pool-Table"/>
              <w:jc w:val="right"/>
              <w:rPr>
                <w:szCs w:val="18"/>
              </w:rPr>
            </w:pPr>
            <w:r w:rsidRPr="007647EB">
              <w:rPr>
                <w:color w:val="000000"/>
              </w:rPr>
              <w:t>0,0141</w:t>
            </w:r>
          </w:p>
        </w:tc>
        <w:tc>
          <w:tcPr>
            <w:tcW w:w="1276" w:type="dxa"/>
            <w:tcBorders>
              <w:top w:val="nil"/>
              <w:left w:val="nil"/>
              <w:bottom w:val="single" w:sz="4" w:space="0" w:color="auto"/>
              <w:right w:val="single" w:sz="4" w:space="0" w:color="auto"/>
            </w:tcBorders>
            <w:noWrap/>
            <w:hideMark/>
          </w:tcPr>
          <w:p w14:paraId="4F1B09B9" w14:textId="77777777" w:rsidR="006C63A6" w:rsidRPr="007647EB" w:rsidRDefault="006C63A6" w:rsidP="008123FC">
            <w:pPr>
              <w:pStyle w:val="Normal-pool-Table"/>
              <w:jc w:val="right"/>
              <w:rPr>
                <w:szCs w:val="18"/>
              </w:rPr>
            </w:pPr>
            <w:r w:rsidRPr="007647EB">
              <w:rPr>
                <w:color w:val="000000"/>
              </w:rPr>
              <w:t>436</w:t>
            </w:r>
          </w:p>
        </w:tc>
        <w:tc>
          <w:tcPr>
            <w:tcW w:w="1276" w:type="dxa"/>
            <w:tcBorders>
              <w:top w:val="nil"/>
              <w:left w:val="nil"/>
              <w:bottom w:val="single" w:sz="4" w:space="0" w:color="auto"/>
              <w:right w:val="single" w:sz="4" w:space="0" w:color="auto"/>
            </w:tcBorders>
            <w:noWrap/>
            <w:hideMark/>
          </w:tcPr>
          <w:p w14:paraId="5B50DC8A" w14:textId="77777777" w:rsidR="006C63A6" w:rsidRPr="007647EB" w:rsidRDefault="006C63A6" w:rsidP="008123FC">
            <w:pPr>
              <w:pStyle w:val="Normal-pool-Table"/>
              <w:jc w:val="right"/>
              <w:rPr>
                <w:szCs w:val="18"/>
              </w:rPr>
            </w:pPr>
            <w:r w:rsidRPr="007647EB">
              <w:rPr>
                <w:color w:val="000000"/>
              </w:rPr>
              <w:t>575</w:t>
            </w:r>
          </w:p>
        </w:tc>
        <w:tc>
          <w:tcPr>
            <w:tcW w:w="1291" w:type="dxa"/>
            <w:tcBorders>
              <w:top w:val="nil"/>
              <w:left w:val="nil"/>
              <w:bottom w:val="single" w:sz="4" w:space="0" w:color="auto"/>
              <w:right w:val="single" w:sz="4" w:space="0" w:color="auto"/>
            </w:tcBorders>
            <w:noWrap/>
            <w:hideMark/>
          </w:tcPr>
          <w:p w14:paraId="48298E46" w14:textId="77777777" w:rsidR="006C63A6" w:rsidRPr="007647EB" w:rsidRDefault="006C63A6" w:rsidP="008123FC">
            <w:pPr>
              <w:pStyle w:val="Normal-pool-Table"/>
              <w:jc w:val="right"/>
              <w:rPr>
                <w:szCs w:val="18"/>
              </w:rPr>
            </w:pPr>
            <w:r w:rsidRPr="007647EB">
              <w:rPr>
                <w:color w:val="000000"/>
              </w:rPr>
              <w:t>1 011</w:t>
            </w:r>
          </w:p>
        </w:tc>
      </w:tr>
      <w:tr w:rsidR="006C63A6" w:rsidRPr="007647EB" w14:paraId="19082821"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2F51A000" w14:textId="7D99EFE9"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973FEA2" w14:textId="77777777" w:rsidR="006C63A6" w:rsidRPr="007647EB" w:rsidRDefault="006C63A6" w:rsidP="008123FC">
            <w:pPr>
              <w:pStyle w:val="Normal-pool-Table"/>
              <w:rPr>
                <w:szCs w:val="18"/>
              </w:rPr>
            </w:pPr>
            <w:r w:rsidRPr="007647EB">
              <w:rPr>
                <w:color w:val="000000"/>
              </w:rPr>
              <w:t>Comores</w:t>
            </w:r>
          </w:p>
        </w:tc>
        <w:tc>
          <w:tcPr>
            <w:tcW w:w="1395" w:type="dxa"/>
            <w:tcBorders>
              <w:top w:val="nil"/>
              <w:left w:val="nil"/>
              <w:bottom w:val="single" w:sz="4" w:space="0" w:color="auto"/>
              <w:right w:val="single" w:sz="4" w:space="0" w:color="auto"/>
            </w:tcBorders>
            <w:noWrap/>
            <w:hideMark/>
          </w:tcPr>
          <w:p w14:paraId="21FC7681"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D5AEAAF"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3EA21C7"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81E9FD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9E6DF10" w14:textId="77777777" w:rsidR="006C63A6" w:rsidRPr="007647EB" w:rsidRDefault="006C63A6" w:rsidP="008123FC">
            <w:pPr>
              <w:pStyle w:val="Normal-pool-Table"/>
              <w:jc w:val="right"/>
              <w:rPr>
                <w:szCs w:val="18"/>
              </w:rPr>
            </w:pPr>
            <w:r w:rsidRPr="007647EB">
              <w:rPr>
                <w:color w:val="000000"/>
              </w:rPr>
              <w:t>715</w:t>
            </w:r>
          </w:p>
        </w:tc>
      </w:tr>
      <w:tr w:rsidR="006C63A6" w:rsidRPr="007647EB" w14:paraId="5C5F2339"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68F8401E" w14:textId="1595B52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6C0BFB4" w14:textId="77777777" w:rsidR="006C63A6" w:rsidRPr="007647EB" w:rsidRDefault="006C63A6" w:rsidP="008123FC">
            <w:pPr>
              <w:pStyle w:val="Normal-pool-Table"/>
              <w:rPr>
                <w:szCs w:val="18"/>
              </w:rPr>
            </w:pPr>
            <w:r w:rsidRPr="007647EB">
              <w:rPr>
                <w:color w:val="000000"/>
              </w:rPr>
              <w:t>Congo</w:t>
            </w:r>
          </w:p>
        </w:tc>
        <w:tc>
          <w:tcPr>
            <w:tcW w:w="1395" w:type="dxa"/>
            <w:tcBorders>
              <w:top w:val="nil"/>
              <w:left w:val="nil"/>
              <w:bottom w:val="single" w:sz="4" w:space="0" w:color="auto"/>
              <w:right w:val="single" w:sz="4" w:space="0" w:color="auto"/>
            </w:tcBorders>
            <w:noWrap/>
            <w:hideMark/>
          </w:tcPr>
          <w:p w14:paraId="7B871914"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08DA196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20DC8CE"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5DD63BF"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9487938" w14:textId="77777777" w:rsidR="006C63A6" w:rsidRPr="007647EB" w:rsidRDefault="006C63A6" w:rsidP="008123FC">
            <w:pPr>
              <w:pStyle w:val="Normal-pool-Table"/>
              <w:jc w:val="right"/>
              <w:rPr>
                <w:szCs w:val="18"/>
              </w:rPr>
            </w:pPr>
            <w:r w:rsidRPr="007647EB">
              <w:rPr>
                <w:color w:val="000000"/>
              </w:rPr>
              <w:t>715</w:t>
            </w:r>
          </w:p>
        </w:tc>
      </w:tr>
      <w:tr w:rsidR="006C63A6" w:rsidRPr="007647EB" w14:paraId="16C6416B"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48D71F4B" w14:textId="2B538E9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FD85510" w14:textId="2600D701" w:rsidR="006C63A6" w:rsidRPr="007647EB" w:rsidRDefault="006C63A6" w:rsidP="008123FC">
            <w:pPr>
              <w:pStyle w:val="Normal-pool-Table"/>
              <w:rPr>
                <w:szCs w:val="18"/>
              </w:rPr>
            </w:pPr>
            <w:r w:rsidRPr="007647EB">
              <w:rPr>
                <w:color w:val="000000"/>
              </w:rPr>
              <w:t>Côte d</w:t>
            </w:r>
            <w:r w:rsidR="00D82E47" w:rsidRPr="007647EB">
              <w:rPr>
                <w:color w:val="000000"/>
              </w:rPr>
              <w:t>’</w:t>
            </w:r>
            <w:r w:rsidRPr="007647EB">
              <w:rPr>
                <w:color w:val="000000"/>
              </w:rPr>
              <w:t>Ivoire</w:t>
            </w:r>
          </w:p>
        </w:tc>
        <w:tc>
          <w:tcPr>
            <w:tcW w:w="1395" w:type="dxa"/>
            <w:tcBorders>
              <w:top w:val="nil"/>
              <w:left w:val="nil"/>
              <w:bottom w:val="single" w:sz="4" w:space="0" w:color="auto"/>
              <w:right w:val="single" w:sz="4" w:space="0" w:color="auto"/>
            </w:tcBorders>
            <w:noWrap/>
            <w:hideMark/>
          </w:tcPr>
          <w:p w14:paraId="29443855" w14:textId="77777777" w:rsidR="006C63A6" w:rsidRPr="007647EB" w:rsidRDefault="006C63A6" w:rsidP="008123FC">
            <w:pPr>
              <w:pStyle w:val="Normal-pool-Table"/>
              <w:jc w:val="right"/>
              <w:rPr>
                <w:szCs w:val="18"/>
              </w:rPr>
            </w:pPr>
            <w:r w:rsidRPr="007647EB">
              <w:rPr>
                <w:color w:val="000000"/>
              </w:rPr>
              <w:t>0,024</w:t>
            </w:r>
          </w:p>
        </w:tc>
        <w:tc>
          <w:tcPr>
            <w:tcW w:w="1134" w:type="dxa"/>
            <w:tcBorders>
              <w:top w:val="nil"/>
              <w:left w:val="nil"/>
              <w:bottom w:val="single" w:sz="4" w:space="0" w:color="auto"/>
              <w:right w:val="single" w:sz="4" w:space="0" w:color="auto"/>
            </w:tcBorders>
            <w:noWrap/>
            <w:hideMark/>
          </w:tcPr>
          <w:p w14:paraId="3931CF8C" w14:textId="77777777" w:rsidR="006C63A6" w:rsidRPr="007647EB" w:rsidRDefault="006C63A6" w:rsidP="008123FC">
            <w:pPr>
              <w:pStyle w:val="Normal-pool-Table"/>
              <w:jc w:val="right"/>
              <w:rPr>
                <w:szCs w:val="18"/>
              </w:rPr>
            </w:pPr>
            <w:r w:rsidRPr="007647EB">
              <w:rPr>
                <w:color w:val="000000"/>
              </w:rPr>
              <w:t>0,0242</w:t>
            </w:r>
          </w:p>
        </w:tc>
        <w:tc>
          <w:tcPr>
            <w:tcW w:w="1276" w:type="dxa"/>
            <w:tcBorders>
              <w:top w:val="nil"/>
              <w:left w:val="nil"/>
              <w:bottom w:val="single" w:sz="4" w:space="0" w:color="auto"/>
              <w:right w:val="single" w:sz="4" w:space="0" w:color="auto"/>
            </w:tcBorders>
            <w:noWrap/>
            <w:hideMark/>
          </w:tcPr>
          <w:p w14:paraId="46F41051" w14:textId="77777777" w:rsidR="006C63A6" w:rsidRPr="007647EB" w:rsidRDefault="006C63A6" w:rsidP="008123FC">
            <w:pPr>
              <w:pStyle w:val="Normal-pool-Table"/>
              <w:jc w:val="right"/>
              <w:rPr>
                <w:szCs w:val="18"/>
              </w:rPr>
            </w:pPr>
            <w:r w:rsidRPr="007647EB">
              <w:rPr>
                <w:color w:val="000000"/>
              </w:rPr>
              <w:t>747</w:t>
            </w:r>
          </w:p>
        </w:tc>
        <w:tc>
          <w:tcPr>
            <w:tcW w:w="1276" w:type="dxa"/>
            <w:tcBorders>
              <w:top w:val="nil"/>
              <w:left w:val="nil"/>
              <w:bottom w:val="single" w:sz="4" w:space="0" w:color="auto"/>
              <w:right w:val="single" w:sz="4" w:space="0" w:color="auto"/>
            </w:tcBorders>
            <w:noWrap/>
            <w:hideMark/>
          </w:tcPr>
          <w:p w14:paraId="1C22C0D4" w14:textId="77777777" w:rsidR="006C63A6" w:rsidRPr="007647EB" w:rsidRDefault="006C63A6" w:rsidP="008123FC">
            <w:pPr>
              <w:pStyle w:val="Normal-pool-Table"/>
              <w:jc w:val="right"/>
              <w:rPr>
                <w:szCs w:val="18"/>
              </w:rPr>
            </w:pPr>
            <w:r w:rsidRPr="007647EB">
              <w:rPr>
                <w:color w:val="000000"/>
              </w:rPr>
              <w:t>986</w:t>
            </w:r>
          </w:p>
        </w:tc>
        <w:tc>
          <w:tcPr>
            <w:tcW w:w="1291" w:type="dxa"/>
            <w:tcBorders>
              <w:top w:val="nil"/>
              <w:left w:val="nil"/>
              <w:bottom w:val="single" w:sz="4" w:space="0" w:color="auto"/>
              <w:right w:val="single" w:sz="4" w:space="0" w:color="auto"/>
            </w:tcBorders>
            <w:noWrap/>
            <w:hideMark/>
          </w:tcPr>
          <w:p w14:paraId="7C4C50D7" w14:textId="77777777" w:rsidR="006C63A6" w:rsidRPr="007647EB" w:rsidRDefault="006C63A6" w:rsidP="008123FC">
            <w:pPr>
              <w:pStyle w:val="Normal-pool-Table"/>
              <w:jc w:val="right"/>
              <w:rPr>
                <w:szCs w:val="18"/>
              </w:rPr>
            </w:pPr>
            <w:r w:rsidRPr="007647EB">
              <w:rPr>
                <w:color w:val="000000"/>
              </w:rPr>
              <w:t>1 733</w:t>
            </w:r>
          </w:p>
        </w:tc>
      </w:tr>
      <w:tr w:rsidR="006C63A6" w:rsidRPr="007647EB" w14:paraId="5285D50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EC85C58" w14:textId="3F91B5C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78B77D4" w14:textId="77777777" w:rsidR="006C63A6" w:rsidRPr="007647EB" w:rsidRDefault="006C63A6" w:rsidP="008123FC">
            <w:pPr>
              <w:pStyle w:val="Normal-pool-Table"/>
              <w:rPr>
                <w:szCs w:val="18"/>
              </w:rPr>
            </w:pPr>
            <w:r w:rsidRPr="007647EB">
              <w:rPr>
                <w:color w:val="000000"/>
              </w:rPr>
              <w:t>Djibouti</w:t>
            </w:r>
          </w:p>
        </w:tc>
        <w:tc>
          <w:tcPr>
            <w:tcW w:w="1395" w:type="dxa"/>
            <w:tcBorders>
              <w:top w:val="nil"/>
              <w:left w:val="nil"/>
              <w:bottom w:val="single" w:sz="4" w:space="0" w:color="auto"/>
              <w:right w:val="single" w:sz="4" w:space="0" w:color="auto"/>
            </w:tcBorders>
            <w:noWrap/>
            <w:hideMark/>
          </w:tcPr>
          <w:p w14:paraId="3C80F461"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3A2C0A86"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69C95FD"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032E68D"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BC36852" w14:textId="77777777" w:rsidR="006C63A6" w:rsidRPr="007647EB" w:rsidRDefault="006C63A6" w:rsidP="008123FC">
            <w:pPr>
              <w:pStyle w:val="Normal-pool-Table"/>
              <w:jc w:val="right"/>
              <w:rPr>
                <w:szCs w:val="18"/>
              </w:rPr>
            </w:pPr>
            <w:r w:rsidRPr="007647EB">
              <w:rPr>
                <w:color w:val="000000"/>
              </w:rPr>
              <w:t>715</w:t>
            </w:r>
          </w:p>
        </w:tc>
      </w:tr>
      <w:tr w:rsidR="006C63A6" w:rsidRPr="007647EB" w14:paraId="139DA9E1"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7349469A" w14:textId="53F88B3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D266779" w14:textId="77777777" w:rsidR="006C63A6" w:rsidRPr="007647EB" w:rsidRDefault="006C63A6" w:rsidP="008123FC">
            <w:pPr>
              <w:pStyle w:val="Normal-pool-Table"/>
              <w:rPr>
                <w:szCs w:val="18"/>
              </w:rPr>
            </w:pPr>
            <w:r w:rsidRPr="007647EB">
              <w:rPr>
                <w:color w:val="000000"/>
              </w:rPr>
              <w:t>Érythrée</w:t>
            </w:r>
          </w:p>
        </w:tc>
        <w:tc>
          <w:tcPr>
            <w:tcW w:w="1395" w:type="dxa"/>
            <w:tcBorders>
              <w:top w:val="nil"/>
              <w:left w:val="nil"/>
              <w:bottom w:val="single" w:sz="4" w:space="0" w:color="auto"/>
              <w:right w:val="single" w:sz="4" w:space="0" w:color="auto"/>
            </w:tcBorders>
            <w:noWrap/>
            <w:hideMark/>
          </w:tcPr>
          <w:p w14:paraId="255C6B98"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598698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314580D"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E82AA8F"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5D626DC" w14:textId="77777777" w:rsidR="006C63A6" w:rsidRPr="007647EB" w:rsidRDefault="006C63A6" w:rsidP="008123FC">
            <w:pPr>
              <w:pStyle w:val="Normal-pool-Table"/>
              <w:jc w:val="right"/>
              <w:rPr>
                <w:szCs w:val="18"/>
              </w:rPr>
            </w:pPr>
            <w:r w:rsidRPr="007647EB">
              <w:rPr>
                <w:color w:val="000000"/>
              </w:rPr>
              <w:t>715</w:t>
            </w:r>
          </w:p>
        </w:tc>
      </w:tr>
      <w:tr w:rsidR="006C63A6" w:rsidRPr="007647EB" w14:paraId="4A59953F"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228ADC0E" w14:textId="01015543"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428CB38" w14:textId="77777777" w:rsidR="006C63A6" w:rsidRPr="007647EB" w:rsidRDefault="006C63A6" w:rsidP="008123FC">
            <w:pPr>
              <w:pStyle w:val="Normal-pool-Table"/>
              <w:rPr>
                <w:szCs w:val="18"/>
              </w:rPr>
            </w:pPr>
            <w:r w:rsidRPr="007647EB">
              <w:rPr>
                <w:color w:val="000000"/>
              </w:rPr>
              <w:t>Eswatini</w:t>
            </w:r>
          </w:p>
        </w:tc>
        <w:tc>
          <w:tcPr>
            <w:tcW w:w="1395" w:type="dxa"/>
            <w:tcBorders>
              <w:top w:val="nil"/>
              <w:left w:val="nil"/>
              <w:bottom w:val="single" w:sz="4" w:space="0" w:color="auto"/>
              <w:right w:val="single" w:sz="4" w:space="0" w:color="auto"/>
            </w:tcBorders>
            <w:noWrap/>
            <w:hideMark/>
          </w:tcPr>
          <w:p w14:paraId="6C08FDC8"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2FFCC4B6"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F13590E"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44C26E1"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87C79CE" w14:textId="77777777" w:rsidR="006C63A6" w:rsidRPr="007647EB" w:rsidRDefault="006C63A6" w:rsidP="008123FC">
            <w:pPr>
              <w:pStyle w:val="Normal-pool-Table"/>
              <w:jc w:val="right"/>
              <w:rPr>
                <w:szCs w:val="18"/>
              </w:rPr>
            </w:pPr>
            <w:r w:rsidRPr="007647EB">
              <w:rPr>
                <w:color w:val="000000"/>
              </w:rPr>
              <w:t>715</w:t>
            </w:r>
          </w:p>
        </w:tc>
      </w:tr>
      <w:tr w:rsidR="006C63A6" w:rsidRPr="007647EB" w14:paraId="361502E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9BF81AD" w14:textId="2B30991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2DECA59" w14:textId="77777777" w:rsidR="006C63A6" w:rsidRPr="007647EB" w:rsidRDefault="006C63A6" w:rsidP="008123FC">
            <w:pPr>
              <w:pStyle w:val="Normal-pool-Table"/>
              <w:rPr>
                <w:szCs w:val="18"/>
              </w:rPr>
            </w:pPr>
            <w:r w:rsidRPr="007647EB">
              <w:rPr>
                <w:color w:val="000000"/>
              </w:rPr>
              <w:t>Éthiopie</w:t>
            </w:r>
          </w:p>
        </w:tc>
        <w:tc>
          <w:tcPr>
            <w:tcW w:w="1395" w:type="dxa"/>
            <w:tcBorders>
              <w:top w:val="nil"/>
              <w:left w:val="nil"/>
              <w:bottom w:val="single" w:sz="4" w:space="0" w:color="auto"/>
              <w:right w:val="single" w:sz="4" w:space="0" w:color="auto"/>
            </w:tcBorders>
            <w:noWrap/>
            <w:hideMark/>
          </w:tcPr>
          <w:p w14:paraId="6805A5E0"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3BB971CB"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544F5668"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02B2AF93"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1C063B13" w14:textId="77777777" w:rsidR="006C63A6" w:rsidRPr="007647EB" w:rsidRDefault="006C63A6" w:rsidP="008123FC">
            <w:pPr>
              <w:pStyle w:val="Normal-pool-Table"/>
              <w:jc w:val="right"/>
              <w:rPr>
                <w:szCs w:val="18"/>
              </w:rPr>
            </w:pPr>
            <w:r w:rsidRPr="007647EB">
              <w:rPr>
                <w:color w:val="000000"/>
              </w:rPr>
              <w:t>722</w:t>
            </w:r>
          </w:p>
        </w:tc>
      </w:tr>
      <w:tr w:rsidR="006C63A6" w:rsidRPr="007647EB" w14:paraId="3F6C417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F1C13FB" w14:textId="026F136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375E65" w14:textId="77777777" w:rsidR="006C63A6" w:rsidRPr="007647EB" w:rsidRDefault="006C63A6" w:rsidP="008123FC">
            <w:pPr>
              <w:pStyle w:val="Normal-pool-Table"/>
              <w:rPr>
                <w:szCs w:val="18"/>
              </w:rPr>
            </w:pPr>
            <w:r w:rsidRPr="007647EB">
              <w:rPr>
                <w:color w:val="000000"/>
              </w:rPr>
              <w:t>Gabon</w:t>
            </w:r>
          </w:p>
        </w:tc>
        <w:tc>
          <w:tcPr>
            <w:tcW w:w="1395" w:type="dxa"/>
            <w:tcBorders>
              <w:top w:val="nil"/>
              <w:left w:val="nil"/>
              <w:bottom w:val="single" w:sz="4" w:space="0" w:color="auto"/>
              <w:right w:val="single" w:sz="4" w:space="0" w:color="auto"/>
            </w:tcBorders>
            <w:noWrap/>
            <w:hideMark/>
          </w:tcPr>
          <w:p w14:paraId="0E2D3D35" w14:textId="77777777" w:rsidR="006C63A6" w:rsidRPr="007647EB" w:rsidRDefault="006C63A6"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7891DF09" w14:textId="77777777" w:rsidR="006C63A6" w:rsidRPr="007647EB" w:rsidRDefault="006C63A6"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0F2652BC" w14:textId="77777777" w:rsidR="006C63A6" w:rsidRPr="007647EB" w:rsidRDefault="006C63A6"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4C40B084" w14:textId="77777777" w:rsidR="006C63A6" w:rsidRPr="007647EB" w:rsidRDefault="006C63A6"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68C096F6" w14:textId="77777777" w:rsidR="006C63A6" w:rsidRPr="007647EB" w:rsidRDefault="006C63A6" w:rsidP="008123FC">
            <w:pPr>
              <w:pStyle w:val="Normal-pool-Table"/>
              <w:jc w:val="right"/>
              <w:rPr>
                <w:szCs w:val="18"/>
              </w:rPr>
            </w:pPr>
            <w:r w:rsidRPr="007647EB">
              <w:rPr>
                <w:color w:val="000000"/>
              </w:rPr>
              <w:t>794</w:t>
            </w:r>
          </w:p>
        </w:tc>
      </w:tr>
      <w:tr w:rsidR="006C63A6" w:rsidRPr="007647EB" w14:paraId="23ED299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196EB8" w14:textId="7A4927C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B94A8E" w14:textId="77777777" w:rsidR="006C63A6" w:rsidRPr="007647EB" w:rsidRDefault="006C63A6" w:rsidP="008123FC">
            <w:pPr>
              <w:pStyle w:val="Normal-pool-Table"/>
              <w:rPr>
                <w:szCs w:val="18"/>
              </w:rPr>
            </w:pPr>
            <w:r w:rsidRPr="007647EB">
              <w:rPr>
                <w:color w:val="000000"/>
              </w:rPr>
              <w:t>Gambie</w:t>
            </w:r>
          </w:p>
        </w:tc>
        <w:tc>
          <w:tcPr>
            <w:tcW w:w="1395" w:type="dxa"/>
            <w:tcBorders>
              <w:top w:val="nil"/>
              <w:left w:val="nil"/>
              <w:bottom w:val="single" w:sz="4" w:space="0" w:color="auto"/>
              <w:right w:val="single" w:sz="4" w:space="0" w:color="auto"/>
            </w:tcBorders>
            <w:noWrap/>
            <w:hideMark/>
          </w:tcPr>
          <w:p w14:paraId="106E0EE4"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93E0A7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C24FFBB"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27363C2"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FC6AD25" w14:textId="77777777" w:rsidR="006C63A6" w:rsidRPr="007647EB" w:rsidRDefault="006C63A6" w:rsidP="008123FC">
            <w:pPr>
              <w:pStyle w:val="Normal-pool-Table"/>
              <w:jc w:val="right"/>
              <w:rPr>
                <w:szCs w:val="18"/>
              </w:rPr>
            </w:pPr>
            <w:r w:rsidRPr="007647EB">
              <w:rPr>
                <w:color w:val="000000"/>
              </w:rPr>
              <w:t>715</w:t>
            </w:r>
          </w:p>
        </w:tc>
      </w:tr>
      <w:tr w:rsidR="006C63A6" w:rsidRPr="007647EB" w14:paraId="51784EE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C61DC86" w14:textId="63880A6C"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155E9E1" w14:textId="77777777" w:rsidR="006C63A6" w:rsidRPr="007647EB" w:rsidRDefault="006C63A6" w:rsidP="008123FC">
            <w:pPr>
              <w:pStyle w:val="Normal-pool-Table"/>
              <w:rPr>
                <w:szCs w:val="18"/>
              </w:rPr>
            </w:pPr>
            <w:r w:rsidRPr="007647EB">
              <w:rPr>
                <w:color w:val="000000"/>
              </w:rPr>
              <w:t>Ghana</w:t>
            </w:r>
          </w:p>
        </w:tc>
        <w:tc>
          <w:tcPr>
            <w:tcW w:w="1395" w:type="dxa"/>
            <w:tcBorders>
              <w:top w:val="nil"/>
              <w:left w:val="nil"/>
              <w:bottom w:val="single" w:sz="4" w:space="0" w:color="auto"/>
              <w:right w:val="single" w:sz="4" w:space="0" w:color="auto"/>
            </w:tcBorders>
            <w:noWrap/>
            <w:hideMark/>
          </w:tcPr>
          <w:p w14:paraId="47FA377A" w14:textId="77777777" w:rsidR="006C63A6" w:rsidRPr="007647EB" w:rsidRDefault="006C63A6" w:rsidP="008123FC">
            <w:pPr>
              <w:pStyle w:val="Normal-pool-Table"/>
              <w:jc w:val="right"/>
              <w:rPr>
                <w:szCs w:val="18"/>
              </w:rPr>
            </w:pPr>
            <w:r w:rsidRPr="007647EB">
              <w:rPr>
                <w:color w:val="000000"/>
              </w:rPr>
              <w:t>0,025</w:t>
            </w:r>
          </w:p>
        </w:tc>
        <w:tc>
          <w:tcPr>
            <w:tcW w:w="1134" w:type="dxa"/>
            <w:tcBorders>
              <w:top w:val="nil"/>
              <w:left w:val="nil"/>
              <w:bottom w:val="single" w:sz="4" w:space="0" w:color="auto"/>
              <w:right w:val="single" w:sz="4" w:space="0" w:color="auto"/>
            </w:tcBorders>
            <w:noWrap/>
            <w:hideMark/>
          </w:tcPr>
          <w:p w14:paraId="652F1BE2" w14:textId="77777777" w:rsidR="006C63A6" w:rsidRPr="007647EB" w:rsidRDefault="006C63A6" w:rsidP="008123FC">
            <w:pPr>
              <w:pStyle w:val="Normal-pool-Table"/>
              <w:jc w:val="right"/>
              <w:rPr>
                <w:szCs w:val="18"/>
              </w:rPr>
            </w:pPr>
            <w:r w:rsidRPr="007647EB">
              <w:rPr>
                <w:color w:val="000000"/>
              </w:rPr>
              <w:t>0,0252</w:t>
            </w:r>
          </w:p>
        </w:tc>
        <w:tc>
          <w:tcPr>
            <w:tcW w:w="1276" w:type="dxa"/>
            <w:tcBorders>
              <w:top w:val="nil"/>
              <w:left w:val="nil"/>
              <w:bottom w:val="single" w:sz="4" w:space="0" w:color="auto"/>
              <w:right w:val="single" w:sz="4" w:space="0" w:color="auto"/>
            </w:tcBorders>
            <w:noWrap/>
            <w:hideMark/>
          </w:tcPr>
          <w:p w14:paraId="5B4DA1C3" w14:textId="77777777" w:rsidR="006C63A6" w:rsidRPr="007647EB" w:rsidRDefault="006C63A6" w:rsidP="008123FC">
            <w:pPr>
              <w:pStyle w:val="Normal-pool-Table"/>
              <w:jc w:val="right"/>
              <w:rPr>
                <w:szCs w:val="18"/>
              </w:rPr>
            </w:pPr>
            <w:r w:rsidRPr="007647EB">
              <w:rPr>
                <w:color w:val="000000"/>
              </w:rPr>
              <w:t>778</w:t>
            </w:r>
          </w:p>
        </w:tc>
        <w:tc>
          <w:tcPr>
            <w:tcW w:w="1276" w:type="dxa"/>
            <w:tcBorders>
              <w:top w:val="nil"/>
              <w:left w:val="nil"/>
              <w:bottom w:val="single" w:sz="4" w:space="0" w:color="auto"/>
              <w:right w:val="single" w:sz="4" w:space="0" w:color="auto"/>
            </w:tcBorders>
            <w:noWrap/>
            <w:hideMark/>
          </w:tcPr>
          <w:p w14:paraId="4C43AEEC" w14:textId="77777777" w:rsidR="006C63A6" w:rsidRPr="007647EB" w:rsidRDefault="006C63A6" w:rsidP="008123FC">
            <w:pPr>
              <w:pStyle w:val="Normal-pool-Table"/>
              <w:jc w:val="right"/>
              <w:rPr>
                <w:szCs w:val="18"/>
              </w:rPr>
            </w:pPr>
            <w:r w:rsidRPr="007647EB">
              <w:rPr>
                <w:color w:val="000000"/>
              </w:rPr>
              <w:t>1 027</w:t>
            </w:r>
          </w:p>
        </w:tc>
        <w:tc>
          <w:tcPr>
            <w:tcW w:w="1291" w:type="dxa"/>
            <w:tcBorders>
              <w:top w:val="nil"/>
              <w:left w:val="nil"/>
              <w:bottom w:val="single" w:sz="4" w:space="0" w:color="auto"/>
              <w:right w:val="single" w:sz="4" w:space="0" w:color="auto"/>
            </w:tcBorders>
            <w:noWrap/>
            <w:hideMark/>
          </w:tcPr>
          <w:p w14:paraId="5B9A81F4" w14:textId="77777777" w:rsidR="006C63A6" w:rsidRPr="007647EB" w:rsidRDefault="006C63A6" w:rsidP="008123FC">
            <w:pPr>
              <w:pStyle w:val="Normal-pool-Table"/>
              <w:jc w:val="right"/>
              <w:rPr>
                <w:szCs w:val="18"/>
              </w:rPr>
            </w:pPr>
            <w:r w:rsidRPr="007647EB">
              <w:rPr>
                <w:color w:val="000000"/>
              </w:rPr>
              <w:t>1 805</w:t>
            </w:r>
          </w:p>
        </w:tc>
      </w:tr>
      <w:tr w:rsidR="006C63A6" w:rsidRPr="007647EB" w14:paraId="5853160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F779E8E" w14:textId="7504B39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B0A6E9F" w14:textId="77777777" w:rsidR="006C63A6" w:rsidRPr="007647EB" w:rsidRDefault="006C63A6" w:rsidP="008123FC">
            <w:pPr>
              <w:pStyle w:val="Normal-pool-Table"/>
              <w:rPr>
                <w:szCs w:val="18"/>
              </w:rPr>
            </w:pPr>
            <w:r w:rsidRPr="007647EB">
              <w:rPr>
                <w:color w:val="000000"/>
              </w:rPr>
              <w:t>Guinée</w:t>
            </w:r>
          </w:p>
        </w:tc>
        <w:tc>
          <w:tcPr>
            <w:tcW w:w="1395" w:type="dxa"/>
            <w:tcBorders>
              <w:top w:val="nil"/>
              <w:left w:val="nil"/>
              <w:bottom w:val="single" w:sz="4" w:space="0" w:color="auto"/>
              <w:right w:val="single" w:sz="4" w:space="0" w:color="auto"/>
            </w:tcBorders>
            <w:noWrap/>
            <w:hideMark/>
          </w:tcPr>
          <w:p w14:paraId="5A42BD13" w14:textId="77777777" w:rsidR="006C63A6" w:rsidRPr="007647EB" w:rsidRDefault="006C63A6"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4D5C70B9"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E5D357B"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8D9AC71"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1B92F2A" w14:textId="77777777" w:rsidR="006C63A6" w:rsidRPr="007647EB" w:rsidRDefault="006C63A6" w:rsidP="008123FC">
            <w:pPr>
              <w:pStyle w:val="Normal-pool-Table"/>
              <w:jc w:val="right"/>
              <w:rPr>
                <w:szCs w:val="18"/>
              </w:rPr>
            </w:pPr>
            <w:r w:rsidRPr="007647EB">
              <w:rPr>
                <w:color w:val="000000"/>
              </w:rPr>
              <w:t>715</w:t>
            </w:r>
          </w:p>
        </w:tc>
      </w:tr>
      <w:tr w:rsidR="006C63A6" w:rsidRPr="007647EB" w14:paraId="72EB8D80"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0680039A" w14:textId="506B7AD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816D93F" w14:textId="77777777" w:rsidR="006C63A6" w:rsidRPr="007647EB" w:rsidRDefault="006C63A6" w:rsidP="008123FC">
            <w:pPr>
              <w:pStyle w:val="Normal-pool-Table"/>
              <w:rPr>
                <w:szCs w:val="18"/>
              </w:rPr>
            </w:pPr>
            <w:r w:rsidRPr="007647EB">
              <w:rPr>
                <w:color w:val="000000"/>
              </w:rPr>
              <w:t>Guinée équatoriale</w:t>
            </w:r>
          </w:p>
        </w:tc>
        <w:tc>
          <w:tcPr>
            <w:tcW w:w="1395" w:type="dxa"/>
            <w:tcBorders>
              <w:top w:val="nil"/>
              <w:left w:val="nil"/>
              <w:bottom w:val="single" w:sz="4" w:space="0" w:color="auto"/>
              <w:right w:val="single" w:sz="4" w:space="0" w:color="auto"/>
            </w:tcBorders>
            <w:noWrap/>
            <w:hideMark/>
          </w:tcPr>
          <w:p w14:paraId="1F994FD5" w14:textId="77777777" w:rsidR="006C63A6" w:rsidRPr="007647EB" w:rsidRDefault="006C63A6" w:rsidP="008123FC">
            <w:pPr>
              <w:pStyle w:val="Normal-pool-Table"/>
              <w:jc w:val="right"/>
              <w:rPr>
                <w:szCs w:val="18"/>
              </w:rPr>
            </w:pPr>
            <w:r w:rsidRPr="007647EB">
              <w:rPr>
                <w:color w:val="000000"/>
              </w:rPr>
              <w:t>0,008</w:t>
            </w:r>
          </w:p>
        </w:tc>
        <w:tc>
          <w:tcPr>
            <w:tcW w:w="1134" w:type="dxa"/>
            <w:tcBorders>
              <w:top w:val="nil"/>
              <w:left w:val="nil"/>
              <w:bottom w:val="single" w:sz="4" w:space="0" w:color="auto"/>
              <w:right w:val="single" w:sz="4" w:space="0" w:color="auto"/>
            </w:tcBorders>
            <w:noWrap/>
            <w:hideMark/>
          </w:tcPr>
          <w:p w14:paraId="5798614A"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BD93598"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26E9B64D"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F0376A5" w14:textId="77777777" w:rsidR="006C63A6" w:rsidRPr="007647EB" w:rsidRDefault="006C63A6" w:rsidP="008123FC">
            <w:pPr>
              <w:pStyle w:val="Normal-pool-Table"/>
              <w:jc w:val="right"/>
              <w:rPr>
                <w:szCs w:val="18"/>
              </w:rPr>
            </w:pPr>
            <w:r w:rsidRPr="007647EB">
              <w:rPr>
                <w:color w:val="000000"/>
              </w:rPr>
              <w:t>715</w:t>
            </w:r>
          </w:p>
        </w:tc>
      </w:tr>
      <w:tr w:rsidR="006C63A6" w:rsidRPr="007647EB" w14:paraId="1F11815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1A0678D" w14:textId="46540D54"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1B17666" w14:textId="77777777" w:rsidR="006C63A6" w:rsidRPr="007647EB" w:rsidRDefault="006C63A6" w:rsidP="008123FC">
            <w:pPr>
              <w:pStyle w:val="Normal-pool-Table"/>
              <w:rPr>
                <w:szCs w:val="18"/>
              </w:rPr>
            </w:pPr>
            <w:r w:rsidRPr="007647EB">
              <w:rPr>
                <w:color w:val="000000"/>
              </w:rPr>
              <w:t>Guinée-Bissau</w:t>
            </w:r>
          </w:p>
        </w:tc>
        <w:tc>
          <w:tcPr>
            <w:tcW w:w="1395" w:type="dxa"/>
            <w:tcBorders>
              <w:top w:val="nil"/>
              <w:left w:val="nil"/>
              <w:bottom w:val="single" w:sz="4" w:space="0" w:color="auto"/>
              <w:right w:val="single" w:sz="4" w:space="0" w:color="auto"/>
            </w:tcBorders>
            <w:noWrap/>
            <w:hideMark/>
          </w:tcPr>
          <w:p w14:paraId="6017E94A"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05DAB9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48D061D"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1307833"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B802B80" w14:textId="77777777" w:rsidR="006C63A6" w:rsidRPr="007647EB" w:rsidRDefault="006C63A6" w:rsidP="008123FC">
            <w:pPr>
              <w:pStyle w:val="Normal-pool-Table"/>
              <w:jc w:val="right"/>
              <w:rPr>
                <w:szCs w:val="18"/>
              </w:rPr>
            </w:pPr>
            <w:r w:rsidRPr="007647EB">
              <w:rPr>
                <w:color w:val="000000"/>
              </w:rPr>
              <w:t>715</w:t>
            </w:r>
          </w:p>
        </w:tc>
      </w:tr>
      <w:tr w:rsidR="006C63A6" w:rsidRPr="007647EB" w14:paraId="6466D47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D9C27D8" w14:textId="21902217"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AB1749D" w14:textId="77777777" w:rsidR="006C63A6" w:rsidRPr="007647EB" w:rsidRDefault="006C63A6" w:rsidP="008123FC">
            <w:pPr>
              <w:pStyle w:val="Normal-pool-Table"/>
              <w:rPr>
                <w:szCs w:val="18"/>
              </w:rPr>
            </w:pPr>
            <w:r w:rsidRPr="007647EB">
              <w:rPr>
                <w:color w:val="000000"/>
              </w:rPr>
              <w:t>Kenya</w:t>
            </w:r>
          </w:p>
        </w:tc>
        <w:tc>
          <w:tcPr>
            <w:tcW w:w="1395" w:type="dxa"/>
            <w:tcBorders>
              <w:top w:val="nil"/>
              <w:left w:val="nil"/>
              <w:bottom w:val="single" w:sz="4" w:space="0" w:color="auto"/>
              <w:right w:val="single" w:sz="4" w:space="0" w:color="auto"/>
            </w:tcBorders>
            <w:noWrap/>
            <w:hideMark/>
          </w:tcPr>
          <w:p w14:paraId="34D3A1A6" w14:textId="77777777" w:rsidR="006C63A6" w:rsidRPr="007647EB" w:rsidRDefault="006C63A6" w:rsidP="008123FC">
            <w:pPr>
              <w:pStyle w:val="Normal-pool-Table"/>
              <w:jc w:val="right"/>
              <w:rPr>
                <w:szCs w:val="18"/>
              </w:rPr>
            </w:pPr>
            <w:r w:rsidRPr="007647EB">
              <w:rPr>
                <w:color w:val="000000"/>
              </w:rPr>
              <w:t>0,037</w:t>
            </w:r>
          </w:p>
        </w:tc>
        <w:tc>
          <w:tcPr>
            <w:tcW w:w="1134" w:type="dxa"/>
            <w:tcBorders>
              <w:top w:val="nil"/>
              <w:left w:val="nil"/>
              <w:bottom w:val="single" w:sz="4" w:space="0" w:color="auto"/>
              <w:right w:val="single" w:sz="4" w:space="0" w:color="auto"/>
            </w:tcBorders>
            <w:noWrap/>
            <w:hideMark/>
          </w:tcPr>
          <w:p w14:paraId="35ED2563" w14:textId="77777777" w:rsidR="006C63A6" w:rsidRPr="007647EB" w:rsidRDefault="006C63A6" w:rsidP="008123FC">
            <w:pPr>
              <w:pStyle w:val="Normal-pool-Table"/>
              <w:jc w:val="right"/>
              <w:rPr>
                <w:szCs w:val="18"/>
              </w:rPr>
            </w:pPr>
            <w:r w:rsidRPr="007647EB">
              <w:rPr>
                <w:color w:val="000000"/>
              </w:rPr>
              <w:t>0,0373</w:t>
            </w:r>
          </w:p>
        </w:tc>
        <w:tc>
          <w:tcPr>
            <w:tcW w:w="1276" w:type="dxa"/>
            <w:tcBorders>
              <w:top w:val="nil"/>
              <w:left w:val="nil"/>
              <w:bottom w:val="single" w:sz="4" w:space="0" w:color="auto"/>
              <w:right w:val="single" w:sz="4" w:space="0" w:color="auto"/>
            </w:tcBorders>
            <w:noWrap/>
            <w:hideMark/>
          </w:tcPr>
          <w:p w14:paraId="65C016C3" w14:textId="77777777" w:rsidR="006C63A6" w:rsidRPr="007647EB" w:rsidRDefault="006C63A6" w:rsidP="008123FC">
            <w:pPr>
              <w:pStyle w:val="Normal-pool-Table"/>
              <w:jc w:val="right"/>
              <w:rPr>
                <w:szCs w:val="18"/>
              </w:rPr>
            </w:pPr>
            <w:r w:rsidRPr="007647EB">
              <w:rPr>
                <w:color w:val="000000"/>
              </w:rPr>
              <w:t>1 151</w:t>
            </w:r>
          </w:p>
        </w:tc>
        <w:tc>
          <w:tcPr>
            <w:tcW w:w="1276" w:type="dxa"/>
            <w:tcBorders>
              <w:top w:val="nil"/>
              <w:left w:val="nil"/>
              <w:bottom w:val="single" w:sz="4" w:space="0" w:color="auto"/>
              <w:right w:val="single" w:sz="4" w:space="0" w:color="auto"/>
            </w:tcBorders>
            <w:noWrap/>
            <w:hideMark/>
          </w:tcPr>
          <w:p w14:paraId="153621D7" w14:textId="77777777" w:rsidR="006C63A6" w:rsidRPr="007647EB" w:rsidRDefault="006C63A6" w:rsidP="008123FC">
            <w:pPr>
              <w:pStyle w:val="Normal-pool-Table"/>
              <w:jc w:val="right"/>
              <w:rPr>
                <w:szCs w:val="18"/>
              </w:rPr>
            </w:pPr>
            <w:r w:rsidRPr="007647EB">
              <w:rPr>
                <w:color w:val="000000"/>
              </w:rPr>
              <w:t>1 520</w:t>
            </w:r>
          </w:p>
        </w:tc>
        <w:tc>
          <w:tcPr>
            <w:tcW w:w="1291" w:type="dxa"/>
            <w:tcBorders>
              <w:top w:val="nil"/>
              <w:left w:val="nil"/>
              <w:bottom w:val="single" w:sz="4" w:space="0" w:color="auto"/>
              <w:right w:val="single" w:sz="4" w:space="0" w:color="auto"/>
            </w:tcBorders>
            <w:noWrap/>
            <w:hideMark/>
          </w:tcPr>
          <w:p w14:paraId="58BCF744" w14:textId="77777777" w:rsidR="006C63A6" w:rsidRPr="007647EB" w:rsidRDefault="006C63A6" w:rsidP="008123FC">
            <w:pPr>
              <w:pStyle w:val="Normal-pool-Table"/>
              <w:jc w:val="right"/>
              <w:rPr>
                <w:szCs w:val="18"/>
              </w:rPr>
            </w:pPr>
            <w:r w:rsidRPr="007647EB">
              <w:rPr>
                <w:color w:val="000000"/>
              </w:rPr>
              <w:t>2 671</w:t>
            </w:r>
          </w:p>
        </w:tc>
      </w:tr>
      <w:tr w:rsidR="006C63A6" w:rsidRPr="007647EB" w14:paraId="427C8B0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7F13D6E" w14:textId="31788647"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CE9640" w14:textId="77777777" w:rsidR="006C63A6" w:rsidRPr="007647EB" w:rsidRDefault="006C63A6" w:rsidP="008123FC">
            <w:pPr>
              <w:pStyle w:val="Normal-pool-Table"/>
              <w:rPr>
                <w:szCs w:val="18"/>
              </w:rPr>
            </w:pPr>
            <w:r w:rsidRPr="007647EB">
              <w:rPr>
                <w:color w:val="000000"/>
              </w:rPr>
              <w:t>Lesotho</w:t>
            </w:r>
          </w:p>
        </w:tc>
        <w:tc>
          <w:tcPr>
            <w:tcW w:w="1395" w:type="dxa"/>
            <w:tcBorders>
              <w:top w:val="nil"/>
              <w:left w:val="nil"/>
              <w:bottom w:val="single" w:sz="4" w:space="0" w:color="auto"/>
              <w:right w:val="single" w:sz="4" w:space="0" w:color="auto"/>
            </w:tcBorders>
            <w:noWrap/>
            <w:hideMark/>
          </w:tcPr>
          <w:p w14:paraId="7C6707AA"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79DEC9C"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08AED3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CBB614D"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B90864A" w14:textId="77777777" w:rsidR="006C63A6" w:rsidRPr="007647EB" w:rsidRDefault="006C63A6" w:rsidP="008123FC">
            <w:pPr>
              <w:pStyle w:val="Normal-pool-Table"/>
              <w:jc w:val="right"/>
              <w:rPr>
                <w:szCs w:val="18"/>
              </w:rPr>
            </w:pPr>
            <w:r w:rsidRPr="007647EB">
              <w:rPr>
                <w:color w:val="000000"/>
              </w:rPr>
              <w:t>715</w:t>
            </w:r>
          </w:p>
        </w:tc>
      </w:tr>
      <w:tr w:rsidR="006C63A6" w:rsidRPr="007647EB" w14:paraId="723799F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EDF2E4" w14:textId="77C414E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98BF7E2" w14:textId="77777777" w:rsidR="006C63A6" w:rsidRPr="007647EB" w:rsidRDefault="006C63A6" w:rsidP="008123FC">
            <w:pPr>
              <w:pStyle w:val="Normal-pool-Table"/>
              <w:rPr>
                <w:szCs w:val="18"/>
              </w:rPr>
            </w:pPr>
            <w:r w:rsidRPr="007647EB">
              <w:rPr>
                <w:color w:val="000000"/>
              </w:rPr>
              <w:t>Libéria</w:t>
            </w:r>
          </w:p>
        </w:tc>
        <w:tc>
          <w:tcPr>
            <w:tcW w:w="1395" w:type="dxa"/>
            <w:tcBorders>
              <w:top w:val="nil"/>
              <w:left w:val="nil"/>
              <w:bottom w:val="single" w:sz="4" w:space="0" w:color="auto"/>
              <w:right w:val="single" w:sz="4" w:space="0" w:color="auto"/>
            </w:tcBorders>
            <w:noWrap/>
            <w:hideMark/>
          </w:tcPr>
          <w:p w14:paraId="19B177E3"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85110B0"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8FA05E1"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AC06FB0"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389A2CF" w14:textId="77777777" w:rsidR="006C63A6" w:rsidRPr="007647EB" w:rsidRDefault="006C63A6" w:rsidP="008123FC">
            <w:pPr>
              <w:pStyle w:val="Normal-pool-Table"/>
              <w:jc w:val="right"/>
              <w:rPr>
                <w:szCs w:val="18"/>
              </w:rPr>
            </w:pPr>
            <w:r w:rsidRPr="007647EB">
              <w:rPr>
                <w:color w:val="000000"/>
              </w:rPr>
              <w:t>715</w:t>
            </w:r>
          </w:p>
        </w:tc>
      </w:tr>
      <w:tr w:rsidR="006C63A6" w:rsidRPr="007647EB" w14:paraId="4E2FADA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A199BF9" w14:textId="3863BEB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3818F2D" w14:textId="77777777" w:rsidR="006C63A6" w:rsidRPr="007647EB" w:rsidRDefault="006C63A6" w:rsidP="008123FC">
            <w:pPr>
              <w:pStyle w:val="Normal-pool-Table"/>
              <w:rPr>
                <w:szCs w:val="18"/>
              </w:rPr>
            </w:pPr>
            <w:r w:rsidRPr="007647EB">
              <w:rPr>
                <w:color w:val="000000"/>
              </w:rPr>
              <w:t>Madagascar</w:t>
            </w:r>
          </w:p>
        </w:tc>
        <w:tc>
          <w:tcPr>
            <w:tcW w:w="1395" w:type="dxa"/>
            <w:tcBorders>
              <w:top w:val="nil"/>
              <w:left w:val="nil"/>
              <w:bottom w:val="single" w:sz="4" w:space="0" w:color="auto"/>
              <w:right w:val="single" w:sz="4" w:space="0" w:color="auto"/>
            </w:tcBorders>
            <w:noWrap/>
            <w:hideMark/>
          </w:tcPr>
          <w:p w14:paraId="3C5E8485" w14:textId="77777777" w:rsidR="006C63A6" w:rsidRPr="007647EB" w:rsidRDefault="006C63A6"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110EAD9F"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B27754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3CB917E"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399611F" w14:textId="77777777" w:rsidR="006C63A6" w:rsidRPr="007647EB" w:rsidRDefault="006C63A6" w:rsidP="008123FC">
            <w:pPr>
              <w:pStyle w:val="Normal-pool-Table"/>
              <w:jc w:val="right"/>
              <w:rPr>
                <w:szCs w:val="18"/>
              </w:rPr>
            </w:pPr>
            <w:r w:rsidRPr="007647EB">
              <w:rPr>
                <w:color w:val="000000"/>
              </w:rPr>
              <w:t>715</w:t>
            </w:r>
          </w:p>
        </w:tc>
      </w:tr>
      <w:tr w:rsidR="006C63A6" w:rsidRPr="007647EB" w14:paraId="145F623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6253C14" w14:textId="65981445"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D7E9A64" w14:textId="77777777" w:rsidR="006C63A6" w:rsidRPr="007647EB" w:rsidRDefault="006C63A6" w:rsidP="008123FC">
            <w:pPr>
              <w:pStyle w:val="Normal-pool-Table"/>
              <w:rPr>
                <w:szCs w:val="18"/>
              </w:rPr>
            </w:pPr>
            <w:r w:rsidRPr="007647EB">
              <w:rPr>
                <w:color w:val="000000"/>
              </w:rPr>
              <w:t>Malawi</w:t>
            </w:r>
          </w:p>
        </w:tc>
        <w:tc>
          <w:tcPr>
            <w:tcW w:w="1395" w:type="dxa"/>
            <w:tcBorders>
              <w:top w:val="nil"/>
              <w:left w:val="nil"/>
              <w:bottom w:val="single" w:sz="4" w:space="0" w:color="auto"/>
              <w:right w:val="single" w:sz="4" w:space="0" w:color="auto"/>
            </w:tcBorders>
            <w:noWrap/>
            <w:hideMark/>
          </w:tcPr>
          <w:p w14:paraId="6CF5C0F9" w14:textId="77777777" w:rsidR="006C63A6" w:rsidRPr="007647EB" w:rsidRDefault="006C63A6" w:rsidP="008123FC">
            <w:pPr>
              <w:pStyle w:val="Normal-pool-Table"/>
              <w:jc w:val="right"/>
              <w:rPr>
                <w:szCs w:val="18"/>
              </w:rPr>
            </w:pPr>
            <w:r w:rsidRPr="007647EB">
              <w:rPr>
                <w:color w:val="000000"/>
              </w:rPr>
              <w:t>0,003</w:t>
            </w:r>
          </w:p>
        </w:tc>
        <w:tc>
          <w:tcPr>
            <w:tcW w:w="1134" w:type="dxa"/>
            <w:tcBorders>
              <w:top w:val="nil"/>
              <w:left w:val="nil"/>
              <w:bottom w:val="single" w:sz="4" w:space="0" w:color="auto"/>
              <w:right w:val="single" w:sz="4" w:space="0" w:color="auto"/>
            </w:tcBorders>
            <w:noWrap/>
            <w:hideMark/>
          </w:tcPr>
          <w:p w14:paraId="2AF8F7B6"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C43C04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E3468B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BA21728" w14:textId="77777777" w:rsidR="006C63A6" w:rsidRPr="007647EB" w:rsidRDefault="006C63A6" w:rsidP="008123FC">
            <w:pPr>
              <w:pStyle w:val="Normal-pool-Table"/>
              <w:jc w:val="right"/>
              <w:rPr>
                <w:szCs w:val="18"/>
              </w:rPr>
            </w:pPr>
            <w:r w:rsidRPr="007647EB">
              <w:rPr>
                <w:color w:val="000000"/>
              </w:rPr>
              <w:t>715</w:t>
            </w:r>
          </w:p>
        </w:tc>
      </w:tr>
      <w:tr w:rsidR="006C63A6" w:rsidRPr="007647EB" w14:paraId="691C028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47245B" w14:textId="164E9833"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64A8B22" w14:textId="77777777" w:rsidR="006C63A6" w:rsidRPr="007647EB" w:rsidRDefault="006C63A6" w:rsidP="008123FC">
            <w:pPr>
              <w:pStyle w:val="Normal-pool-Table"/>
              <w:rPr>
                <w:szCs w:val="18"/>
              </w:rPr>
            </w:pPr>
            <w:r w:rsidRPr="007647EB">
              <w:rPr>
                <w:color w:val="000000"/>
              </w:rPr>
              <w:t>Mali</w:t>
            </w:r>
          </w:p>
        </w:tc>
        <w:tc>
          <w:tcPr>
            <w:tcW w:w="1395" w:type="dxa"/>
            <w:tcBorders>
              <w:top w:val="nil"/>
              <w:left w:val="nil"/>
              <w:bottom w:val="single" w:sz="4" w:space="0" w:color="auto"/>
              <w:right w:val="single" w:sz="4" w:space="0" w:color="auto"/>
            </w:tcBorders>
            <w:noWrap/>
            <w:hideMark/>
          </w:tcPr>
          <w:p w14:paraId="74C8432F"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41C645E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E73A07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4E05D0F"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E5EE24B" w14:textId="77777777" w:rsidR="006C63A6" w:rsidRPr="007647EB" w:rsidRDefault="006C63A6" w:rsidP="008123FC">
            <w:pPr>
              <w:pStyle w:val="Normal-pool-Table"/>
              <w:jc w:val="right"/>
              <w:rPr>
                <w:szCs w:val="18"/>
              </w:rPr>
            </w:pPr>
            <w:r w:rsidRPr="007647EB">
              <w:rPr>
                <w:color w:val="000000"/>
              </w:rPr>
              <w:t>715</w:t>
            </w:r>
          </w:p>
        </w:tc>
      </w:tr>
      <w:tr w:rsidR="006C63A6" w:rsidRPr="007647EB" w14:paraId="61C32CB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29ADAF9" w14:textId="60319D0A"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9CF770C" w14:textId="77777777" w:rsidR="006C63A6" w:rsidRPr="007647EB" w:rsidRDefault="006C63A6" w:rsidP="008123FC">
            <w:pPr>
              <w:pStyle w:val="Normal-pool-Table"/>
              <w:rPr>
                <w:szCs w:val="18"/>
              </w:rPr>
            </w:pPr>
            <w:r w:rsidRPr="007647EB">
              <w:rPr>
                <w:color w:val="000000"/>
              </w:rPr>
              <w:t>Maurice</w:t>
            </w:r>
          </w:p>
        </w:tc>
        <w:tc>
          <w:tcPr>
            <w:tcW w:w="1395" w:type="dxa"/>
            <w:tcBorders>
              <w:top w:val="nil"/>
              <w:left w:val="nil"/>
              <w:bottom w:val="single" w:sz="4" w:space="0" w:color="auto"/>
              <w:right w:val="single" w:sz="4" w:space="0" w:color="auto"/>
            </w:tcBorders>
            <w:noWrap/>
            <w:hideMark/>
          </w:tcPr>
          <w:p w14:paraId="6716D31C"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71ADCB82"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33654179"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4E8D938D"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286264D6" w14:textId="77777777" w:rsidR="006C63A6" w:rsidRPr="007647EB" w:rsidRDefault="006C63A6" w:rsidP="008123FC">
            <w:pPr>
              <w:pStyle w:val="Normal-pool-Table"/>
              <w:jc w:val="right"/>
              <w:rPr>
                <w:szCs w:val="18"/>
              </w:rPr>
            </w:pPr>
            <w:r w:rsidRPr="007647EB">
              <w:rPr>
                <w:color w:val="000000"/>
              </w:rPr>
              <w:t>722</w:t>
            </w:r>
          </w:p>
        </w:tc>
      </w:tr>
      <w:tr w:rsidR="006C63A6" w:rsidRPr="007647EB" w14:paraId="5522945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796A965" w14:textId="6A62718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9ED3D6B" w14:textId="77777777" w:rsidR="006C63A6" w:rsidRPr="007647EB" w:rsidRDefault="006C63A6" w:rsidP="008123FC">
            <w:pPr>
              <w:pStyle w:val="Normal-pool-Table"/>
              <w:rPr>
                <w:szCs w:val="18"/>
              </w:rPr>
            </w:pPr>
            <w:r w:rsidRPr="007647EB">
              <w:rPr>
                <w:color w:val="000000"/>
              </w:rPr>
              <w:t>Mauritanie</w:t>
            </w:r>
          </w:p>
        </w:tc>
        <w:tc>
          <w:tcPr>
            <w:tcW w:w="1395" w:type="dxa"/>
            <w:tcBorders>
              <w:top w:val="nil"/>
              <w:left w:val="nil"/>
              <w:bottom w:val="single" w:sz="4" w:space="0" w:color="auto"/>
              <w:right w:val="single" w:sz="4" w:space="0" w:color="auto"/>
            </w:tcBorders>
            <w:noWrap/>
            <w:hideMark/>
          </w:tcPr>
          <w:p w14:paraId="6D59EE69" w14:textId="77777777" w:rsidR="006C63A6" w:rsidRPr="007647EB" w:rsidRDefault="006C63A6" w:rsidP="008123FC">
            <w:pPr>
              <w:pStyle w:val="Normal-pool-Table"/>
              <w:jc w:val="right"/>
              <w:rPr>
                <w:szCs w:val="18"/>
              </w:rPr>
            </w:pPr>
            <w:r w:rsidRPr="007647EB">
              <w:rPr>
                <w:color w:val="000000"/>
              </w:rPr>
              <w:t>0,003</w:t>
            </w:r>
          </w:p>
        </w:tc>
        <w:tc>
          <w:tcPr>
            <w:tcW w:w="1134" w:type="dxa"/>
            <w:tcBorders>
              <w:top w:val="nil"/>
              <w:left w:val="nil"/>
              <w:bottom w:val="single" w:sz="4" w:space="0" w:color="auto"/>
              <w:right w:val="single" w:sz="4" w:space="0" w:color="auto"/>
            </w:tcBorders>
            <w:noWrap/>
            <w:hideMark/>
          </w:tcPr>
          <w:p w14:paraId="2E1C295B"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96B619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78C06BE"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1EB90E5" w14:textId="77777777" w:rsidR="006C63A6" w:rsidRPr="007647EB" w:rsidRDefault="006C63A6" w:rsidP="008123FC">
            <w:pPr>
              <w:pStyle w:val="Normal-pool-Table"/>
              <w:jc w:val="right"/>
              <w:rPr>
                <w:szCs w:val="18"/>
              </w:rPr>
            </w:pPr>
            <w:r w:rsidRPr="007647EB">
              <w:rPr>
                <w:color w:val="000000"/>
              </w:rPr>
              <w:t>715</w:t>
            </w:r>
          </w:p>
        </w:tc>
      </w:tr>
      <w:tr w:rsidR="006C63A6" w:rsidRPr="007647EB" w14:paraId="78F84C1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A247DE" w14:textId="5DAA53A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EABDD33" w14:textId="77777777" w:rsidR="006C63A6" w:rsidRPr="007647EB" w:rsidRDefault="006C63A6" w:rsidP="008123FC">
            <w:pPr>
              <w:pStyle w:val="Normal-pool-Table"/>
              <w:rPr>
                <w:szCs w:val="18"/>
              </w:rPr>
            </w:pPr>
            <w:r w:rsidRPr="007647EB">
              <w:rPr>
                <w:color w:val="000000"/>
              </w:rPr>
              <w:t>Mozambique</w:t>
            </w:r>
          </w:p>
        </w:tc>
        <w:tc>
          <w:tcPr>
            <w:tcW w:w="1395" w:type="dxa"/>
            <w:tcBorders>
              <w:top w:val="nil"/>
              <w:left w:val="nil"/>
              <w:bottom w:val="single" w:sz="4" w:space="0" w:color="auto"/>
              <w:right w:val="single" w:sz="4" w:space="0" w:color="auto"/>
            </w:tcBorders>
            <w:noWrap/>
            <w:hideMark/>
          </w:tcPr>
          <w:p w14:paraId="1251C74B"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665752F3"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F1611C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CB5403C"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06E0D12" w14:textId="77777777" w:rsidR="006C63A6" w:rsidRPr="007647EB" w:rsidRDefault="006C63A6" w:rsidP="008123FC">
            <w:pPr>
              <w:pStyle w:val="Normal-pool-Table"/>
              <w:jc w:val="right"/>
              <w:rPr>
                <w:szCs w:val="18"/>
              </w:rPr>
            </w:pPr>
            <w:r w:rsidRPr="007647EB">
              <w:rPr>
                <w:color w:val="000000"/>
              </w:rPr>
              <w:t>715</w:t>
            </w:r>
          </w:p>
        </w:tc>
      </w:tr>
      <w:tr w:rsidR="006C63A6" w:rsidRPr="007647EB" w14:paraId="6B1CE81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88D2045" w14:textId="6A5756E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91BDD33" w14:textId="77777777" w:rsidR="006C63A6" w:rsidRPr="007647EB" w:rsidRDefault="006C63A6" w:rsidP="008123FC">
            <w:pPr>
              <w:pStyle w:val="Normal-pool-Table"/>
              <w:rPr>
                <w:szCs w:val="18"/>
              </w:rPr>
            </w:pPr>
            <w:r w:rsidRPr="007647EB">
              <w:rPr>
                <w:color w:val="000000"/>
              </w:rPr>
              <w:t>Namibie</w:t>
            </w:r>
          </w:p>
        </w:tc>
        <w:tc>
          <w:tcPr>
            <w:tcW w:w="1395" w:type="dxa"/>
            <w:tcBorders>
              <w:top w:val="nil"/>
              <w:left w:val="nil"/>
              <w:bottom w:val="single" w:sz="4" w:space="0" w:color="auto"/>
              <w:right w:val="single" w:sz="4" w:space="0" w:color="auto"/>
            </w:tcBorders>
            <w:noWrap/>
            <w:hideMark/>
          </w:tcPr>
          <w:p w14:paraId="0D0190BF" w14:textId="77777777" w:rsidR="006C63A6" w:rsidRPr="007647EB" w:rsidRDefault="006C63A6"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101AB11A"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B08F16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1212C9E"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0B99885" w14:textId="77777777" w:rsidR="006C63A6" w:rsidRPr="007647EB" w:rsidRDefault="006C63A6" w:rsidP="008123FC">
            <w:pPr>
              <w:pStyle w:val="Normal-pool-Table"/>
              <w:jc w:val="right"/>
              <w:rPr>
                <w:szCs w:val="18"/>
              </w:rPr>
            </w:pPr>
            <w:r w:rsidRPr="007647EB">
              <w:rPr>
                <w:color w:val="000000"/>
              </w:rPr>
              <w:t>715</w:t>
            </w:r>
          </w:p>
        </w:tc>
      </w:tr>
      <w:tr w:rsidR="006C63A6" w:rsidRPr="007647EB" w14:paraId="32F3CF5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F0119B8" w14:textId="33ADA8B8"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84478FD" w14:textId="77777777" w:rsidR="006C63A6" w:rsidRPr="007647EB" w:rsidRDefault="006C63A6" w:rsidP="008123FC">
            <w:pPr>
              <w:pStyle w:val="Normal-pool-Table"/>
              <w:rPr>
                <w:szCs w:val="18"/>
              </w:rPr>
            </w:pPr>
            <w:r w:rsidRPr="007647EB">
              <w:rPr>
                <w:color w:val="000000"/>
              </w:rPr>
              <w:t>Niger</w:t>
            </w:r>
          </w:p>
        </w:tc>
        <w:tc>
          <w:tcPr>
            <w:tcW w:w="1395" w:type="dxa"/>
            <w:tcBorders>
              <w:top w:val="nil"/>
              <w:left w:val="nil"/>
              <w:bottom w:val="single" w:sz="4" w:space="0" w:color="auto"/>
              <w:right w:val="single" w:sz="4" w:space="0" w:color="auto"/>
            </w:tcBorders>
            <w:noWrap/>
            <w:hideMark/>
          </w:tcPr>
          <w:p w14:paraId="75E2773F" w14:textId="77777777" w:rsidR="006C63A6" w:rsidRPr="007647EB" w:rsidRDefault="006C63A6"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0C05971D"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D82E450"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17DB46B"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E7F412A" w14:textId="77777777" w:rsidR="006C63A6" w:rsidRPr="007647EB" w:rsidRDefault="006C63A6" w:rsidP="008123FC">
            <w:pPr>
              <w:pStyle w:val="Normal-pool-Table"/>
              <w:jc w:val="right"/>
              <w:rPr>
                <w:szCs w:val="18"/>
              </w:rPr>
            </w:pPr>
            <w:r w:rsidRPr="007647EB">
              <w:rPr>
                <w:color w:val="000000"/>
              </w:rPr>
              <w:t>715</w:t>
            </w:r>
          </w:p>
        </w:tc>
      </w:tr>
      <w:tr w:rsidR="006C63A6" w:rsidRPr="007647EB" w14:paraId="7F08D05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E66D3DD" w14:textId="282E7BA7"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9DA9E26" w14:textId="77777777" w:rsidR="006C63A6" w:rsidRPr="007647EB" w:rsidRDefault="006C63A6" w:rsidP="008123FC">
            <w:pPr>
              <w:pStyle w:val="Normal-pool-Table"/>
              <w:rPr>
                <w:szCs w:val="18"/>
              </w:rPr>
            </w:pPr>
            <w:r w:rsidRPr="007647EB">
              <w:rPr>
                <w:color w:val="000000"/>
              </w:rPr>
              <w:t>Nigéria</w:t>
            </w:r>
          </w:p>
        </w:tc>
        <w:tc>
          <w:tcPr>
            <w:tcW w:w="1395" w:type="dxa"/>
            <w:tcBorders>
              <w:top w:val="nil"/>
              <w:left w:val="nil"/>
              <w:bottom w:val="single" w:sz="4" w:space="0" w:color="auto"/>
              <w:right w:val="single" w:sz="4" w:space="0" w:color="auto"/>
            </w:tcBorders>
            <w:noWrap/>
            <w:hideMark/>
          </w:tcPr>
          <w:p w14:paraId="32F201FB" w14:textId="77777777" w:rsidR="006C63A6" w:rsidRPr="007647EB" w:rsidRDefault="006C63A6" w:rsidP="008123FC">
            <w:pPr>
              <w:pStyle w:val="Normal-pool-Table"/>
              <w:jc w:val="right"/>
              <w:rPr>
                <w:szCs w:val="18"/>
              </w:rPr>
            </w:pPr>
            <w:r w:rsidRPr="007647EB">
              <w:rPr>
                <w:color w:val="000000"/>
              </w:rPr>
              <w:t>0,15</w:t>
            </w:r>
          </w:p>
        </w:tc>
        <w:tc>
          <w:tcPr>
            <w:tcW w:w="1134" w:type="dxa"/>
            <w:tcBorders>
              <w:top w:val="nil"/>
              <w:left w:val="nil"/>
              <w:bottom w:val="single" w:sz="4" w:space="0" w:color="auto"/>
              <w:right w:val="single" w:sz="4" w:space="0" w:color="auto"/>
            </w:tcBorders>
            <w:noWrap/>
            <w:hideMark/>
          </w:tcPr>
          <w:p w14:paraId="0942BC6D" w14:textId="77777777" w:rsidR="006C63A6" w:rsidRPr="007647EB" w:rsidRDefault="006C63A6" w:rsidP="008123FC">
            <w:pPr>
              <w:pStyle w:val="Normal-pool-Table"/>
              <w:jc w:val="right"/>
              <w:rPr>
                <w:szCs w:val="18"/>
              </w:rPr>
            </w:pPr>
            <w:r w:rsidRPr="007647EB">
              <w:rPr>
                <w:color w:val="000000"/>
              </w:rPr>
              <w:t>0,1514</w:t>
            </w:r>
          </w:p>
        </w:tc>
        <w:tc>
          <w:tcPr>
            <w:tcW w:w="1276" w:type="dxa"/>
            <w:tcBorders>
              <w:top w:val="nil"/>
              <w:left w:val="nil"/>
              <w:bottom w:val="single" w:sz="4" w:space="0" w:color="auto"/>
              <w:right w:val="single" w:sz="4" w:space="0" w:color="auto"/>
            </w:tcBorders>
            <w:noWrap/>
            <w:hideMark/>
          </w:tcPr>
          <w:p w14:paraId="60434496" w14:textId="77777777" w:rsidR="006C63A6" w:rsidRPr="007647EB" w:rsidRDefault="006C63A6" w:rsidP="008123FC">
            <w:pPr>
              <w:pStyle w:val="Normal-pool-Table"/>
              <w:jc w:val="right"/>
              <w:rPr>
                <w:szCs w:val="18"/>
              </w:rPr>
            </w:pPr>
            <w:r w:rsidRPr="007647EB">
              <w:rPr>
                <w:color w:val="000000"/>
              </w:rPr>
              <w:t>4 668</w:t>
            </w:r>
          </w:p>
        </w:tc>
        <w:tc>
          <w:tcPr>
            <w:tcW w:w="1276" w:type="dxa"/>
            <w:tcBorders>
              <w:top w:val="nil"/>
              <w:left w:val="nil"/>
              <w:bottom w:val="single" w:sz="4" w:space="0" w:color="auto"/>
              <w:right w:val="single" w:sz="4" w:space="0" w:color="auto"/>
            </w:tcBorders>
            <w:noWrap/>
            <w:hideMark/>
          </w:tcPr>
          <w:p w14:paraId="0FAB2807" w14:textId="77777777" w:rsidR="006C63A6" w:rsidRPr="007647EB" w:rsidRDefault="006C63A6" w:rsidP="008123FC">
            <w:pPr>
              <w:pStyle w:val="Normal-pool-Table"/>
              <w:jc w:val="right"/>
              <w:rPr>
                <w:szCs w:val="18"/>
              </w:rPr>
            </w:pPr>
            <w:r w:rsidRPr="007647EB">
              <w:rPr>
                <w:color w:val="000000"/>
              </w:rPr>
              <w:t>6 161</w:t>
            </w:r>
          </w:p>
        </w:tc>
        <w:tc>
          <w:tcPr>
            <w:tcW w:w="1291" w:type="dxa"/>
            <w:tcBorders>
              <w:top w:val="nil"/>
              <w:left w:val="nil"/>
              <w:bottom w:val="single" w:sz="4" w:space="0" w:color="auto"/>
              <w:right w:val="single" w:sz="4" w:space="0" w:color="auto"/>
            </w:tcBorders>
            <w:noWrap/>
            <w:hideMark/>
          </w:tcPr>
          <w:p w14:paraId="342B5FD9" w14:textId="77777777" w:rsidR="006C63A6" w:rsidRPr="007647EB" w:rsidRDefault="006C63A6" w:rsidP="008123FC">
            <w:pPr>
              <w:pStyle w:val="Normal-pool-Table"/>
              <w:jc w:val="right"/>
              <w:rPr>
                <w:szCs w:val="18"/>
              </w:rPr>
            </w:pPr>
            <w:r w:rsidRPr="007647EB">
              <w:rPr>
                <w:color w:val="000000"/>
              </w:rPr>
              <w:t>10 829</w:t>
            </w:r>
          </w:p>
        </w:tc>
      </w:tr>
      <w:tr w:rsidR="006C63A6" w:rsidRPr="007647EB" w14:paraId="1917367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02E5309" w14:textId="1A4A8339"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342C40" w14:textId="77777777" w:rsidR="006C63A6" w:rsidRPr="007647EB" w:rsidRDefault="006C63A6" w:rsidP="008123FC">
            <w:pPr>
              <w:pStyle w:val="Normal-pool-Table"/>
              <w:rPr>
                <w:szCs w:val="18"/>
              </w:rPr>
            </w:pPr>
            <w:r w:rsidRPr="007647EB">
              <w:rPr>
                <w:color w:val="000000"/>
              </w:rPr>
              <w:t>Ouganda</w:t>
            </w:r>
          </w:p>
        </w:tc>
        <w:tc>
          <w:tcPr>
            <w:tcW w:w="1395" w:type="dxa"/>
            <w:tcBorders>
              <w:top w:val="nil"/>
              <w:left w:val="nil"/>
              <w:bottom w:val="single" w:sz="4" w:space="0" w:color="auto"/>
              <w:right w:val="single" w:sz="4" w:space="0" w:color="auto"/>
            </w:tcBorders>
            <w:noWrap/>
            <w:hideMark/>
          </w:tcPr>
          <w:p w14:paraId="589284FD"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0804D3C7"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3C3D220E"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105045BC"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728FFE2F" w14:textId="77777777" w:rsidR="006C63A6" w:rsidRPr="007647EB" w:rsidRDefault="006C63A6" w:rsidP="008123FC">
            <w:pPr>
              <w:pStyle w:val="Normal-pool-Table"/>
              <w:jc w:val="right"/>
              <w:rPr>
                <w:szCs w:val="18"/>
              </w:rPr>
            </w:pPr>
            <w:r w:rsidRPr="007647EB">
              <w:rPr>
                <w:color w:val="000000"/>
              </w:rPr>
              <w:t>722</w:t>
            </w:r>
          </w:p>
        </w:tc>
      </w:tr>
      <w:tr w:rsidR="006C63A6" w:rsidRPr="007647EB" w14:paraId="761E1B6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90D0D7" w14:textId="3798D51C"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0A893A3" w14:textId="77777777" w:rsidR="006C63A6" w:rsidRPr="007647EB" w:rsidRDefault="006C63A6" w:rsidP="008123FC">
            <w:pPr>
              <w:pStyle w:val="Normal-pool-Table"/>
              <w:rPr>
                <w:szCs w:val="18"/>
              </w:rPr>
            </w:pPr>
            <w:r w:rsidRPr="007647EB">
              <w:rPr>
                <w:color w:val="000000"/>
              </w:rPr>
              <w:t>République centrafricaine</w:t>
            </w:r>
          </w:p>
        </w:tc>
        <w:tc>
          <w:tcPr>
            <w:tcW w:w="1395" w:type="dxa"/>
            <w:tcBorders>
              <w:top w:val="nil"/>
              <w:left w:val="nil"/>
              <w:bottom w:val="single" w:sz="4" w:space="0" w:color="auto"/>
              <w:right w:val="single" w:sz="4" w:space="0" w:color="auto"/>
            </w:tcBorders>
            <w:noWrap/>
            <w:hideMark/>
          </w:tcPr>
          <w:p w14:paraId="2E348B4A"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30D05CC4"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4839E9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86833CB"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097AEEA" w14:textId="77777777" w:rsidR="006C63A6" w:rsidRPr="007647EB" w:rsidRDefault="006C63A6" w:rsidP="008123FC">
            <w:pPr>
              <w:pStyle w:val="Normal-pool-Table"/>
              <w:jc w:val="right"/>
              <w:rPr>
                <w:szCs w:val="18"/>
              </w:rPr>
            </w:pPr>
            <w:r w:rsidRPr="007647EB">
              <w:rPr>
                <w:color w:val="000000"/>
              </w:rPr>
              <w:t>715</w:t>
            </w:r>
          </w:p>
        </w:tc>
      </w:tr>
      <w:tr w:rsidR="006C63A6" w:rsidRPr="007647EB" w14:paraId="262300B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C0D1FF1" w14:textId="7D345DD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E8F5A50" w14:textId="77777777" w:rsidR="006C63A6" w:rsidRPr="007647EB" w:rsidRDefault="006C63A6" w:rsidP="008123FC">
            <w:pPr>
              <w:pStyle w:val="Normal-pool-Table"/>
              <w:rPr>
                <w:szCs w:val="18"/>
              </w:rPr>
            </w:pPr>
            <w:r w:rsidRPr="007647EB">
              <w:rPr>
                <w:color w:val="000000"/>
              </w:rPr>
              <w:t>République-Unie de Tanzanie</w:t>
            </w:r>
          </w:p>
        </w:tc>
        <w:tc>
          <w:tcPr>
            <w:tcW w:w="1395" w:type="dxa"/>
            <w:tcBorders>
              <w:top w:val="nil"/>
              <w:left w:val="nil"/>
              <w:bottom w:val="single" w:sz="4" w:space="0" w:color="auto"/>
              <w:right w:val="single" w:sz="4" w:space="0" w:color="auto"/>
            </w:tcBorders>
            <w:noWrap/>
            <w:hideMark/>
          </w:tcPr>
          <w:p w14:paraId="7C8868FB" w14:textId="77777777" w:rsidR="006C63A6" w:rsidRPr="007647EB" w:rsidRDefault="006C63A6"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18304EAF" w14:textId="77777777" w:rsidR="006C63A6" w:rsidRPr="007647EB" w:rsidRDefault="006C63A6"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10475FD3" w14:textId="77777777" w:rsidR="006C63A6" w:rsidRPr="007647EB" w:rsidRDefault="006C63A6"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1D33E9BC" w14:textId="77777777" w:rsidR="006C63A6" w:rsidRPr="007647EB" w:rsidRDefault="006C63A6"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6B9AA118" w14:textId="77777777" w:rsidR="006C63A6" w:rsidRPr="007647EB" w:rsidRDefault="006C63A6" w:rsidP="008123FC">
            <w:pPr>
              <w:pStyle w:val="Normal-pool-Table"/>
              <w:jc w:val="right"/>
              <w:rPr>
                <w:szCs w:val="18"/>
              </w:rPr>
            </w:pPr>
            <w:r w:rsidRPr="007647EB">
              <w:rPr>
                <w:color w:val="000000"/>
              </w:rPr>
              <w:t>722</w:t>
            </w:r>
          </w:p>
        </w:tc>
      </w:tr>
      <w:tr w:rsidR="006C63A6" w:rsidRPr="007647EB" w14:paraId="48F4A50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7DF5502" w14:textId="5D0237E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DCCF01D" w14:textId="77777777" w:rsidR="006C63A6" w:rsidRPr="007647EB" w:rsidRDefault="006C63A6" w:rsidP="008123FC">
            <w:pPr>
              <w:pStyle w:val="Normal-pool-Table"/>
              <w:rPr>
                <w:szCs w:val="18"/>
              </w:rPr>
            </w:pPr>
            <w:r w:rsidRPr="007647EB">
              <w:rPr>
                <w:color w:val="000000"/>
              </w:rPr>
              <w:t>Rwanda</w:t>
            </w:r>
          </w:p>
        </w:tc>
        <w:tc>
          <w:tcPr>
            <w:tcW w:w="1395" w:type="dxa"/>
            <w:tcBorders>
              <w:top w:val="nil"/>
              <w:left w:val="nil"/>
              <w:bottom w:val="single" w:sz="4" w:space="0" w:color="auto"/>
              <w:right w:val="single" w:sz="4" w:space="0" w:color="auto"/>
            </w:tcBorders>
            <w:noWrap/>
            <w:hideMark/>
          </w:tcPr>
          <w:p w14:paraId="7A245FD3" w14:textId="77777777" w:rsidR="006C63A6" w:rsidRPr="007647EB" w:rsidRDefault="006C63A6" w:rsidP="008123FC">
            <w:pPr>
              <w:pStyle w:val="Normal-pool-Table"/>
              <w:jc w:val="right"/>
              <w:rPr>
                <w:szCs w:val="18"/>
              </w:rPr>
            </w:pPr>
            <w:r w:rsidRPr="007647EB">
              <w:rPr>
                <w:color w:val="000000"/>
              </w:rPr>
              <w:t>0,003</w:t>
            </w:r>
          </w:p>
        </w:tc>
        <w:tc>
          <w:tcPr>
            <w:tcW w:w="1134" w:type="dxa"/>
            <w:tcBorders>
              <w:top w:val="nil"/>
              <w:left w:val="nil"/>
              <w:bottom w:val="single" w:sz="4" w:space="0" w:color="auto"/>
              <w:right w:val="single" w:sz="4" w:space="0" w:color="auto"/>
            </w:tcBorders>
            <w:noWrap/>
            <w:hideMark/>
          </w:tcPr>
          <w:p w14:paraId="607D12F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94C99F8"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ABB8095"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640A488" w14:textId="77777777" w:rsidR="006C63A6" w:rsidRPr="007647EB" w:rsidRDefault="006C63A6" w:rsidP="008123FC">
            <w:pPr>
              <w:pStyle w:val="Normal-pool-Table"/>
              <w:jc w:val="right"/>
              <w:rPr>
                <w:szCs w:val="18"/>
              </w:rPr>
            </w:pPr>
            <w:r w:rsidRPr="007647EB">
              <w:rPr>
                <w:color w:val="000000"/>
              </w:rPr>
              <w:t>715</w:t>
            </w:r>
          </w:p>
        </w:tc>
      </w:tr>
      <w:tr w:rsidR="006C63A6" w:rsidRPr="007647EB" w14:paraId="094468C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C6D1E5E" w14:textId="3926CD51"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132E7E6" w14:textId="77777777" w:rsidR="006C63A6" w:rsidRPr="007647EB" w:rsidRDefault="006C63A6" w:rsidP="008123FC">
            <w:pPr>
              <w:pStyle w:val="Normal-pool-Table"/>
              <w:rPr>
                <w:szCs w:val="18"/>
              </w:rPr>
            </w:pPr>
            <w:r w:rsidRPr="007647EB">
              <w:rPr>
                <w:color w:val="000000"/>
              </w:rPr>
              <w:t>Sao Tomé-et-Principe</w:t>
            </w:r>
          </w:p>
        </w:tc>
        <w:tc>
          <w:tcPr>
            <w:tcW w:w="1395" w:type="dxa"/>
            <w:tcBorders>
              <w:top w:val="nil"/>
              <w:left w:val="nil"/>
              <w:bottom w:val="single" w:sz="4" w:space="0" w:color="auto"/>
              <w:right w:val="single" w:sz="4" w:space="0" w:color="auto"/>
            </w:tcBorders>
            <w:noWrap/>
            <w:hideMark/>
          </w:tcPr>
          <w:p w14:paraId="08F71DD4"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0B3FF522"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FABC5C9"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BCF7ED7"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242019C" w14:textId="77777777" w:rsidR="006C63A6" w:rsidRPr="007647EB" w:rsidRDefault="006C63A6" w:rsidP="008123FC">
            <w:pPr>
              <w:pStyle w:val="Normal-pool-Table"/>
              <w:jc w:val="right"/>
              <w:rPr>
                <w:szCs w:val="18"/>
              </w:rPr>
            </w:pPr>
            <w:r w:rsidRPr="007647EB">
              <w:rPr>
                <w:color w:val="000000"/>
              </w:rPr>
              <w:t>715</w:t>
            </w:r>
          </w:p>
        </w:tc>
      </w:tr>
      <w:tr w:rsidR="006C63A6" w:rsidRPr="007647EB" w14:paraId="491F73F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0739EF7" w14:textId="209F6BB4"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EA61DF5" w14:textId="77777777" w:rsidR="006C63A6" w:rsidRPr="007647EB" w:rsidRDefault="006C63A6" w:rsidP="008123FC">
            <w:pPr>
              <w:pStyle w:val="Normal-pool-Table"/>
              <w:rPr>
                <w:szCs w:val="18"/>
              </w:rPr>
            </w:pPr>
            <w:r w:rsidRPr="007647EB">
              <w:rPr>
                <w:color w:val="000000"/>
              </w:rPr>
              <w:t>Sénégal</w:t>
            </w:r>
          </w:p>
        </w:tc>
        <w:tc>
          <w:tcPr>
            <w:tcW w:w="1395" w:type="dxa"/>
            <w:tcBorders>
              <w:top w:val="nil"/>
              <w:left w:val="nil"/>
              <w:bottom w:val="single" w:sz="4" w:space="0" w:color="auto"/>
              <w:right w:val="single" w:sz="4" w:space="0" w:color="auto"/>
            </w:tcBorders>
            <w:noWrap/>
            <w:hideMark/>
          </w:tcPr>
          <w:p w14:paraId="15D80AA3" w14:textId="77777777" w:rsidR="006C63A6" w:rsidRPr="007647EB" w:rsidRDefault="006C63A6"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1C1CBF65"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5E757A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71AE3A8"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D9C8824" w14:textId="77777777" w:rsidR="006C63A6" w:rsidRPr="007647EB" w:rsidRDefault="006C63A6" w:rsidP="008123FC">
            <w:pPr>
              <w:pStyle w:val="Normal-pool-Table"/>
              <w:jc w:val="right"/>
              <w:rPr>
                <w:szCs w:val="18"/>
              </w:rPr>
            </w:pPr>
            <w:r w:rsidRPr="007647EB">
              <w:rPr>
                <w:color w:val="000000"/>
              </w:rPr>
              <w:t>715</w:t>
            </w:r>
          </w:p>
        </w:tc>
      </w:tr>
      <w:tr w:rsidR="006C63A6" w:rsidRPr="007647EB" w14:paraId="65B99FB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6B0AEFC" w14:textId="1EF3929D"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35D4BC" w14:textId="77777777" w:rsidR="006C63A6" w:rsidRPr="007647EB" w:rsidRDefault="006C63A6" w:rsidP="008123FC">
            <w:pPr>
              <w:pStyle w:val="Normal-pool-Table"/>
              <w:rPr>
                <w:szCs w:val="18"/>
              </w:rPr>
            </w:pPr>
            <w:r w:rsidRPr="007647EB">
              <w:rPr>
                <w:color w:val="000000"/>
              </w:rPr>
              <w:t>Seychelles</w:t>
            </w:r>
          </w:p>
        </w:tc>
        <w:tc>
          <w:tcPr>
            <w:tcW w:w="1395" w:type="dxa"/>
            <w:tcBorders>
              <w:top w:val="nil"/>
              <w:left w:val="nil"/>
              <w:bottom w:val="single" w:sz="4" w:space="0" w:color="auto"/>
              <w:right w:val="single" w:sz="4" w:space="0" w:color="auto"/>
            </w:tcBorders>
            <w:noWrap/>
            <w:hideMark/>
          </w:tcPr>
          <w:p w14:paraId="532F0C4F"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4EF80EA3"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D565830"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481DC2B"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4E80FF9" w14:textId="77777777" w:rsidR="006C63A6" w:rsidRPr="007647EB" w:rsidRDefault="006C63A6" w:rsidP="008123FC">
            <w:pPr>
              <w:pStyle w:val="Normal-pool-Table"/>
              <w:jc w:val="right"/>
              <w:rPr>
                <w:szCs w:val="18"/>
              </w:rPr>
            </w:pPr>
            <w:r w:rsidRPr="007647EB">
              <w:rPr>
                <w:color w:val="000000"/>
              </w:rPr>
              <w:t>715</w:t>
            </w:r>
          </w:p>
        </w:tc>
      </w:tr>
      <w:tr w:rsidR="006C63A6" w:rsidRPr="007647EB" w14:paraId="76D3DAF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D303A25" w14:textId="014C49AF"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E33660C" w14:textId="77777777" w:rsidR="006C63A6" w:rsidRPr="007647EB" w:rsidRDefault="006C63A6" w:rsidP="008123FC">
            <w:pPr>
              <w:pStyle w:val="Normal-pool-Table"/>
              <w:rPr>
                <w:szCs w:val="18"/>
              </w:rPr>
            </w:pPr>
            <w:r w:rsidRPr="007647EB">
              <w:rPr>
                <w:color w:val="000000"/>
              </w:rPr>
              <w:t>Sierra Leone</w:t>
            </w:r>
          </w:p>
        </w:tc>
        <w:tc>
          <w:tcPr>
            <w:tcW w:w="1395" w:type="dxa"/>
            <w:tcBorders>
              <w:top w:val="nil"/>
              <w:left w:val="nil"/>
              <w:bottom w:val="single" w:sz="4" w:space="0" w:color="auto"/>
              <w:right w:val="single" w:sz="4" w:space="0" w:color="auto"/>
            </w:tcBorders>
            <w:noWrap/>
            <w:hideMark/>
          </w:tcPr>
          <w:p w14:paraId="74DEB492" w14:textId="77777777" w:rsidR="006C63A6" w:rsidRPr="007647EB" w:rsidRDefault="006C63A6"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EC2398E"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C26C173"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5D8097C"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BF09013" w14:textId="77777777" w:rsidR="006C63A6" w:rsidRPr="007647EB" w:rsidRDefault="006C63A6" w:rsidP="008123FC">
            <w:pPr>
              <w:pStyle w:val="Normal-pool-Table"/>
              <w:jc w:val="right"/>
              <w:rPr>
                <w:szCs w:val="18"/>
              </w:rPr>
            </w:pPr>
            <w:r w:rsidRPr="007647EB">
              <w:rPr>
                <w:color w:val="000000"/>
              </w:rPr>
              <w:t>715</w:t>
            </w:r>
          </w:p>
        </w:tc>
      </w:tr>
      <w:tr w:rsidR="006C63A6" w:rsidRPr="007647EB" w14:paraId="7422E76C" w14:textId="77777777" w:rsidTr="00330D4E">
        <w:trPr>
          <w:gridAfter w:val="1"/>
          <w:wAfter w:w="10" w:type="dxa"/>
          <w:trHeight w:val="42"/>
          <w:jc w:val="right"/>
        </w:trPr>
        <w:tc>
          <w:tcPr>
            <w:tcW w:w="705" w:type="dxa"/>
            <w:tcBorders>
              <w:top w:val="nil"/>
              <w:left w:val="single" w:sz="4" w:space="0" w:color="auto"/>
              <w:bottom w:val="single" w:sz="4" w:space="0" w:color="auto"/>
              <w:right w:val="single" w:sz="4" w:space="0" w:color="auto"/>
            </w:tcBorders>
            <w:noWrap/>
          </w:tcPr>
          <w:p w14:paraId="3883A95E" w14:textId="66B37E56"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E055630" w14:textId="77777777" w:rsidR="006C63A6" w:rsidRPr="007647EB" w:rsidRDefault="006C63A6" w:rsidP="008123FC">
            <w:pPr>
              <w:pStyle w:val="Normal-pool-Table"/>
              <w:rPr>
                <w:szCs w:val="18"/>
              </w:rPr>
            </w:pPr>
            <w:r w:rsidRPr="007647EB">
              <w:rPr>
                <w:color w:val="000000"/>
              </w:rPr>
              <w:t>Tchad</w:t>
            </w:r>
          </w:p>
        </w:tc>
        <w:tc>
          <w:tcPr>
            <w:tcW w:w="1395" w:type="dxa"/>
            <w:tcBorders>
              <w:top w:val="nil"/>
              <w:left w:val="nil"/>
              <w:bottom w:val="single" w:sz="4" w:space="0" w:color="auto"/>
              <w:right w:val="single" w:sz="4" w:space="0" w:color="auto"/>
            </w:tcBorders>
            <w:noWrap/>
            <w:hideMark/>
          </w:tcPr>
          <w:p w14:paraId="1DC83D84" w14:textId="77777777" w:rsidR="006C63A6" w:rsidRPr="007647EB" w:rsidRDefault="006C63A6"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25ECAEC5"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3F98FCA"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80DF228"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A0F9DBA" w14:textId="77777777" w:rsidR="006C63A6" w:rsidRPr="007647EB" w:rsidRDefault="006C63A6" w:rsidP="008123FC">
            <w:pPr>
              <w:pStyle w:val="Normal-pool-Table"/>
              <w:jc w:val="right"/>
              <w:rPr>
                <w:szCs w:val="18"/>
              </w:rPr>
            </w:pPr>
            <w:r w:rsidRPr="007647EB">
              <w:rPr>
                <w:color w:val="000000"/>
              </w:rPr>
              <w:t>715</w:t>
            </w:r>
          </w:p>
        </w:tc>
      </w:tr>
      <w:tr w:rsidR="006C63A6" w:rsidRPr="007647EB" w14:paraId="651A539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A1507ED" w14:textId="0F029931"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3DE0C4E" w14:textId="77777777" w:rsidR="006C63A6" w:rsidRPr="007647EB" w:rsidRDefault="006C63A6" w:rsidP="008123FC">
            <w:pPr>
              <w:pStyle w:val="Normal-pool-Table"/>
              <w:rPr>
                <w:szCs w:val="18"/>
              </w:rPr>
            </w:pPr>
            <w:r w:rsidRPr="007647EB">
              <w:rPr>
                <w:color w:val="000000"/>
              </w:rPr>
              <w:t>Togo</w:t>
            </w:r>
          </w:p>
        </w:tc>
        <w:tc>
          <w:tcPr>
            <w:tcW w:w="1395" w:type="dxa"/>
            <w:tcBorders>
              <w:top w:val="nil"/>
              <w:left w:val="nil"/>
              <w:bottom w:val="single" w:sz="4" w:space="0" w:color="auto"/>
              <w:right w:val="single" w:sz="4" w:space="0" w:color="auto"/>
            </w:tcBorders>
            <w:noWrap/>
            <w:hideMark/>
          </w:tcPr>
          <w:p w14:paraId="488AD3E4" w14:textId="77777777" w:rsidR="006C63A6" w:rsidRPr="007647EB" w:rsidRDefault="006C63A6"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10EFBD94"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84891E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3117100"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F290E66" w14:textId="77777777" w:rsidR="006C63A6" w:rsidRPr="007647EB" w:rsidRDefault="006C63A6" w:rsidP="008123FC">
            <w:pPr>
              <w:pStyle w:val="Normal-pool-Table"/>
              <w:jc w:val="right"/>
              <w:rPr>
                <w:szCs w:val="18"/>
              </w:rPr>
            </w:pPr>
            <w:r w:rsidRPr="007647EB">
              <w:rPr>
                <w:color w:val="000000"/>
              </w:rPr>
              <w:t>715</w:t>
            </w:r>
          </w:p>
        </w:tc>
      </w:tr>
      <w:tr w:rsidR="006C63A6" w:rsidRPr="007647EB" w14:paraId="40AC6B4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04CCE6" w14:textId="71BB939C"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9356A9F" w14:textId="77777777" w:rsidR="006C63A6" w:rsidRPr="007647EB" w:rsidRDefault="006C63A6" w:rsidP="008123FC">
            <w:pPr>
              <w:pStyle w:val="Normal-pool-Table"/>
              <w:rPr>
                <w:szCs w:val="18"/>
              </w:rPr>
            </w:pPr>
            <w:r w:rsidRPr="007647EB">
              <w:rPr>
                <w:color w:val="000000"/>
              </w:rPr>
              <w:t>Zambie</w:t>
            </w:r>
          </w:p>
        </w:tc>
        <w:tc>
          <w:tcPr>
            <w:tcW w:w="1395" w:type="dxa"/>
            <w:tcBorders>
              <w:top w:val="nil"/>
              <w:left w:val="nil"/>
              <w:bottom w:val="single" w:sz="4" w:space="0" w:color="auto"/>
              <w:right w:val="single" w:sz="4" w:space="0" w:color="auto"/>
            </w:tcBorders>
            <w:noWrap/>
            <w:hideMark/>
          </w:tcPr>
          <w:p w14:paraId="71483225" w14:textId="77777777" w:rsidR="006C63A6" w:rsidRPr="007647EB" w:rsidRDefault="006C63A6"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hideMark/>
          </w:tcPr>
          <w:p w14:paraId="79B8B438"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DE6AF1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5D72093"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9099BD7" w14:textId="77777777" w:rsidR="006C63A6" w:rsidRPr="007647EB" w:rsidRDefault="006C63A6" w:rsidP="008123FC">
            <w:pPr>
              <w:pStyle w:val="Normal-pool-Table"/>
              <w:jc w:val="right"/>
              <w:rPr>
                <w:szCs w:val="18"/>
              </w:rPr>
            </w:pPr>
            <w:r w:rsidRPr="007647EB">
              <w:rPr>
                <w:color w:val="000000"/>
              </w:rPr>
              <w:t>715</w:t>
            </w:r>
          </w:p>
        </w:tc>
      </w:tr>
      <w:tr w:rsidR="006C63A6" w:rsidRPr="007647EB" w14:paraId="3075CCB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19CA3BD" w14:textId="441ACB52" w:rsidR="006C63A6" w:rsidRPr="007647EB" w:rsidRDefault="006C63A6"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14269CB" w14:textId="77777777" w:rsidR="006C63A6" w:rsidRPr="007647EB" w:rsidRDefault="006C63A6" w:rsidP="008123FC">
            <w:pPr>
              <w:pStyle w:val="Normal-pool-Table"/>
              <w:rPr>
                <w:szCs w:val="18"/>
              </w:rPr>
            </w:pPr>
            <w:r w:rsidRPr="007647EB">
              <w:rPr>
                <w:color w:val="000000"/>
              </w:rPr>
              <w:t>Zimbabwe</w:t>
            </w:r>
          </w:p>
        </w:tc>
        <w:tc>
          <w:tcPr>
            <w:tcW w:w="1395" w:type="dxa"/>
            <w:tcBorders>
              <w:top w:val="nil"/>
              <w:left w:val="nil"/>
              <w:bottom w:val="single" w:sz="4" w:space="0" w:color="auto"/>
              <w:right w:val="single" w:sz="4" w:space="0" w:color="auto"/>
            </w:tcBorders>
            <w:noWrap/>
            <w:hideMark/>
          </w:tcPr>
          <w:p w14:paraId="4BE16C4F" w14:textId="77777777" w:rsidR="006C63A6" w:rsidRPr="007647EB" w:rsidRDefault="006C63A6"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2204EB31" w14:textId="77777777" w:rsidR="006C63A6" w:rsidRPr="007647EB" w:rsidRDefault="006C63A6"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1BF7E22" w14:textId="77777777" w:rsidR="006C63A6" w:rsidRPr="007647EB" w:rsidRDefault="006C63A6"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A56B532" w14:textId="77777777" w:rsidR="006C63A6" w:rsidRPr="007647EB" w:rsidRDefault="006C63A6"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B7206A6" w14:textId="77777777" w:rsidR="006C63A6" w:rsidRPr="007647EB" w:rsidRDefault="006C63A6" w:rsidP="008123FC">
            <w:pPr>
              <w:pStyle w:val="Normal-pool-Table"/>
              <w:jc w:val="right"/>
              <w:rPr>
                <w:szCs w:val="18"/>
              </w:rPr>
            </w:pPr>
            <w:r w:rsidRPr="007647EB">
              <w:rPr>
                <w:color w:val="000000"/>
              </w:rPr>
              <w:t>715</w:t>
            </w:r>
          </w:p>
        </w:tc>
      </w:tr>
      <w:tr w:rsidR="002B2CBE" w:rsidRPr="007647EB" w14:paraId="3C8DE69A"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2590BC20" w14:textId="3688813C"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Asie et du Pacifique (38)</w:t>
            </w:r>
          </w:p>
        </w:tc>
      </w:tr>
      <w:tr w:rsidR="00B03672" w:rsidRPr="007647EB" w14:paraId="3E15E70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0DC6C25" w14:textId="52F6E82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32D9BD0" w14:textId="77777777" w:rsidR="00B03672" w:rsidRPr="007647EB" w:rsidRDefault="00B03672" w:rsidP="008123FC">
            <w:pPr>
              <w:pStyle w:val="Normal-pool-Table"/>
              <w:rPr>
                <w:szCs w:val="18"/>
              </w:rPr>
            </w:pPr>
            <w:r w:rsidRPr="007647EB">
              <w:rPr>
                <w:color w:val="000000"/>
              </w:rPr>
              <w:t>Afghanistan</w:t>
            </w:r>
          </w:p>
        </w:tc>
        <w:tc>
          <w:tcPr>
            <w:tcW w:w="1395" w:type="dxa"/>
            <w:tcBorders>
              <w:top w:val="nil"/>
              <w:left w:val="nil"/>
              <w:bottom w:val="single" w:sz="4" w:space="0" w:color="auto"/>
              <w:right w:val="single" w:sz="4" w:space="0" w:color="auto"/>
            </w:tcBorders>
            <w:noWrap/>
            <w:hideMark/>
          </w:tcPr>
          <w:p w14:paraId="77BF4244" w14:textId="77777777" w:rsidR="00B03672" w:rsidRPr="007647EB" w:rsidRDefault="00B03672" w:rsidP="008123FC">
            <w:pPr>
              <w:pStyle w:val="Normal-pool-Table"/>
              <w:jc w:val="right"/>
              <w:rPr>
                <w:szCs w:val="18"/>
              </w:rPr>
            </w:pPr>
            <w:r w:rsidRPr="007647EB">
              <w:rPr>
                <w:color w:val="000000"/>
              </w:rPr>
              <w:t>0,005</w:t>
            </w:r>
          </w:p>
        </w:tc>
        <w:tc>
          <w:tcPr>
            <w:tcW w:w="1134" w:type="dxa"/>
            <w:tcBorders>
              <w:top w:val="nil"/>
              <w:left w:val="nil"/>
              <w:bottom w:val="single" w:sz="4" w:space="0" w:color="auto"/>
              <w:right w:val="single" w:sz="4" w:space="0" w:color="auto"/>
            </w:tcBorders>
            <w:noWrap/>
            <w:hideMark/>
          </w:tcPr>
          <w:p w14:paraId="7F5E2462"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9A6C33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D9B889D"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2D4F05E" w14:textId="77777777" w:rsidR="00B03672" w:rsidRPr="007647EB" w:rsidRDefault="00B03672" w:rsidP="008123FC">
            <w:pPr>
              <w:pStyle w:val="Normal-pool-Table"/>
              <w:jc w:val="right"/>
              <w:rPr>
                <w:szCs w:val="18"/>
              </w:rPr>
            </w:pPr>
            <w:r w:rsidRPr="007647EB">
              <w:rPr>
                <w:color w:val="000000"/>
              </w:rPr>
              <w:t>715</w:t>
            </w:r>
          </w:p>
        </w:tc>
      </w:tr>
      <w:tr w:rsidR="00B03672" w:rsidRPr="007647EB" w14:paraId="1B45FD8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94D60DF" w14:textId="6535C29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88A2D9E" w14:textId="77777777" w:rsidR="00B03672" w:rsidRPr="007647EB" w:rsidRDefault="00B03672" w:rsidP="008123FC">
            <w:pPr>
              <w:pStyle w:val="Normal-pool-Table"/>
              <w:rPr>
                <w:szCs w:val="18"/>
              </w:rPr>
            </w:pPr>
            <w:r w:rsidRPr="007647EB">
              <w:rPr>
                <w:color w:val="000000"/>
              </w:rPr>
              <w:t>Arabie saoudite</w:t>
            </w:r>
          </w:p>
        </w:tc>
        <w:tc>
          <w:tcPr>
            <w:tcW w:w="1395" w:type="dxa"/>
            <w:tcBorders>
              <w:top w:val="nil"/>
              <w:left w:val="nil"/>
              <w:bottom w:val="single" w:sz="4" w:space="0" w:color="auto"/>
              <w:right w:val="single" w:sz="4" w:space="0" w:color="auto"/>
            </w:tcBorders>
            <w:noWrap/>
            <w:hideMark/>
          </w:tcPr>
          <w:p w14:paraId="4804E1BC" w14:textId="77777777" w:rsidR="00B03672" w:rsidRPr="007647EB" w:rsidRDefault="00B03672" w:rsidP="008123FC">
            <w:pPr>
              <w:pStyle w:val="Normal-pool-Table"/>
              <w:jc w:val="right"/>
              <w:rPr>
                <w:szCs w:val="18"/>
              </w:rPr>
            </w:pPr>
            <w:r w:rsidRPr="007647EB">
              <w:rPr>
                <w:color w:val="000000"/>
              </w:rPr>
              <w:t>1,217</w:t>
            </w:r>
          </w:p>
        </w:tc>
        <w:tc>
          <w:tcPr>
            <w:tcW w:w="1134" w:type="dxa"/>
            <w:tcBorders>
              <w:top w:val="nil"/>
              <w:left w:val="nil"/>
              <w:bottom w:val="single" w:sz="4" w:space="0" w:color="auto"/>
              <w:right w:val="single" w:sz="4" w:space="0" w:color="auto"/>
            </w:tcBorders>
            <w:noWrap/>
            <w:hideMark/>
          </w:tcPr>
          <w:p w14:paraId="7E54D33E" w14:textId="77777777" w:rsidR="00B03672" w:rsidRPr="007647EB" w:rsidRDefault="00B03672" w:rsidP="008123FC">
            <w:pPr>
              <w:pStyle w:val="Normal-pool-Table"/>
              <w:jc w:val="right"/>
              <w:rPr>
                <w:szCs w:val="18"/>
              </w:rPr>
            </w:pPr>
            <w:r w:rsidRPr="007647EB">
              <w:rPr>
                <w:color w:val="000000"/>
              </w:rPr>
              <w:t>1,2283</w:t>
            </w:r>
          </w:p>
        </w:tc>
        <w:tc>
          <w:tcPr>
            <w:tcW w:w="1276" w:type="dxa"/>
            <w:tcBorders>
              <w:top w:val="nil"/>
              <w:left w:val="nil"/>
              <w:bottom w:val="single" w:sz="4" w:space="0" w:color="auto"/>
              <w:right w:val="single" w:sz="4" w:space="0" w:color="auto"/>
            </w:tcBorders>
            <w:noWrap/>
            <w:hideMark/>
          </w:tcPr>
          <w:p w14:paraId="1738EB96" w14:textId="77777777" w:rsidR="00B03672" w:rsidRPr="007647EB" w:rsidRDefault="00B03672" w:rsidP="008123FC">
            <w:pPr>
              <w:pStyle w:val="Normal-pool-Table"/>
              <w:jc w:val="right"/>
              <w:rPr>
                <w:szCs w:val="18"/>
              </w:rPr>
            </w:pPr>
            <w:r w:rsidRPr="007647EB">
              <w:rPr>
                <w:color w:val="000000"/>
              </w:rPr>
              <w:t>37 874</w:t>
            </w:r>
          </w:p>
        </w:tc>
        <w:tc>
          <w:tcPr>
            <w:tcW w:w="1276" w:type="dxa"/>
            <w:tcBorders>
              <w:top w:val="nil"/>
              <w:left w:val="nil"/>
              <w:bottom w:val="single" w:sz="4" w:space="0" w:color="auto"/>
              <w:right w:val="single" w:sz="4" w:space="0" w:color="auto"/>
            </w:tcBorders>
            <w:noWrap/>
            <w:hideMark/>
          </w:tcPr>
          <w:p w14:paraId="7DB288EB" w14:textId="77777777" w:rsidR="00B03672" w:rsidRPr="007647EB" w:rsidRDefault="00B03672" w:rsidP="008123FC">
            <w:pPr>
              <w:pStyle w:val="Normal-pool-Table"/>
              <w:jc w:val="right"/>
              <w:rPr>
                <w:szCs w:val="18"/>
              </w:rPr>
            </w:pPr>
            <w:r w:rsidRPr="007647EB">
              <w:rPr>
                <w:color w:val="000000"/>
              </w:rPr>
              <w:t>49 984</w:t>
            </w:r>
          </w:p>
        </w:tc>
        <w:tc>
          <w:tcPr>
            <w:tcW w:w="1291" w:type="dxa"/>
            <w:tcBorders>
              <w:top w:val="nil"/>
              <w:left w:val="nil"/>
              <w:bottom w:val="single" w:sz="4" w:space="0" w:color="auto"/>
              <w:right w:val="single" w:sz="4" w:space="0" w:color="auto"/>
            </w:tcBorders>
            <w:noWrap/>
            <w:hideMark/>
          </w:tcPr>
          <w:p w14:paraId="453B9EC0" w14:textId="77777777" w:rsidR="00B03672" w:rsidRPr="007647EB" w:rsidRDefault="00B03672" w:rsidP="008123FC">
            <w:pPr>
              <w:pStyle w:val="Normal-pool-Table"/>
              <w:jc w:val="right"/>
              <w:rPr>
                <w:szCs w:val="18"/>
              </w:rPr>
            </w:pPr>
            <w:r w:rsidRPr="007647EB">
              <w:rPr>
                <w:color w:val="000000"/>
              </w:rPr>
              <w:t>87 858</w:t>
            </w:r>
          </w:p>
        </w:tc>
      </w:tr>
      <w:tr w:rsidR="00B03672" w:rsidRPr="007647EB" w14:paraId="79A6920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71AD17E" w14:textId="5A76F63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AE3BF3F" w14:textId="77777777" w:rsidR="00B03672" w:rsidRPr="007647EB" w:rsidRDefault="00B03672" w:rsidP="008123FC">
            <w:pPr>
              <w:pStyle w:val="Normal-pool-Table"/>
              <w:rPr>
                <w:szCs w:val="18"/>
              </w:rPr>
            </w:pPr>
            <w:r w:rsidRPr="007647EB">
              <w:rPr>
                <w:color w:val="000000"/>
              </w:rPr>
              <w:t>Bahreïn</w:t>
            </w:r>
          </w:p>
        </w:tc>
        <w:tc>
          <w:tcPr>
            <w:tcW w:w="1395" w:type="dxa"/>
            <w:tcBorders>
              <w:top w:val="nil"/>
              <w:left w:val="nil"/>
              <w:bottom w:val="single" w:sz="4" w:space="0" w:color="auto"/>
              <w:right w:val="single" w:sz="4" w:space="0" w:color="auto"/>
            </w:tcBorders>
            <w:noWrap/>
            <w:hideMark/>
          </w:tcPr>
          <w:p w14:paraId="5E2C79A6" w14:textId="77777777" w:rsidR="00B03672" w:rsidRPr="007647EB" w:rsidRDefault="00B03672" w:rsidP="008123FC">
            <w:pPr>
              <w:pStyle w:val="Normal-pool-Table"/>
              <w:jc w:val="right"/>
              <w:rPr>
                <w:szCs w:val="18"/>
              </w:rPr>
            </w:pPr>
            <w:r w:rsidRPr="007647EB">
              <w:rPr>
                <w:color w:val="000000"/>
              </w:rPr>
              <w:t>0,05</w:t>
            </w:r>
          </w:p>
        </w:tc>
        <w:tc>
          <w:tcPr>
            <w:tcW w:w="1134" w:type="dxa"/>
            <w:tcBorders>
              <w:top w:val="nil"/>
              <w:left w:val="nil"/>
              <w:bottom w:val="single" w:sz="4" w:space="0" w:color="auto"/>
              <w:right w:val="single" w:sz="4" w:space="0" w:color="auto"/>
            </w:tcBorders>
            <w:noWrap/>
            <w:hideMark/>
          </w:tcPr>
          <w:p w14:paraId="6B43C41F" w14:textId="77777777" w:rsidR="00B03672" w:rsidRPr="007647EB" w:rsidRDefault="00B03672" w:rsidP="008123FC">
            <w:pPr>
              <w:pStyle w:val="Normal-pool-Table"/>
              <w:jc w:val="right"/>
              <w:rPr>
                <w:szCs w:val="18"/>
              </w:rPr>
            </w:pPr>
            <w:r w:rsidRPr="007647EB">
              <w:rPr>
                <w:color w:val="000000"/>
              </w:rPr>
              <w:t>0,0505</w:t>
            </w:r>
          </w:p>
        </w:tc>
        <w:tc>
          <w:tcPr>
            <w:tcW w:w="1276" w:type="dxa"/>
            <w:tcBorders>
              <w:top w:val="nil"/>
              <w:left w:val="nil"/>
              <w:bottom w:val="single" w:sz="4" w:space="0" w:color="auto"/>
              <w:right w:val="single" w:sz="4" w:space="0" w:color="auto"/>
            </w:tcBorders>
            <w:noWrap/>
            <w:hideMark/>
          </w:tcPr>
          <w:p w14:paraId="21C7CBE7" w14:textId="77777777" w:rsidR="00B03672" w:rsidRPr="007647EB" w:rsidRDefault="00B03672" w:rsidP="008123FC">
            <w:pPr>
              <w:pStyle w:val="Normal-pool-Table"/>
              <w:jc w:val="right"/>
              <w:rPr>
                <w:szCs w:val="18"/>
              </w:rPr>
            </w:pPr>
            <w:r w:rsidRPr="007647EB">
              <w:rPr>
                <w:color w:val="000000"/>
              </w:rPr>
              <w:t>1 556</w:t>
            </w:r>
          </w:p>
        </w:tc>
        <w:tc>
          <w:tcPr>
            <w:tcW w:w="1276" w:type="dxa"/>
            <w:tcBorders>
              <w:top w:val="nil"/>
              <w:left w:val="nil"/>
              <w:bottom w:val="single" w:sz="4" w:space="0" w:color="auto"/>
              <w:right w:val="single" w:sz="4" w:space="0" w:color="auto"/>
            </w:tcBorders>
            <w:noWrap/>
            <w:hideMark/>
          </w:tcPr>
          <w:p w14:paraId="08E63377" w14:textId="77777777" w:rsidR="00B03672" w:rsidRPr="007647EB" w:rsidRDefault="00B03672" w:rsidP="008123FC">
            <w:pPr>
              <w:pStyle w:val="Normal-pool-Table"/>
              <w:jc w:val="right"/>
              <w:rPr>
                <w:szCs w:val="18"/>
              </w:rPr>
            </w:pPr>
            <w:r w:rsidRPr="007647EB">
              <w:rPr>
                <w:color w:val="000000"/>
              </w:rPr>
              <w:t>2 054</w:t>
            </w:r>
          </w:p>
        </w:tc>
        <w:tc>
          <w:tcPr>
            <w:tcW w:w="1291" w:type="dxa"/>
            <w:tcBorders>
              <w:top w:val="nil"/>
              <w:left w:val="nil"/>
              <w:bottom w:val="single" w:sz="4" w:space="0" w:color="auto"/>
              <w:right w:val="single" w:sz="4" w:space="0" w:color="auto"/>
            </w:tcBorders>
            <w:noWrap/>
            <w:hideMark/>
          </w:tcPr>
          <w:p w14:paraId="025107D8" w14:textId="77777777" w:rsidR="00B03672" w:rsidRPr="007647EB" w:rsidRDefault="00B03672" w:rsidP="008123FC">
            <w:pPr>
              <w:pStyle w:val="Normal-pool-Table"/>
              <w:jc w:val="right"/>
              <w:rPr>
                <w:szCs w:val="18"/>
              </w:rPr>
            </w:pPr>
            <w:r w:rsidRPr="007647EB">
              <w:rPr>
                <w:color w:val="000000"/>
              </w:rPr>
              <w:t>3 610</w:t>
            </w:r>
          </w:p>
        </w:tc>
      </w:tr>
      <w:tr w:rsidR="00B03672" w:rsidRPr="007647EB" w14:paraId="125DC9B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63C1479" w14:textId="20CF9FC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9EA23EC" w14:textId="77777777" w:rsidR="00B03672" w:rsidRPr="007647EB" w:rsidRDefault="00B03672" w:rsidP="008123FC">
            <w:pPr>
              <w:pStyle w:val="Normal-pool-Table"/>
              <w:rPr>
                <w:szCs w:val="18"/>
              </w:rPr>
            </w:pPr>
            <w:r w:rsidRPr="007647EB">
              <w:rPr>
                <w:color w:val="000000"/>
              </w:rPr>
              <w:t>Bangladesh</w:t>
            </w:r>
          </w:p>
        </w:tc>
        <w:tc>
          <w:tcPr>
            <w:tcW w:w="1395" w:type="dxa"/>
            <w:tcBorders>
              <w:top w:val="nil"/>
              <w:left w:val="nil"/>
              <w:bottom w:val="single" w:sz="4" w:space="0" w:color="auto"/>
              <w:right w:val="single" w:sz="4" w:space="0" w:color="auto"/>
            </w:tcBorders>
            <w:noWrap/>
            <w:hideMark/>
          </w:tcPr>
          <w:p w14:paraId="3670F6E4" w14:textId="77777777" w:rsidR="00B03672" w:rsidRPr="007647EB" w:rsidRDefault="00B03672"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26BC60B9" w14:textId="77777777" w:rsidR="00B03672" w:rsidRPr="007647EB" w:rsidRDefault="00B03672"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23D74F28" w14:textId="77777777" w:rsidR="00B03672" w:rsidRPr="007647EB" w:rsidRDefault="00B03672"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160482FB" w14:textId="77777777" w:rsidR="00B03672" w:rsidRPr="007647EB" w:rsidRDefault="00B03672"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46219BAB" w14:textId="77777777" w:rsidR="00B03672" w:rsidRPr="007647EB" w:rsidRDefault="00B03672" w:rsidP="008123FC">
            <w:pPr>
              <w:pStyle w:val="Normal-pool-Table"/>
              <w:jc w:val="right"/>
              <w:rPr>
                <w:szCs w:val="18"/>
              </w:rPr>
            </w:pPr>
            <w:r w:rsidRPr="007647EB">
              <w:rPr>
                <w:color w:val="000000"/>
              </w:rPr>
              <w:t>722</w:t>
            </w:r>
          </w:p>
        </w:tc>
      </w:tr>
      <w:tr w:rsidR="00B03672" w:rsidRPr="007647EB" w14:paraId="37BCB11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31015BF" w14:textId="58305C7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B1F16EF" w14:textId="77777777" w:rsidR="00B03672" w:rsidRPr="007647EB" w:rsidRDefault="00B03672" w:rsidP="008123FC">
            <w:pPr>
              <w:pStyle w:val="Normal-pool-Table"/>
              <w:rPr>
                <w:szCs w:val="18"/>
              </w:rPr>
            </w:pPr>
            <w:r w:rsidRPr="007647EB">
              <w:rPr>
                <w:color w:val="000000"/>
              </w:rPr>
              <w:t>Cambodge</w:t>
            </w:r>
          </w:p>
        </w:tc>
        <w:tc>
          <w:tcPr>
            <w:tcW w:w="1395" w:type="dxa"/>
            <w:tcBorders>
              <w:top w:val="nil"/>
              <w:left w:val="nil"/>
              <w:bottom w:val="single" w:sz="4" w:space="0" w:color="auto"/>
              <w:right w:val="single" w:sz="4" w:space="0" w:color="auto"/>
            </w:tcBorders>
            <w:noWrap/>
            <w:hideMark/>
          </w:tcPr>
          <w:p w14:paraId="42BF7A6F" w14:textId="77777777" w:rsidR="00B03672" w:rsidRPr="007647EB" w:rsidRDefault="00B03672" w:rsidP="008123FC">
            <w:pPr>
              <w:pStyle w:val="Normal-pool-Table"/>
              <w:jc w:val="right"/>
              <w:rPr>
                <w:szCs w:val="18"/>
              </w:rPr>
            </w:pPr>
            <w:r w:rsidRPr="007647EB">
              <w:rPr>
                <w:color w:val="000000"/>
              </w:rPr>
              <w:t>0,008</w:t>
            </w:r>
          </w:p>
        </w:tc>
        <w:tc>
          <w:tcPr>
            <w:tcW w:w="1134" w:type="dxa"/>
            <w:tcBorders>
              <w:top w:val="nil"/>
              <w:left w:val="nil"/>
              <w:bottom w:val="single" w:sz="4" w:space="0" w:color="auto"/>
              <w:right w:val="single" w:sz="4" w:space="0" w:color="auto"/>
            </w:tcBorders>
            <w:noWrap/>
            <w:hideMark/>
          </w:tcPr>
          <w:p w14:paraId="46C8C339"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EF645D0"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8E109D0"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C4254D2" w14:textId="77777777" w:rsidR="00B03672" w:rsidRPr="007647EB" w:rsidRDefault="00B03672" w:rsidP="008123FC">
            <w:pPr>
              <w:pStyle w:val="Normal-pool-Table"/>
              <w:jc w:val="right"/>
              <w:rPr>
                <w:szCs w:val="18"/>
              </w:rPr>
            </w:pPr>
            <w:r w:rsidRPr="007647EB">
              <w:rPr>
                <w:color w:val="000000"/>
              </w:rPr>
              <w:t>715</w:t>
            </w:r>
          </w:p>
        </w:tc>
      </w:tr>
      <w:tr w:rsidR="00B03672" w:rsidRPr="007647EB" w14:paraId="3DAED70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CE3818C" w14:textId="5257572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EEDB3CC" w14:textId="77777777" w:rsidR="00B03672" w:rsidRPr="007647EB" w:rsidRDefault="00B03672" w:rsidP="008123FC">
            <w:pPr>
              <w:pStyle w:val="Normal-pool-Table"/>
              <w:rPr>
                <w:szCs w:val="18"/>
              </w:rPr>
            </w:pPr>
            <w:r w:rsidRPr="007647EB">
              <w:rPr>
                <w:color w:val="000000"/>
              </w:rPr>
              <w:t>Chine</w:t>
            </w:r>
          </w:p>
        </w:tc>
        <w:tc>
          <w:tcPr>
            <w:tcW w:w="1395" w:type="dxa"/>
            <w:tcBorders>
              <w:top w:val="nil"/>
              <w:left w:val="nil"/>
              <w:bottom w:val="single" w:sz="4" w:space="0" w:color="auto"/>
              <w:right w:val="single" w:sz="4" w:space="0" w:color="auto"/>
            </w:tcBorders>
            <w:noWrap/>
            <w:hideMark/>
          </w:tcPr>
          <w:p w14:paraId="20176E15" w14:textId="77777777" w:rsidR="00B03672" w:rsidRPr="007647EB" w:rsidRDefault="00B03672" w:rsidP="008123FC">
            <w:pPr>
              <w:pStyle w:val="Normal-pool-Table"/>
              <w:jc w:val="right"/>
              <w:rPr>
                <w:szCs w:val="18"/>
              </w:rPr>
            </w:pPr>
            <w:r w:rsidRPr="007647EB">
              <w:rPr>
                <w:color w:val="000000"/>
              </w:rPr>
              <w:t>20,004</w:t>
            </w:r>
          </w:p>
        </w:tc>
        <w:tc>
          <w:tcPr>
            <w:tcW w:w="1134" w:type="dxa"/>
            <w:tcBorders>
              <w:top w:val="nil"/>
              <w:left w:val="nil"/>
              <w:bottom w:val="single" w:sz="4" w:space="0" w:color="auto"/>
              <w:right w:val="single" w:sz="4" w:space="0" w:color="auto"/>
            </w:tcBorders>
            <w:noWrap/>
            <w:hideMark/>
          </w:tcPr>
          <w:p w14:paraId="3DE6CE5B" w14:textId="77777777" w:rsidR="00B03672" w:rsidRPr="007647EB" w:rsidRDefault="00B03672" w:rsidP="008123FC">
            <w:pPr>
              <w:pStyle w:val="Normal-pool-Table"/>
              <w:jc w:val="right"/>
              <w:rPr>
                <w:szCs w:val="18"/>
              </w:rPr>
            </w:pPr>
            <w:r w:rsidRPr="007647EB">
              <w:rPr>
                <w:color w:val="000000"/>
              </w:rPr>
              <w:t>20,1902</w:t>
            </w:r>
          </w:p>
        </w:tc>
        <w:tc>
          <w:tcPr>
            <w:tcW w:w="1276" w:type="dxa"/>
            <w:tcBorders>
              <w:top w:val="nil"/>
              <w:left w:val="nil"/>
              <w:bottom w:val="single" w:sz="4" w:space="0" w:color="auto"/>
              <w:right w:val="single" w:sz="4" w:space="0" w:color="auto"/>
            </w:tcBorders>
            <w:noWrap/>
            <w:hideMark/>
          </w:tcPr>
          <w:p w14:paraId="5A8751C6" w14:textId="77777777" w:rsidR="00B03672" w:rsidRPr="007647EB" w:rsidRDefault="00B03672" w:rsidP="008123FC">
            <w:pPr>
              <w:pStyle w:val="Normal-pool-Table"/>
              <w:jc w:val="right"/>
              <w:rPr>
                <w:szCs w:val="18"/>
              </w:rPr>
            </w:pPr>
            <w:r w:rsidRPr="007647EB">
              <w:rPr>
                <w:color w:val="000000"/>
              </w:rPr>
              <w:t>622 535</w:t>
            </w:r>
          </w:p>
        </w:tc>
        <w:tc>
          <w:tcPr>
            <w:tcW w:w="1276" w:type="dxa"/>
            <w:tcBorders>
              <w:top w:val="nil"/>
              <w:left w:val="nil"/>
              <w:bottom w:val="single" w:sz="4" w:space="0" w:color="auto"/>
              <w:right w:val="single" w:sz="4" w:space="0" w:color="auto"/>
            </w:tcBorders>
            <w:noWrap/>
            <w:hideMark/>
          </w:tcPr>
          <w:p w14:paraId="1458F52B" w14:textId="77777777" w:rsidR="00B03672" w:rsidRPr="007647EB" w:rsidRDefault="00B03672" w:rsidP="008123FC">
            <w:pPr>
              <w:pStyle w:val="Normal-pool-Table"/>
              <w:jc w:val="right"/>
              <w:rPr>
                <w:szCs w:val="18"/>
              </w:rPr>
            </w:pPr>
            <w:r w:rsidRPr="007647EB">
              <w:rPr>
                <w:color w:val="000000"/>
              </w:rPr>
              <w:t>821 595</w:t>
            </w:r>
          </w:p>
        </w:tc>
        <w:tc>
          <w:tcPr>
            <w:tcW w:w="1291" w:type="dxa"/>
            <w:tcBorders>
              <w:top w:val="nil"/>
              <w:left w:val="nil"/>
              <w:bottom w:val="single" w:sz="4" w:space="0" w:color="auto"/>
              <w:right w:val="single" w:sz="4" w:space="0" w:color="auto"/>
            </w:tcBorders>
            <w:noWrap/>
            <w:hideMark/>
          </w:tcPr>
          <w:p w14:paraId="33C23D1A" w14:textId="77777777" w:rsidR="00B03672" w:rsidRPr="007647EB" w:rsidRDefault="00B03672" w:rsidP="008123FC">
            <w:pPr>
              <w:pStyle w:val="Normal-pool-Table"/>
              <w:jc w:val="right"/>
              <w:rPr>
                <w:szCs w:val="18"/>
              </w:rPr>
            </w:pPr>
            <w:r w:rsidRPr="007647EB">
              <w:rPr>
                <w:color w:val="000000"/>
              </w:rPr>
              <w:t>1 444 131</w:t>
            </w:r>
          </w:p>
        </w:tc>
      </w:tr>
      <w:tr w:rsidR="00B03672" w:rsidRPr="007647EB" w14:paraId="389FA9A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77CE7EF" w14:textId="7BB6856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DAB057" w14:textId="77777777" w:rsidR="00B03672" w:rsidRPr="007647EB" w:rsidRDefault="00B03672" w:rsidP="008123FC">
            <w:pPr>
              <w:pStyle w:val="Normal-pool-Table"/>
              <w:rPr>
                <w:szCs w:val="18"/>
              </w:rPr>
            </w:pPr>
            <w:r w:rsidRPr="007647EB">
              <w:rPr>
                <w:color w:val="000000"/>
              </w:rPr>
              <w:t>Chypre</w:t>
            </w:r>
          </w:p>
        </w:tc>
        <w:tc>
          <w:tcPr>
            <w:tcW w:w="1395" w:type="dxa"/>
            <w:tcBorders>
              <w:top w:val="nil"/>
              <w:left w:val="nil"/>
              <w:bottom w:val="single" w:sz="4" w:space="0" w:color="auto"/>
              <w:right w:val="single" w:sz="4" w:space="0" w:color="auto"/>
            </w:tcBorders>
            <w:noWrap/>
            <w:hideMark/>
          </w:tcPr>
          <w:p w14:paraId="19ABBE78" w14:textId="77777777" w:rsidR="00B03672" w:rsidRPr="007647EB" w:rsidRDefault="00B03672" w:rsidP="008123FC">
            <w:pPr>
              <w:pStyle w:val="Normal-pool-Table"/>
              <w:jc w:val="right"/>
              <w:rPr>
                <w:szCs w:val="18"/>
              </w:rPr>
            </w:pPr>
            <w:r w:rsidRPr="007647EB">
              <w:rPr>
                <w:color w:val="000000"/>
              </w:rPr>
              <w:t>0,035</w:t>
            </w:r>
          </w:p>
        </w:tc>
        <w:tc>
          <w:tcPr>
            <w:tcW w:w="1134" w:type="dxa"/>
            <w:tcBorders>
              <w:top w:val="nil"/>
              <w:left w:val="nil"/>
              <w:bottom w:val="single" w:sz="4" w:space="0" w:color="auto"/>
              <w:right w:val="single" w:sz="4" w:space="0" w:color="auto"/>
            </w:tcBorders>
            <w:noWrap/>
            <w:hideMark/>
          </w:tcPr>
          <w:p w14:paraId="6CB6B24B" w14:textId="77777777" w:rsidR="00B03672" w:rsidRPr="007647EB" w:rsidRDefault="00B03672" w:rsidP="008123FC">
            <w:pPr>
              <w:pStyle w:val="Normal-pool-Table"/>
              <w:jc w:val="right"/>
              <w:rPr>
                <w:szCs w:val="18"/>
              </w:rPr>
            </w:pPr>
            <w:r w:rsidRPr="007647EB">
              <w:rPr>
                <w:color w:val="000000"/>
              </w:rPr>
              <w:t>0,0353</w:t>
            </w:r>
          </w:p>
        </w:tc>
        <w:tc>
          <w:tcPr>
            <w:tcW w:w="1276" w:type="dxa"/>
            <w:tcBorders>
              <w:top w:val="nil"/>
              <w:left w:val="nil"/>
              <w:bottom w:val="single" w:sz="4" w:space="0" w:color="auto"/>
              <w:right w:val="single" w:sz="4" w:space="0" w:color="auto"/>
            </w:tcBorders>
            <w:noWrap/>
            <w:hideMark/>
          </w:tcPr>
          <w:p w14:paraId="37E2E9FF" w14:textId="77777777" w:rsidR="00B03672" w:rsidRPr="007647EB" w:rsidRDefault="00B03672" w:rsidP="008123FC">
            <w:pPr>
              <w:pStyle w:val="Normal-pool-Table"/>
              <w:jc w:val="right"/>
              <w:rPr>
                <w:szCs w:val="18"/>
              </w:rPr>
            </w:pPr>
            <w:r w:rsidRPr="007647EB">
              <w:rPr>
                <w:color w:val="000000"/>
              </w:rPr>
              <w:t>1 089</w:t>
            </w:r>
          </w:p>
        </w:tc>
        <w:tc>
          <w:tcPr>
            <w:tcW w:w="1276" w:type="dxa"/>
            <w:tcBorders>
              <w:top w:val="nil"/>
              <w:left w:val="nil"/>
              <w:bottom w:val="single" w:sz="4" w:space="0" w:color="auto"/>
              <w:right w:val="single" w:sz="4" w:space="0" w:color="auto"/>
            </w:tcBorders>
            <w:noWrap/>
            <w:hideMark/>
          </w:tcPr>
          <w:p w14:paraId="1737B421" w14:textId="77777777" w:rsidR="00B03672" w:rsidRPr="007647EB" w:rsidRDefault="00B03672" w:rsidP="008123FC">
            <w:pPr>
              <w:pStyle w:val="Normal-pool-Table"/>
              <w:jc w:val="right"/>
              <w:rPr>
                <w:szCs w:val="18"/>
              </w:rPr>
            </w:pPr>
            <w:r w:rsidRPr="007647EB">
              <w:rPr>
                <w:color w:val="000000"/>
              </w:rPr>
              <w:t>1 438</w:t>
            </w:r>
          </w:p>
        </w:tc>
        <w:tc>
          <w:tcPr>
            <w:tcW w:w="1291" w:type="dxa"/>
            <w:tcBorders>
              <w:top w:val="nil"/>
              <w:left w:val="nil"/>
              <w:bottom w:val="single" w:sz="4" w:space="0" w:color="auto"/>
              <w:right w:val="single" w:sz="4" w:space="0" w:color="auto"/>
            </w:tcBorders>
            <w:noWrap/>
            <w:hideMark/>
          </w:tcPr>
          <w:p w14:paraId="4F061D52" w14:textId="77777777" w:rsidR="00B03672" w:rsidRPr="007647EB" w:rsidRDefault="00B03672" w:rsidP="008123FC">
            <w:pPr>
              <w:pStyle w:val="Normal-pool-Table"/>
              <w:jc w:val="right"/>
              <w:rPr>
                <w:szCs w:val="18"/>
              </w:rPr>
            </w:pPr>
            <w:r w:rsidRPr="007647EB">
              <w:rPr>
                <w:color w:val="000000"/>
              </w:rPr>
              <w:t>2 527</w:t>
            </w:r>
          </w:p>
        </w:tc>
      </w:tr>
      <w:tr w:rsidR="00B03672" w:rsidRPr="007647EB" w14:paraId="17D013C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03B7355" w14:textId="24286FE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3C468A8" w14:textId="77777777" w:rsidR="00B03672" w:rsidRPr="007647EB" w:rsidRDefault="00B03672" w:rsidP="008123FC">
            <w:pPr>
              <w:pStyle w:val="Normal-pool-Table"/>
              <w:rPr>
                <w:szCs w:val="18"/>
              </w:rPr>
            </w:pPr>
            <w:r w:rsidRPr="007647EB">
              <w:rPr>
                <w:color w:val="000000"/>
              </w:rPr>
              <w:t>Émirats arabes unis</w:t>
            </w:r>
          </w:p>
        </w:tc>
        <w:tc>
          <w:tcPr>
            <w:tcW w:w="1395" w:type="dxa"/>
            <w:tcBorders>
              <w:top w:val="nil"/>
              <w:left w:val="nil"/>
              <w:bottom w:val="single" w:sz="4" w:space="0" w:color="auto"/>
              <w:right w:val="single" w:sz="4" w:space="0" w:color="auto"/>
            </w:tcBorders>
            <w:noWrap/>
            <w:hideMark/>
          </w:tcPr>
          <w:p w14:paraId="00EFDAA3" w14:textId="77777777" w:rsidR="00B03672" w:rsidRPr="007647EB" w:rsidRDefault="00B03672" w:rsidP="008123FC">
            <w:pPr>
              <w:pStyle w:val="Normal-pool-Table"/>
              <w:jc w:val="right"/>
              <w:rPr>
                <w:szCs w:val="18"/>
              </w:rPr>
            </w:pPr>
            <w:r w:rsidRPr="007647EB">
              <w:rPr>
                <w:color w:val="000000"/>
              </w:rPr>
              <w:t>0,574</w:t>
            </w:r>
          </w:p>
        </w:tc>
        <w:tc>
          <w:tcPr>
            <w:tcW w:w="1134" w:type="dxa"/>
            <w:tcBorders>
              <w:top w:val="nil"/>
              <w:left w:val="nil"/>
              <w:bottom w:val="single" w:sz="4" w:space="0" w:color="auto"/>
              <w:right w:val="single" w:sz="4" w:space="0" w:color="auto"/>
            </w:tcBorders>
            <w:noWrap/>
            <w:hideMark/>
          </w:tcPr>
          <w:p w14:paraId="0CA35E62" w14:textId="77777777" w:rsidR="00B03672" w:rsidRPr="007647EB" w:rsidRDefault="00B03672" w:rsidP="008123FC">
            <w:pPr>
              <w:pStyle w:val="Normal-pool-Table"/>
              <w:jc w:val="right"/>
              <w:rPr>
                <w:szCs w:val="18"/>
              </w:rPr>
            </w:pPr>
            <w:r w:rsidRPr="007647EB">
              <w:rPr>
                <w:color w:val="000000"/>
              </w:rPr>
              <w:t>0,5793</w:t>
            </w:r>
          </w:p>
        </w:tc>
        <w:tc>
          <w:tcPr>
            <w:tcW w:w="1276" w:type="dxa"/>
            <w:tcBorders>
              <w:top w:val="nil"/>
              <w:left w:val="nil"/>
              <w:bottom w:val="single" w:sz="4" w:space="0" w:color="auto"/>
              <w:right w:val="single" w:sz="4" w:space="0" w:color="auto"/>
            </w:tcBorders>
            <w:noWrap/>
            <w:hideMark/>
          </w:tcPr>
          <w:p w14:paraId="72688DCC" w14:textId="77777777" w:rsidR="00B03672" w:rsidRPr="007647EB" w:rsidRDefault="00B03672" w:rsidP="008123FC">
            <w:pPr>
              <w:pStyle w:val="Normal-pool-Table"/>
              <w:jc w:val="right"/>
              <w:rPr>
                <w:szCs w:val="18"/>
              </w:rPr>
            </w:pPr>
            <w:r w:rsidRPr="007647EB">
              <w:rPr>
                <w:color w:val="000000"/>
              </w:rPr>
              <w:t>17 863</w:t>
            </w:r>
          </w:p>
        </w:tc>
        <w:tc>
          <w:tcPr>
            <w:tcW w:w="1276" w:type="dxa"/>
            <w:tcBorders>
              <w:top w:val="nil"/>
              <w:left w:val="nil"/>
              <w:bottom w:val="single" w:sz="4" w:space="0" w:color="auto"/>
              <w:right w:val="single" w:sz="4" w:space="0" w:color="auto"/>
            </w:tcBorders>
            <w:noWrap/>
            <w:hideMark/>
          </w:tcPr>
          <w:p w14:paraId="3014B94B" w14:textId="77777777" w:rsidR="00B03672" w:rsidRPr="007647EB" w:rsidRDefault="00B03672" w:rsidP="008123FC">
            <w:pPr>
              <w:pStyle w:val="Normal-pool-Table"/>
              <w:jc w:val="right"/>
              <w:rPr>
                <w:szCs w:val="18"/>
              </w:rPr>
            </w:pPr>
            <w:r w:rsidRPr="007647EB">
              <w:rPr>
                <w:color w:val="000000"/>
              </w:rPr>
              <w:t>23 575</w:t>
            </w:r>
          </w:p>
        </w:tc>
        <w:tc>
          <w:tcPr>
            <w:tcW w:w="1291" w:type="dxa"/>
            <w:tcBorders>
              <w:top w:val="nil"/>
              <w:left w:val="nil"/>
              <w:bottom w:val="single" w:sz="4" w:space="0" w:color="auto"/>
              <w:right w:val="single" w:sz="4" w:space="0" w:color="auto"/>
            </w:tcBorders>
            <w:noWrap/>
            <w:hideMark/>
          </w:tcPr>
          <w:p w14:paraId="26153CF4" w14:textId="77777777" w:rsidR="00B03672" w:rsidRPr="007647EB" w:rsidRDefault="00B03672" w:rsidP="008123FC">
            <w:pPr>
              <w:pStyle w:val="Normal-pool-Table"/>
              <w:jc w:val="right"/>
              <w:rPr>
                <w:szCs w:val="18"/>
              </w:rPr>
            </w:pPr>
            <w:r w:rsidRPr="007647EB">
              <w:rPr>
                <w:color w:val="000000"/>
              </w:rPr>
              <w:t>41 438</w:t>
            </w:r>
          </w:p>
        </w:tc>
      </w:tr>
      <w:tr w:rsidR="00B03672" w:rsidRPr="007647EB" w14:paraId="49FA9D4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493FA3C" w14:textId="3E5A90D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BF39F12" w14:textId="77777777" w:rsidR="00B03672" w:rsidRPr="007647EB" w:rsidRDefault="00B03672" w:rsidP="008123FC">
            <w:pPr>
              <w:pStyle w:val="Normal-pool-Table"/>
              <w:rPr>
                <w:szCs w:val="18"/>
              </w:rPr>
            </w:pPr>
            <w:r w:rsidRPr="007647EB">
              <w:rPr>
                <w:color w:val="000000"/>
              </w:rPr>
              <w:t>État de Palestine</w:t>
            </w:r>
          </w:p>
        </w:tc>
        <w:tc>
          <w:tcPr>
            <w:tcW w:w="1395" w:type="dxa"/>
            <w:tcBorders>
              <w:top w:val="nil"/>
              <w:left w:val="nil"/>
              <w:bottom w:val="single" w:sz="4" w:space="0" w:color="auto"/>
              <w:right w:val="single" w:sz="4" w:space="0" w:color="auto"/>
            </w:tcBorders>
            <w:noWrap/>
            <w:hideMark/>
          </w:tcPr>
          <w:p w14:paraId="2C2A5620" w14:textId="77777777" w:rsidR="00B03672" w:rsidRPr="007647EB" w:rsidRDefault="00B03672"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6F36C245" w14:textId="77777777" w:rsidR="00B03672" w:rsidRPr="007647EB" w:rsidRDefault="00B03672"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22C7B732" w14:textId="77777777" w:rsidR="00B03672" w:rsidRPr="007647EB" w:rsidRDefault="00B03672"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62CBC2D1" w14:textId="77777777" w:rsidR="00B03672" w:rsidRPr="007647EB" w:rsidRDefault="00B03672"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3DFDBAF8" w14:textId="77777777" w:rsidR="00B03672" w:rsidRPr="007647EB" w:rsidRDefault="00B03672" w:rsidP="008123FC">
            <w:pPr>
              <w:pStyle w:val="Normal-pool-Table"/>
              <w:jc w:val="right"/>
              <w:rPr>
                <w:szCs w:val="18"/>
              </w:rPr>
            </w:pPr>
            <w:r w:rsidRPr="007647EB">
              <w:rPr>
                <w:color w:val="000000"/>
              </w:rPr>
              <w:t>794</w:t>
            </w:r>
          </w:p>
        </w:tc>
      </w:tr>
      <w:tr w:rsidR="00B03672" w:rsidRPr="007647EB" w14:paraId="47CBB01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E7076D3" w14:textId="3374703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B8B41D0" w14:textId="77777777" w:rsidR="00B03672" w:rsidRPr="007647EB" w:rsidRDefault="00B03672" w:rsidP="008123FC">
            <w:pPr>
              <w:pStyle w:val="Normal-pool-Table"/>
              <w:rPr>
                <w:szCs w:val="18"/>
              </w:rPr>
            </w:pPr>
            <w:r w:rsidRPr="007647EB">
              <w:rPr>
                <w:color w:val="000000"/>
              </w:rPr>
              <w:t>Îles Marshall</w:t>
            </w:r>
          </w:p>
        </w:tc>
        <w:tc>
          <w:tcPr>
            <w:tcW w:w="1395" w:type="dxa"/>
            <w:tcBorders>
              <w:top w:val="nil"/>
              <w:left w:val="nil"/>
              <w:bottom w:val="single" w:sz="4" w:space="0" w:color="auto"/>
              <w:right w:val="single" w:sz="4" w:space="0" w:color="auto"/>
            </w:tcBorders>
            <w:noWrap/>
            <w:hideMark/>
          </w:tcPr>
          <w:p w14:paraId="18689524"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7F2E51F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F0BE419"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63A6BB8"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A436D7A" w14:textId="77777777" w:rsidR="00B03672" w:rsidRPr="007647EB" w:rsidRDefault="00B03672" w:rsidP="008123FC">
            <w:pPr>
              <w:pStyle w:val="Normal-pool-Table"/>
              <w:jc w:val="right"/>
              <w:rPr>
                <w:szCs w:val="18"/>
              </w:rPr>
            </w:pPr>
            <w:r w:rsidRPr="007647EB">
              <w:rPr>
                <w:color w:val="000000"/>
              </w:rPr>
              <w:t>715</w:t>
            </w:r>
          </w:p>
        </w:tc>
      </w:tr>
      <w:tr w:rsidR="00B03672" w:rsidRPr="007647EB" w14:paraId="36087A1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C2E78B4" w14:textId="1501A01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DD98D3F" w14:textId="77777777" w:rsidR="00B03672" w:rsidRPr="007647EB" w:rsidRDefault="00B03672" w:rsidP="008123FC">
            <w:pPr>
              <w:pStyle w:val="Normal-pool-Table"/>
              <w:rPr>
                <w:szCs w:val="18"/>
              </w:rPr>
            </w:pPr>
            <w:r w:rsidRPr="007647EB">
              <w:rPr>
                <w:color w:val="000000"/>
              </w:rPr>
              <w:t>Inde</w:t>
            </w:r>
          </w:p>
        </w:tc>
        <w:tc>
          <w:tcPr>
            <w:tcW w:w="1395" w:type="dxa"/>
            <w:tcBorders>
              <w:top w:val="nil"/>
              <w:left w:val="nil"/>
              <w:bottom w:val="single" w:sz="4" w:space="0" w:color="auto"/>
              <w:right w:val="single" w:sz="4" w:space="0" w:color="auto"/>
            </w:tcBorders>
            <w:noWrap/>
            <w:hideMark/>
          </w:tcPr>
          <w:p w14:paraId="2E0C8D78" w14:textId="77777777" w:rsidR="00B03672" w:rsidRPr="007647EB" w:rsidRDefault="00B03672" w:rsidP="008123FC">
            <w:pPr>
              <w:pStyle w:val="Normal-pool-Table"/>
              <w:jc w:val="right"/>
              <w:rPr>
                <w:szCs w:val="18"/>
              </w:rPr>
            </w:pPr>
            <w:r w:rsidRPr="007647EB">
              <w:rPr>
                <w:color w:val="000000"/>
              </w:rPr>
              <w:t>1,106</w:t>
            </w:r>
          </w:p>
        </w:tc>
        <w:tc>
          <w:tcPr>
            <w:tcW w:w="1134" w:type="dxa"/>
            <w:tcBorders>
              <w:top w:val="nil"/>
              <w:left w:val="nil"/>
              <w:bottom w:val="single" w:sz="4" w:space="0" w:color="auto"/>
              <w:right w:val="single" w:sz="4" w:space="0" w:color="auto"/>
            </w:tcBorders>
            <w:noWrap/>
            <w:hideMark/>
          </w:tcPr>
          <w:p w14:paraId="329BF76E" w14:textId="77777777" w:rsidR="00B03672" w:rsidRPr="007647EB" w:rsidRDefault="00B03672" w:rsidP="008123FC">
            <w:pPr>
              <w:pStyle w:val="Normal-pool-Table"/>
              <w:jc w:val="right"/>
              <w:rPr>
                <w:szCs w:val="18"/>
              </w:rPr>
            </w:pPr>
            <w:r w:rsidRPr="007647EB">
              <w:rPr>
                <w:color w:val="000000"/>
              </w:rPr>
              <w:t>1,1163</w:t>
            </w:r>
          </w:p>
        </w:tc>
        <w:tc>
          <w:tcPr>
            <w:tcW w:w="1276" w:type="dxa"/>
            <w:tcBorders>
              <w:top w:val="nil"/>
              <w:left w:val="nil"/>
              <w:bottom w:val="single" w:sz="4" w:space="0" w:color="auto"/>
              <w:right w:val="single" w:sz="4" w:space="0" w:color="auto"/>
            </w:tcBorders>
            <w:noWrap/>
            <w:hideMark/>
          </w:tcPr>
          <w:p w14:paraId="247011B3" w14:textId="77777777" w:rsidR="00B03672" w:rsidRPr="007647EB" w:rsidRDefault="00B03672" w:rsidP="008123FC">
            <w:pPr>
              <w:pStyle w:val="Normal-pool-Table"/>
              <w:jc w:val="right"/>
              <w:rPr>
                <w:szCs w:val="18"/>
              </w:rPr>
            </w:pPr>
            <w:r w:rsidRPr="007647EB">
              <w:rPr>
                <w:color w:val="000000"/>
              </w:rPr>
              <w:t>34 419</w:t>
            </w:r>
          </w:p>
        </w:tc>
        <w:tc>
          <w:tcPr>
            <w:tcW w:w="1276" w:type="dxa"/>
            <w:tcBorders>
              <w:top w:val="nil"/>
              <w:left w:val="nil"/>
              <w:bottom w:val="single" w:sz="4" w:space="0" w:color="auto"/>
              <w:right w:val="single" w:sz="4" w:space="0" w:color="auto"/>
            </w:tcBorders>
            <w:noWrap/>
            <w:hideMark/>
          </w:tcPr>
          <w:p w14:paraId="7A63D897" w14:textId="77777777" w:rsidR="00B03672" w:rsidRPr="007647EB" w:rsidRDefault="00B03672" w:rsidP="008123FC">
            <w:pPr>
              <w:pStyle w:val="Normal-pool-Table"/>
              <w:jc w:val="right"/>
              <w:rPr>
                <w:szCs w:val="18"/>
              </w:rPr>
            </w:pPr>
            <w:r w:rsidRPr="007647EB">
              <w:rPr>
                <w:color w:val="000000"/>
              </w:rPr>
              <w:t>45 425</w:t>
            </w:r>
          </w:p>
        </w:tc>
        <w:tc>
          <w:tcPr>
            <w:tcW w:w="1291" w:type="dxa"/>
            <w:tcBorders>
              <w:top w:val="nil"/>
              <w:left w:val="nil"/>
              <w:bottom w:val="single" w:sz="4" w:space="0" w:color="auto"/>
              <w:right w:val="single" w:sz="4" w:space="0" w:color="auto"/>
            </w:tcBorders>
            <w:noWrap/>
            <w:hideMark/>
          </w:tcPr>
          <w:p w14:paraId="63790D84" w14:textId="77777777" w:rsidR="00B03672" w:rsidRPr="007647EB" w:rsidRDefault="00B03672" w:rsidP="008123FC">
            <w:pPr>
              <w:pStyle w:val="Normal-pool-Table"/>
              <w:jc w:val="right"/>
              <w:rPr>
                <w:szCs w:val="18"/>
              </w:rPr>
            </w:pPr>
            <w:r w:rsidRPr="007647EB">
              <w:rPr>
                <w:color w:val="000000"/>
              </w:rPr>
              <w:t>79 844</w:t>
            </w:r>
          </w:p>
        </w:tc>
      </w:tr>
      <w:tr w:rsidR="00B03672" w:rsidRPr="007647EB" w14:paraId="2B8FA07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E41795B" w14:textId="7A68198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0D99B8F" w14:textId="77777777" w:rsidR="00B03672" w:rsidRPr="007647EB" w:rsidRDefault="00B03672" w:rsidP="008123FC">
            <w:pPr>
              <w:pStyle w:val="Normal-pool-Table"/>
              <w:rPr>
                <w:szCs w:val="18"/>
              </w:rPr>
            </w:pPr>
            <w:r w:rsidRPr="007647EB">
              <w:rPr>
                <w:color w:val="000000"/>
              </w:rPr>
              <w:t>Indonésie</w:t>
            </w:r>
          </w:p>
        </w:tc>
        <w:tc>
          <w:tcPr>
            <w:tcW w:w="1395" w:type="dxa"/>
            <w:tcBorders>
              <w:top w:val="nil"/>
              <w:left w:val="nil"/>
              <w:bottom w:val="single" w:sz="4" w:space="0" w:color="auto"/>
              <w:right w:val="single" w:sz="4" w:space="0" w:color="auto"/>
            </w:tcBorders>
            <w:noWrap/>
            <w:hideMark/>
          </w:tcPr>
          <w:p w14:paraId="27318E66" w14:textId="77777777" w:rsidR="00B03672" w:rsidRPr="007647EB" w:rsidRDefault="00B03672" w:rsidP="008123FC">
            <w:pPr>
              <w:pStyle w:val="Normal-pool-Table"/>
              <w:jc w:val="right"/>
              <w:rPr>
                <w:szCs w:val="18"/>
              </w:rPr>
            </w:pPr>
            <w:r w:rsidRPr="007647EB">
              <w:rPr>
                <w:color w:val="000000"/>
              </w:rPr>
              <w:t>0,579</w:t>
            </w:r>
          </w:p>
        </w:tc>
        <w:tc>
          <w:tcPr>
            <w:tcW w:w="1134" w:type="dxa"/>
            <w:tcBorders>
              <w:top w:val="nil"/>
              <w:left w:val="nil"/>
              <w:bottom w:val="single" w:sz="4" w:space="0" w:color="auto"/>
              <w:right w:val="single" w:sz="4" w:space="0" w:color="auto"/>
            </w:tcBorders>
            <w:noWrap/>
            <w:hideMark/>
          </w:tcPr>
          <w:p w14:paraId="3330A38A" w14:textId="77777777" w:rsidR="00B03672" w:rsidRPr="007647EB" w:rsidRDefault="00B03672" w:rsidP="008123FC">
            <w:pPr>
              <w:pStyle w:val="Normal-pool-Table"/>
              <w:jc w:val="right"/>
              <w:rPr>
                <w:szCs w:val="18"/>
              </w:rPr>
            </w:pPr>
            <w:r w:rsidRPr="007647EB">
              <w:rPr>
                <w:color w:val="000000"/>
              </w:rPr>
              <w:t>0,5844</w:t>
            </w:r>
          </w:p>
        </w:tc>
        <w:tc>
          <w:tcPr>
            <w:tcW w:w="1276" w:type="dxa"/>
            <w:tcBorders>
              <w:top w:val="nil"/>
              <w:left w:val="nil"/>
              <w:bottom w:val="single" w:sz="4" w:space="0" w:color="auto"/>
              <w:right w:val="single" w:sz="4" w:space="0" w:color="auto"/>
            </w:tcBorders>
            <w:noWrap/>
            <w:hideMark/>
          </w:tcPr>
          <w:p w14:paraId="6BFEBFB8" w14:textId="77777777" w:rsidR="00B03672" w:rsidRPr="007647EB" w:rsidRDefault="00B03672" w:rsidP="008123FC">
            <w:pPr>
              <w:pStyle w:val="Normal-pool-Table"/>
              <w:jc w:val="right"/>
              <w:rPr>
                <w:szCs w:val="18"/>
              </w:rPr>
            </w:pPr>
            <w:r w:rsidRPr="007647EB">
              <w:rPr>
                <w:color w:val="000000"/>
              </w:rPr>
              <w:t>18 019</w:t>
            </w:r>
          </w:p>
        </w:tc>
        <w:tc>
          <w:tcPr>
            <w:tcW w:w="1276" w:type="dxa"/>
            <w:tcBorders>
              <w:top w:val="nil"/>
              <w:left w:val="nil"/>
              <w:bottom w:val="single" w:sz="4" w:space="0" w:color="auto"/>
              <w:right w:val="single" w:sz="4" w:space="0" w:color="auto"/>
            </w:tcBorders>
            <w:noWrap/>
            <w:hideMark/>
          </w:tcPr>
          <w:p w14:paraId="270DE6D6" w14:textId="77777777" w:rsidR="00B03672" w:rsidRPr="007647EB" w:rsidRDefault="00B03672" w:rsidP="008123FC">
            <w:pPr>
              <w:pStyle w:val="Normal-pool-Table"/>
              <w:jc w:val="right"/>
              <w:rPr>
                <w:szCs w:val="18"/>
              </w:rPr>
            </w:pPr>
            <w:r w:rsidRPr="007647EB">
              <w:rPr>
                <w:color w:val="000000"/>
              </w:rPr>
              <w:t>23 780</w:t>
            </w:r>
          </w:p>
        </w:tc>
        <w:tc>
          <w:tcPr>
            <w:tcW w:w="1291" w:type="dxa"/>
            <w:tcBorders>
              <w:top w:val="nil"/>
              <w:left w:val="nil"/>
              <w:bottom w:val="single" w:sz="4" w:space="0" w:color="auto"/>
              <w:right w:val="single" w:sz="4" w:space="0" w:color="auto"/>
            </w:tcBorders>
            <w:noWrap/>
            <w:hideMark/>
          </w:tcPr>
          <w:p w14:paraId="5B5D7648" w14:textId="77777777" w:rsidR="00B03672" w:rsidRPr="007647EB" w:rsidRDefault="00B03672" w:rsidP="008123FC">
            <w:pPr>
              <w:pStyle w:val="Normal-pool-Table"/>
              <w:jc w:val="right"/>
              <w:rPr>
                <w:szCs w:val="18"/>
              </w:rPr>
            </w:pPr>
            <w:r w:rsidRPr="007647EB">
              <w:rPr>
                <w:color w:val="000000"/>
              </w:rPr>
              <w:t>41 799</w:t>
            </w:r>
          </w:p>
        </w:tc>
      </w:tr>
      <w:tr w:rsidR="00B03672" w:rsidRPr="007647EB" w14:paraId="3753059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00CD0AC" w14:textId="06A740B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6AE3A97" w14:textId="04ED5F79" w:rsidR="00B03672" w:rsidRPr="007647EB" w:rsidRDefault="00B03672" w:rsidP="008123FC">
            <w:pPr>
              <w:pStyle w:val="Normal-pool-Table"/>
              <w:rPr>
                <w:szCs w:val="18"/>
              </w:rPr>
            </w:pPr>
            <w:r w:rsidRPr="007647EB">
              <w:rPr>
                <w:color w:val="000000"/>
              </w:rPr>
              <w:t>Iran (République islamique d</w:t>
            </w:r>
            <w:r w:rsidR="00D82E47" w:rsidRPr="007647EB">
              <w:rPr>
                <w:color w:val="000000"/>
              </w:rPr>
              <w:t>’</w:t>
            </w:r>
            <w:r w:rsidRPr="007647EB">
              <w:rPr>
                <w:color w:val="000000"/>
              </w:rPr>
              <w:t>)</w:t>
            </w:r>
          </w:p>
        </w:tc>
        <w:tc>
          <w:tcPr>
            <w:tcW w:w="1395" w:type="dxa"/>
            <w:tcBorders>
              <w:top w:val="nil"/>
              <w:left w:val="nil"/>
              <w:bottom w:val="single" w:sz="4" w:space="0" w:color="auto"/>
              <w:right w:val="single" w:sz="4" w:space="0" w:color="auto"/>
            </w:tcBorders>
            <w:noWrap/>
            <w:hideMark/>
          </w:tcPr>
          <w:p w14:paraId="250A801C" w14:textId="77777777" w:rsidR="00B03672" w:rsidRPr="007647EB" w:rsidRDefault="00B03672" w:rsidP="008123FC">
            <w:pPr>
              <w:pStyle w:val="Normal-pool-Table"/>
              <w:jc w:val="right"/>
              <w:rPr>
                <w:szCs w:val="18"/>
              </w:rPr>
            </w:pPr>
            <w:r w:rsidRPr="007647EB">
              <w:rPr>
                <w:color w:val="000000"/>
              </w:rPr>
              <w:t>0,386</w:t>
            </w:r>
          </w:p>
        </w:tc>
        <w:tc>
          <w:tcPr>
            <w:tcW w:w="1134" w:type="dxa"/>
            <w:tcBorders>
              <w:top w:val="nil"/>
              <w:left w:val="nil"/>
              <w:bottom w:val="single" w:sz="4" w:space="0" w:color="auto"/>
              <w:right w:val="single" w:sz="4" w:space="0" w:color="auto"/>
            </w:tcBorders>
            <w:noWrap/>
            <w:hideMark/>
          </w:tcPr>
          <w:p w14:paraId="1EE17011" w14:textId="77777777" w:rsidR="00B03672" w:rsidRPr="007647EB" w:rsidRDefault="00B03672" w:rsidP="008123FC">
            <w:pPr>
              <w:pStyle w:val="Normal-pool-Table"/>
              <w:jc w:val="right"/>
              <w:rPr>
                <w:szCs w:val="18"/>
              </w:rPr>
            </w:pPr>
            <w:r w:rsidRPr="007647EB">
              <w:rPr>
                <w:color w:val="000000"/>
              </w:rPr>
              <w:t>0,3896</w:t>
            </w:r>
          </w:p>
        </w:tc>
        <w:tc>
          <w:tcPr>
            <w:tcW w:w="1276" w:type="dxa"/>
            <w:tcBorders>
              <w:top w:val="nil"/>
              <w:left w:val="nil"/>
              <w:bottom w:val="single" w:sz="4" w:space="0" w:color="auto"/>
              <w:right w:val="single" w:sz="4" w:space="0" w:color="auto"/>
            </w:tcBorders>
            <w:noWrap/>
            <w:hideMark/>
          </w:tcPr>
          <w:p w14:paraId="4994F100" w14:textId="77777777" w:rsidR="00B03672" w:rsidRPr="007647EB" w:rsidRDefault="00B03672" w:rsidP="008123FC">
            <w:pPr>
              <w:pStyle w:val="Normal-pool-Table"/>
              <w:jc w:val="right"/>
              <w:rPr>
                <w:szCs w:val="18"/>
              </w:rPr>
            </w:pPr>
            <w:r w:rsidRPr="007647EB">
              <w:rPr>
                <w:color w:val="000000"/>
              </w:rPr>
              <w:t>12 013</w:t>
            </w:r>
          </w:p>
        </w:tc>
        <w:tc>
          <w:tcPr>
            <w:tcW w:w="1276" w:type="dxa"/>
            <w:tcBorders>
              <w:top w:val="nil"/>
              <w:left w:val="nil"/>
              <w:bottom w:val="single" w:sz="4" w:space="0" w:color="auto"/>
              <w:right w:val="single" w:sz="4" w:space="0" w:color="auto"/>
            </w:tcBorders>
            <w:noWrap/>
            <w:hideMark/>
          </w:tcPr>
          <w:p w14:paraId="71EE6902" w14:textId="77777777" w:rsidR="00B03672" w:rsidRPr="007647EB" w:rsidRDefault="00B03672" w:rsidP="008123FC">
            <w:pPr>
              <w:pStyle w:val="Normal-pool-Table"/>
              <w:jc w:val="right"/>
              <w:rPr>
                <w:szCs w:val="18"/>
              </w:rPr>
            </w:pPr>
            <w:r w:rsidRPr="007647EB">
              <w:rPr>
                <w:color w:val="000000"/>
              </w:rPr>
              <w:t>15 854</w:t>
            </w:r>
          </w:p>
        </w:tc>
        <w:tc>
          <w:tcPr>
            <w:tcW w:w="1291" w:type="dxa"/>
            <w:tcBorders>
              <w:top w:val="nil"/>
              <w:left w:val="nil"/>
              <w:bottom w:val="single" w:sz="4" w:space="0" w:color="auto"/>
              <w:right w:val="single" w:sz="4" w:space="0" w:color="auto"/>
            </w:tcBorders>
            <w:noWrap/>
            <w:hideMark/>
          </w:tcPr>
          <w:p w14:paraId="623F7406" w14:textId="77777777" w:rsidR="00B03672" w:rsidRPr="007647EB" w:rsidRDefault="00B03672" w:rsidP="008123FC">
            <w:pPr>
              <w:pStyle w:val="Normal-pool-Table"/>
              <w:jc w:val="right"/>
              <w:rPr>
                <w:szCs w:val="18"/>
              </w:rPr>
            </w:pPr>
            <w:r w:rsidRPr="007647EB">
              <w:rPr>
                <w:color w:val="000000"/>
              </w:rPr>
              <w:t>27 866</w:t>
            </w:r>
          </w:p>
        </w:tc>
      </w:tr>
      <w:tr w:rsidR="00B03672" w:rsidRPr="007647EB" w14:paraId="2CDF88F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70A2B8E" w14:textId="596A274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3594D1" w14:textId="77777777" w:rsidR="00B03672" w:rsidRPr="007647EB" w:rsidRDefault="00B03672" w:rsidP="008123FC">
            <w:pPr>
              <w:pStyle w:val="Normal-pool-Table"/>
              <w:rPr>
                <w:szCs w:val="18"/>
              </w:rPr>
            </w:pPr>
            <w:r w:rsidRPr="007647EB">
              <w:rPr>
                <w:color w:val="000000"/>
              </w:rPr>
              <w:t>Iraq</w:t>
            </w:r>
          </w:p>
        </w:tc>
        <w:tc>
          <w:tcPr>
            <w:tcW w:w="1395" w:type="dxa"/>
            <w:tcBorders>
              <w:top w:val="nil"/>
              <w:left w:val="nil"/>
              <w:bottom w:val="single" w:sz="4" w:space="0" w:color="auto"/>
              <w:right w:val="single" w:sz="4" w:space="0" w:color="auto"/>
            </w:tcBorders>
            <w:noWrap/>
            <w:hideMark/>
          </w:tcPr>
          <w:p w14:paraId="1E9AF28A" w14:textId="77777777" w:rsidR="00B03672" w:rsidRPr="007647EB" w:rsidRDefault="00B03672" w:rsidP="008123FC">
            <w:pPr>
              <w:pStyle w:val="Normal-pool-Table"/>
              <w:jc w:val="right"/>
              <w:rPr>
                <w:szCs w:val="18"/>
              </w:rPr>
            </w:pPr>
            <w:r w:rsidRPr="007647EB">
              <w:rPr>
                <w:color w:val="000000"/>
              </w:rPr>
              <w:t>0,131</w:t>
            </w:r>
          </w:p>
        </w:tc>
        <w:tc>
          <w:tcPr>
            <w:tcW w:w="1134" w:type="dxa"/>
            <w:tcBorders>
              <w:top w:val="nil"/>
              <w:left w:val="nil"/>
              <w:bottom w:val="single" w:sz="4" w:space="0" w:color="auto"/>
              <w:right w:val="single" w:sz="4" w:space="0" w:color="auto"/>
            </w:tcBorders>
            <w:noWrap/>
            <w:hideMark/>
          </w:tcPr>
          <w:p w14:paraId="39575F17" w14:textId="77777777" w:rsidR="00B03672" w:rsidRPr="007647EB" w:rsidRDefault="00B03672" w:rsidP="008123FC">
            <w:pPr>
              <w:pStyle w:val="Normal-pool-Table"/>
              <w:jc w:val="right"/>
              <w:rPr>
                <w:szCs w:val="18"/>
              </w:rPr>
            </w:pPr>
            <w:r w:rsidRPr="007647EB">
              <w:rPr>
                <w:color w:val="000000"/>
              </w:rPr>
              <w:t>0,1322</w:t>
            </w:r>
          </w:p>
        </w:tc>
        <w:tc>
          <w:tcPr>
            <w:tcW w:w="1276" w:type="dxa"/>
            <w:tcBorders>
              <w:top w:val="nil"/>
              <w:left w:val="nil"/>
              <w:bottom w:val="single" w:sz="4" w:space="0" w:color="auto"/>
              <w:right w:val="single" w:sz="4" w:space="0" w:color="auto"/>
            </w:tcBorders>
            <w:noWrap/>
            <w:hideMark/>
          </w:tcPr>
          <w:p w14:paraId="67E7CFB8" w14:textId="77777777" w:rsidR="00B03672" w:rsidRPr="007647EB" w:rsidRDefault="00B03672" w:rsidP="008123FC">
            <w:pPr>
              <w:pStyle w:val="Normal-pool-Table"/>
              <w:jc w:val="right"/>
              <w:rPr>
                <w:szCs w:val="18"/>
              </w:rPr>
            </w:pPr>
            <w:r w:rsidRPr="007647EB">
              <w:rPr>
                <w:color w:val="000000"/>
              </w:rPr>
              <w:t>4 077</w:t>
            </w:r>
          </w:p>
        </w:tc>
        <w:tc>
          <w:tcPr>
            <w:tcW w:w="1276" w:type="dxa"/>
            <w:tcBorders>
              <w:top w:val="nil"/>
              <w:left w:val="nil"/>
              <w:bottom w:val="single" w:sz="4" w:space="0" w:color="auto"/>
              <w:right w:val="single" w:sz="4" w:space="0" w:color="auto"/>
            </w:tcBorders>
            <w:noWrap/>
            <w:hideMark/>
          </w:tcPr>
          <w:p w14:paraId="4318A1EE" w14:textId="77777777" w:rsidR="00B03672" w:rsidRPr="007647EB" w:rsidRDefault="00B03672" w:rsidP="008123FC">
            <w:pPr>
              <w:pStyle w:val="Normal-pool-Table"/>
              <w:jc w:val="right"/>
              <w:rPr>
                <w:szCs w:val="18"/>
              </w:rPr>
            </w:pPr>
            <w:r w:rsidRPr="007647EB">
              <w:rPr>
                <w:color w:val="000000"/>
              </w:rPr>
              <w:t>5 380</w:t>
            </w:r>
          </w:p>
        </w:tc>
        <w:tc>
          <w:tcPr>
            <w:tcW w:w="1291" w:type="dxa"/>
            <w:tcBorders>
              <w:top w:val="nil"/>
              <w:left w:val="nil"/>
              <w:bottom w:val="single" w:sz="4" w:space="0" w:color="auto"/>
              <w:right w:val="single" w:sz="4" w:space="0" w:color="auto"/>
            </w:tcBorders>
            <w:noWrap/>
            <w:hideMark/>
          </w:tcPr>
          <w:p w14:paraId="23090A5E" w14:textId="77777777" w:rsidR="00B03672" w:rsidRPr="007647EB" w:rsidRDefault="00B03672" w:rsidP="008123FC">
            <w:pPr>
              <w:pStyle w:val="Normal-pool-Table"/>
              <w:jc w:val="right"/>
              <w:rPr>
                <w:szCs w:val="18"/>
              </w:rPr>
            </w:pPr>
            <w:r w:rsidRPr="007647EB">
              <w:rPr>
                <w:color w:val="000000"/>
              </w:rPr>
              <w:t>9 457</w:t>
            </w:r>
          </w:p>
        </w:tc>
      </w:tr>
      <w:tr w:rsidR="00B03672" w:rsidRPr="007647EB" w14:paraId="423C54C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697781B" w14:textId="5872ED7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BE752A3" w14:textId="77777777" w:rsidR="00B03672" w:rsidRPr="007647EB" w:rsidRDefault="00B03672" w:rsidP="008123FC">
            <w:pPr>
              <w:pStyle w:val="Normal-pool-Table"/>
              <w:rPr>
                <w:szCs w:val="18"/>
              </w:rPr>
            </w:pPr>
            <w:r w:rsidRPr="007647EB">
              <w:rPr>
                <w:color w:val="000000"/>
              </w:rPr>
              <w:t>Israël</w:t>
            </w:r>
          </w:p>
        </w:tc>
        <w:tc>
          <w:tcPr>
            <w:tcW w:w="1395" w:type="dxa"/>
            <w:tcBorders>
              <w:top w:val="nil"/>
              <w:left w:val="nil"/>
              <w:bottom w:val="single" w:sz="4" w:space="0" w:color="auto"/>
              <w:right w:val="single" w:sz="4" w:space="0" w:color="auto"/>
            </w:tcBorders>
            <w:noWrap/>
            <w:hideMark/>
          </w:tcPr>
          <w:p w14:paraId="045A2537" w14:textId="77777777" w:rsidR="00B03672" w:rsidRPr="007647EB" w:rsidRDefault="00B03672" w:rsidP="008123FC">
            <w:pPr>
              <w:pStyle w:val="Normal-pool-Table"/>
              <w:jc w:val="right"/>
              <w:rPr>
                <w:szCs w:val="18"/>
              </w:rPr>
            </w:pPr>
            <w:r w:rsidRPr="007647EB">
              <w:rPr>
                <w:color w:val="000000"/>
              </w:rPr>
              <w:t>0,609</w:t>
            </w:r>
          </w:p>
        </w:tc>
        <w:tc>
          <w:tcPr>
            <w:tcW w:w="1134" w:type="dxa"/>
            <w:tcBorders>
              <w:top w:val="nil"/>
              <w:left w:val="nil"/>
              <w:bottom w:val="single" w:sz="4" w:space="0" w:color="auto"/>
              <w:right w:val="single" w:sz="4" w:space="0" w:color="auto"/>
            </w:tcBorders>
            <w:noWrap/>
            <w:hideMark/>
          </w:tcPr>
          <w:p w14:paraId="115254F9" w14:textId="77777777" w:rsidR="00B03672" w:rsidRPr="007647EB" w:rsidRDefault="00B03672" w:rsidP="008123FC">
            <w:pPr>
              <w:pStyle w:val="Normal-pool-Table"/>
              <w:jc w:val="right"/>
              <w:rPr>
                <w:szCs w:val="18"/>
              </w:rPr>
            </w:pPr>
            <w:r w:rsidRPr="007647EB">
              <w:rPr>
                <w:color w:val="000000"/>
              </w:rPr>
              <w:t>0,6147</w:t>
            </w:r>
          </w:p>
        </w:tc>
        <w:tc>
          <w:tcPr>
            <w:tcW w:w="1276" w:type="dxa"/>
            <w:tcBorders>
              <w:top w:val="nil"/>
              <w:left w:val="nil"/>
              <w:bottom w:val="single" w:sz="4" w:space="0" w:color="auto"/>
              <w:right w:val="single" w:sz="4" w:space="0" w:color="auto"/>
            </w:tcBorders>
            <w:noWrap/>
            <w:hideMark/>
          </w:tcPr>
          <w:p w14:paraId="1E928B75" w14:textId="77777777" w:rsidR="00B03672" w:rsidRPr="007647EB" w:rsidRDefault="00B03672" w:rsidP="008123FC">
            <w:pPr>
              <w:pStyle w:val="Normal-pool-Table"/>
              <w:jc w:val="right"/>
              <w:rPr>
                <w:szCs w:val="18"/>
              </w:rPr>
            </w:pPr>
            <w:r w:rsidRPr="007647EB">
              <w:rPr>
                <w:color w:val="000000"/>
              </w:rPr>
              <w:t>18 952</w:t>
            </w:r>
          </w:p>
        </w:tc>
        <w:tc>
          <w:tcPr>
            <w:tcW w:w="1276" w:type="dxa"/>
            <w:tcBorders>
              <w:top w:val="nil"/>
              <w:left w:val="nil"/>
              <w:bottom w:val="single" w:sz="4" w:space="0" w:color="auto"/>
              <w:right w:val="single" w:sz="4" w:space="0" w:color="auto"/>
            </w:tcBorders>
            <w:noWrap/>
            <w:hideMark/>
          </w:tcPr>
          <w:p w14:paraId="76FCC76A" w14:textId="77777777" w:rsidR="00B03672" w:rsidRPr="007647EB" w:rsidRDefault="00B03672" w:rsidP="008123FC">
            <w:pPr>
              <w:pStyle w:val="Normal-pool-Table"/>
              <w:jc w:val="right"/>
              <w:rPr>
                <w:szCs w:val="18"/>
              </w:rPr>
            </w:pPr>
            <w:r w:rsidRPr="007647EB">
              <w:rPr>
                <w:color w:val="000000"/>
              </w:rPr>
              <w:t>25 013</w:t>
            </w:r>
          </w:p>
        </w:tc>
        <w:tc>
          <w:tcPr>
            <w:tcW w:w="1291" w:type="dxa"/>
            <w:tcBorders>
              <w:top w:val="nil"/>
              <w:left w:val="nil"/>
              <w:bottom w:val="single" w:sz="4" w:space="0" w:color="auto"/>
              <w:right w:val="single" w:sz="4" w:space="0" w:color="auto"/>
            </w:tcBorders>
            <w:noWrap/>
            <w:hideMark/>
          </w:tcPr>
          <w:p w14:paraId="5A7B2B63" w14:textId="77777777" w:rsidR="00B03672" w:rsidRPr="007647EB" w:rsidRDefault="00B03672" w:rsidP="008123FC">
            <w:pPr>
              <w:pStyle w:val="Normal-pool-Table"/>
              <w:jc w:val="right"/>
              <w:rPr>
                <w:szCs w:val="18"/>
              </w:rPr>
            </w:pPr>
            <w:r w:rsidRPr="007647EB">
              <w:rPr>
                <w:color w:val="000000"/>
              </w:rPr>
              <w:t>43 965</w:t>
            </w:r>
          </w:p>
        </w:tc>
      </w:tr>
      <w:tr w:rsidR="00B03672" w:rsidRPr="007647EB" w14:paraId="6D1ED3A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F8DFC2A" w14:textId="4C0C0FE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50F99DF" w14:textId="77777777" w:rsidR="00B03672" w:rsidRPr="007647EB" w:rsidRDefault="00B03672" w:rsidP="008123FC">
            <w:pPr>
              <w:pStyle w:val="Normal-pool-Table"/>
              <w:rPr>
                <w:szCs w:val="18"/>
              </w:rPr>
            </w:pPr>
            <w:r w:rsidRPr="007647EB">
              <w:rPr>
                <w:color w:val="000000"/>
              </w:rPr>
              <w:t>Japon</w:t>
            </w:r>
          </w:p>
        </w:tc>
        <w:tc>
          <w:tcPr>
            <w:tcW w:w="1395" w:type="dxa"/>
            <w:tcBorders>
              <w:top w:val="nil"/>
              <w:left w:val="nil"/>
              <w:bottom w:val="single" w:sz="4" w:space="0" w:color="auto"/>
              <w:right w:val="single" w:sz="4" w:space="0" w:color="auto"/>
            </w:tcBorders>
            <w:noWrap/>
            <w:hideMark/>
          </w:tcPr>
          <w:p w14:paraId="628EC5D8" w14:textId="77777777" w:rsidR="00B03672" w:rsidRPr="007647EB" w:rsidRDefault="00B03672" w:rsidP="008123FC">
            <w:pPr>
              <w:pStyle w:val="Normal-pool-Table"/>
              <w:jc w:val="right"/>
              <w:rPr>
                <w:szCs w:val="18"/>
              </w:rPr>
            </w:pPr>
            <w:r w:rsidRPr="007647EB">
              <w:rPr>
                <w:color w:val="000000"/>
              </w:rPr>
              <w:t>6,93</w:t>
            </w:r>
          </w:p>
        </w:tc>
        <w:tc>
          <w:tcPr>
            <w:tcW w:w="1134" w:type="dxa"/>
            <w:tcBorders>
              <w:top w:val="nil"/>
              <w:left w:val="nil"/>
              <w:bottom w:val="single" w:sz="4" w:space="0" w:color="auto"/>
              <w:right w:val="single" w:sz="4" w:space="0" w:color="auto"/>
            </w:tcBorders>
            <w:noWrap/>
            <w:hideMark/>
          </w:tcPr>
          <w:p w14:paraId="1A48D466" w14:textId="77777777" w:rsidR="00B03672" w:rsidRPr="007647EB" w:rsidRDefault="00B03672" w:rsidP="008123FC">
            <w:pPr>
              <w:pStyle w:val="Normal-pool-Table"/>
              <w:jc w:val="right"/>
              <w:rPr>
                <w:szCs w:val="18"/>
              </w:rPr>
            </w:pPr>
            <w:r w:rsidRPr="007647EB">
              <w:rPr>
                <w:color w:val="000000"/>
              </w:rPr>
              <w:t>6,9945</w:t>
            </w:r>
          </w:p>
        </w:tc>
        <w:tc>
          <w:tcPr>
            <w:tcW w:w="1276" w:type="dxa"/>
            <w:tcBorders>
              <w:top w:val="nil"/>
              <w:left w:val="nil"/>
              <w:bottom w:val="single" w:sz="4" w:space="0" w:color="auto"/>
              <w:right w:val="single" w:sz="4" w:space="0" w:color="auto"/>
            </w:tcBorders>
            <w:noWrap/>
            <w:hideMark/>
          </w:tcPr>
          <w:p w14:paraId="77091A3A" w14:textId="77777777" w:rsidR="00B03672" w:rsidRPr="007647EB" w:rsidRDefault="00B03672" w:rsidP="008123FC">
            <w:pPr>
              <w:pStyle w:val="Normal-pool-Table"/>
              <w:jc w:val="right"/>
              <w:rPr>
                <w:szCs w:val="18"/>
              </w:rPr>
            </w:pPr>
            <w:r w:rsidRPr="007647EB">
              <w:rPr>
                <w:color w:val="000000"/>
              </w:rPr>
              <w:t>215 665</w:t>
            </w:r>
          </w:p>
        </w:tc>
        <w:tc>
          <w:tcPr>
            <w:tcW w:w="1276" w:type="dxa"/>
            <w:tcBorders>
              <w:top w:val="nil"/>
              <w:left w:val="nil"/>
              <w:bottom w:val="single" w:sz="4" w:space="0" w:color="auto"/>
              <w:right w:val="single" w:sz="4" w:space="0" w:color="auto"/>
            </w:tcBorders>
            <w:noWrap/>
            <w:hideMark/>
          </w:tcPr>
          <w:p w14:paraId="334026B8" w14:textId="77777777" w:rsidR="00B03672" w:rsidRPr="007647EB" w:rsidRDefault="00B03672" w:rsidP="008123FC">
            <w:pPr>
              <w:pStyle w:val="Normal-pool-Table"/>
              <w:jc w:val="right"/>
              <w:rPr>
                <w:szCs w:val="18"/>
              </w:rPr>
            </w:pPr>
            <w:r w:rsidRPr="007647EB">
              <w:rPr>
                <w:color w:val="000000"/>
              </w:rPr>
              <w:t>284 626</w:t>
            </w:r>
          </w:p>
        </w:tc>
        <w:tc>
          <w:tcPr>
            <w:tcW w:w="1291" w:type="dxa"/>
            <w:tcBorders>
              <w:top w:val="nil"/>
              <w:left w:val="nil"/>
              <w:bottom w:val="single" w:sz="4" w:space="0" w:color="auto"/>
              <w:right w:val="single" w:sz="4" w:space="0" w:color="auto"/>
            </w:tcBorders>
            <w:noWrap/>
            <w:hideMark/>
          </w:tcPr>
          <w:p w14:paraId="3F1A403A" w14:textId="77777777" w:rsidR="00B03672" w:rsidRPr="007647EB" w:rsidRDefault="00B03672" w:rsidP="008123FC">
            <w:pPr>
              <w:pStyle w:val="Normal-pool-Table"/>
              <w:jc w:val="right"/>
              <w:rPr>
                <w:szCs w:val="18"/>
              </w:rPr>
            </w:pPr>
            <w:r w:rsidRPr="007647EB">
              <w:rPr>
                <w:color w:val="000000"/>
              </w:rPr>
              <w:t>500 291</w:t>
            </w:r>
          </w:p>
        </w:tc>
      </w:tr>
      <w:tr w:rsidR="00B03672" w:rsidRPr="007647EB" w14:paraId="6927BF7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2AB6F2F" w14:textId="05CAAA19"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5D5481A" w14:textId="77777777" w:rsidR="00B03672" w:rsidRPr="007647EB" w:rsidRDefault="00B03672" w:rsidP="008123FC">
            <w:pPr>
              <w:pStyle w:val="Normal-pool-Table"/>
              <w:rPr>
                <w:szCs w:val="18"/>
              </w:rPr>
            </w:pPr>
            <w:r w:rsidRPr="007647EB">
              <w:rPr>
                <w:color w:val="000000"/>
              </w:rPr>
              <w:t>Jordanie</w:t>
            </w:r>
          </w:p>
        </w:tc>
        <w:tc>
          <w:tcPr>
            <w:tcW w:w="1395" w:type="dxa"/>
            <w:tcBorders>
              <w:top w:val="nil"/>
              <w:left w:val="nil"/>
              <w:bottom w:val="single" w:sz="4" w:space="0" w:color="auto"/>
              <w:right w:val="single" w:sz="4" w:space="0" w:color="auto"/>
            </w:tcBorders>
            <w:noWrap/>
            <w:hideMark/>
          </w:tcPr>
          <w:p w14:paraId="323BC1BF" w14:textId="77777777" w:rsidR="00B03672" w:rsidRPr="007647EB" w:rsidRDefault="00B03672" w:rsidP="008123FC">
            <w:pPr>
              <w:pStyle w:val="Normal-pool-Table"/>
              <w:jc w:val="right"/>
              <w:rPr>
                <w:szCs w:val="18"/>
              </w:rPr>
            </w:pPr>
            <w:r w:rsidRPr="007647EB">
              <w:rPr>
                <w:color w:val="000000"/>
              </w:rPr>
              <w:t>0,021</w:t>
            </w:r>
          </w:p>
        </w:tc>
        <w:tc>
          <w:tcPr>
            <w:tcW w:w="1134" w:type="dxa"/>
            <w:tcBorders>
              <w:top w:val="nil"/>
              <w:left w:val="nil"/>
              <w:bottom w:val="single" w:sz="4" w:space="0" w:color="auto"/>
              <w:right w:val="single" w:sz="4" w:space="0" w:color="auto"/>
            </w:tcBorders>
            <w:noWrap/>
            <w:hideMark/>
          </w:tcPr>
          <w:p w14:paraId="39848DFC" w14:textId="77777777" w:rsidR="00B03672" w:rsidRPr="007647EB" w:rsidRDefault="00B03672" w:rsidP="008123FC">
            <w:pPr>
              <w:pStyle w:val="Normal-pool-Table"/>
              <w:jc w:val="right"/>
              <w:rPr>
                <w:szCs w:val="18"/>
              </w:rPr>
            </w:pPr>
            <w:r w:rsidRPr="007647EB">
              <w:rPr>
                <w:color w:val="000000"/>
              </w:rPr>
              <w:t>0,0212</w:t>
            </w:r>
          </w:p>
        </w:tc>
        <w:tc>
          <w:tcPr>
            <w:tcW w:w="1276" w:type="dxa"/>
            <w:tcBorders>
              <w:top w:val="nil"/>
              <w:left w:val="nil"/>
              <w:bottom w:val="single" w:sz="4" w:space="0" w:color="auto"/>
              <w:right w:val="single" w:sz="4" w:space="0" w:color="auto"/>
            </w:tcBorders>
            <w:noWrap/>
            <w:hideMark/>
          </w:tcPr>
          <w:p w14:paraId="2D47CEF8" w14:textId="77777777" w:rsidR="00B03672" w:rsidRPr="007647EB" w:rsidRDefault="00B03672" w:rsidP="008123FC">
            <w:pPr>
              <w:pStyle w:val="Normal-pool-Table"/>
              <w:jc w:val="right"/>
              <w:rPr>
                <w:szCs w:val="18"/>
              </w:rPr>
            </w:pPr>
            <w:r w:rsidRPr="007647EB">
              <w:rPr>
                <w:color w:val="000000"/>
              </w:rPr>
              <w:t>654</w:t>
            </w:r>
          </w:p>
        </w:tc>
        <w:tc>
          <w:tcPr>
            <w:tcW w:w="1276" w:type="dxa"/>
            <w:tcBorders>
              <w:top w:val="nil"/>
              <w:left w:val="nil"/>
              <w:bottom w:val="single" w:sz="4" w:space="0" w:color="auto"/>
              <w:right w:val="single" w:sz="4" w:space="0" w:color="auto"/>
            </w:tcBorders>
            <w:noWrap/>
            <w:hideMark/>
          </w:tcPr>
          <w:p w14:paraId="36DBD271" w14:textId="77777777" w:rsidR="00B03672" w:rsidRPr="007647EB" w:rsidRDefault="00B03672" w:rsidP="008123FC">
            <w:pPr>
              <w:pStyle w:val="Normal-pool-Table"/>
              <w:jc w:val="right"/>
              <w:rPr>
                <w:szCs w:val="18"/>
              </w:rPr>
            </w:pPr>
            <w:r w:rsidRPr="007647EB">
              <w:rPr>
                <w:color w:val="000000"/>
              </w:rPr>
              <w:t>863</w:t>
            </w:r>
          </w:p>
        </w:tc>
        <w:tc>
          <w:tcPr>
            <w:tcW w:w="1291" w:type="dxa"/>
            <w:tcBorders>
              <w:top w:val="nil"/>
              <w:left w:val="nil"/>
              <w:bottom w:val="single" w:sz="4" w:space="0" w:color="auto"/>
              <w:right w:val="single" w:sz="4" w:space="0" w:color="auto"/>
            </w:tcBorders>
            <w:noWrap/>
            <w:hideMark/>
          </w:tcPr>
          <w:p w14:paraId="2A25046E" w14:textId="77777777" w:rsidR="00B03672" w:rsidRPr="007647EB" w:rsidRDefault="00B03672" w:rsidP="008123FC">
            <w:pPr>
              <w:pStyle w:val="Normal-pool-Table"/>
              <w:jc w:val="right"/>
              <w:rPr>
                <w:szCs w:val="18"/>
              </w:rPr>
            </w:pPr>
            <w:r w:rsidRPr="007647EB">
              <w:rPr>
                <w:color w:val="000000"/>
              </w:rPr>
              <w:t>1 516</w:t>
            </w:r>
          </w:p>
        </w:tc>
      </w:tr>
      <w:tr w:rsidR="00B03672" w:rsidRPr="007647EB" w14:paraId="7B86C63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4E8E0FE" w14:textId="4AEC35C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0C42EB" w14:textId="77777777" w:rsidR="00B03672" w:rsidRPr="007647EB" w:rsidRDefault="00B03672" w:rsidP="008123FC">
            <w:pPr>
              <w:pStyle w:val="Normal-pool-Table"/>
              <w:rPr>
                <w:szCs w:val="18"/>
              </w:rPr>
            </w:pPr>
            <w:r w:rsidRPr="007647EB">
              <w:rPr>
                <w:color w:val="000000"/>
              </w:rPr>
              <w:t>Kiribati</w:t>
            </w:r>
          </w:p>
        </w:tc>
        <w:tc>
          <w:tcPr>
            <w:tcW w:w="1395" w:type="dxa"/>
            <w:tcBorders>
              <w:top w:val="nil"/>
              <w:left w:val="nil"/>
              <w:bottom w:val="single" w:sz="4" w:space="0" w:color="auto"/>
              <w:right w:val="single" w:sz="4" w:space="0" w:color="auto"/>
            </w:tcBorders>
            <w:noWrap/>
            <w:hideMark/>
          </w:tcPr>
          <w:p w14:paraId="227018A0"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16D7124"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1E9A42B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EFDB7F4"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686C6D6" w14:textId="77777777" w:rsidR="00B03672" w:rsidRPr="007647EB" w:rsidRDefault="00B03672" w:rsidP="008123FC">
            <w:pPr>
              <w:pStyle w:val="Normal-pool-Table"/>
              <w:jc w:val="right"/>
              <w:rPr>
                <w:szCs w:val="18"/>
              </w:rPr>
            </w:pPr>
            <w:r w:rsidRPr="007647EB">
              <w:rPr>
                <w:color w:val="000000"/>
              </w:rPr>
              <w:t>715</w:t>
            </w:r>
          </w:p>
        </w:tc>
      </w:tr>
      <w:tr w:rsidR="00B03672" w:rsidRPr="007647EB" w14:paraId="5A164DF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C705C2A" w14:textId="62D7218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D8CAC11" w14:textId="77777777" w:rsidR="00B03672" w:rsidRPr="007647EB" w:rsidRDefault="00B03672" w:rsidP="008123FC">
            <w:pPr>
              <w:pStyle w:val="Normal-pool-Table"/>
              <w:rPr>
                <w:szCs w:val="18"/>
              </w:rPr>
            </w:pPr>
            <w:r w:rsidRPr="007647EB">
              <w:rPr>
                <w:color w:val="000000"/>
              </w:rPr>
              <w:t>Koweït</w:t>
            </w:r>
          </w:p>
        </w:tc>
        <w:tc>
          <w:tcPr>
            <w:tcW w:w="1395" w:type="dxa"/>
            <w:tcBorders>
              <w:top w:val="nil"/>
              <w:left w:val="nil"/>
              <w:bottom w:val="single" w:sz="4" w:space="0" w:color="auto"/>
              <w:right w:val="single" w:sz="4" w:space="0" w:color="auto"/>
            </w:tcBorders>
            <w:noWrap/>
            <w:hideMark/>
          </w:tcPr>
          <w:p w14:paraId="18B20F46" w14:textId="77777777" w:rsidR="00B03672" w:rsidRPr="007647EB" w:rsidRDefault="00B03672" w:rsidP="008123FC">
            <w:pPr>
              <w:pStyle w:val="Normal-pool-Table"/>
              <w:jc w:val="right"/>
              <w:rPr>
                <w:szCs w:val="18"/>
              </w:rPr>
            </w:pPr>
            <w:r w:rsidRPr="007647EB">
              <w:rPr>
                <w:color w:val="000000"/>
              </w:rPr>
              <w:t>0,222</w:t>
            </w:r>
          </w:p>
        </w:tc>
        <w:tc>
          <w:tcPr>
            <w:tcW w:w="1134" w:type="dxa"/>
            <w:tcBorders>
              <w:top w:val="nil"/>
              <w:left w:val="nil"/>
              <w:bottom w:val="single" w:sz="4" w:space="0" w:color="auto"/>
              <w:right w:val="single" w:sz="4" w:space="0" w:color="auto"/>
            </w:tcBorders>
            <w:noWrap/>
            <w:hideMark/>
          </w:tcPr>
          <w:p w14:paraId="0200B717" w14:textId="77777777" w:rsidR="00B03672" w:rsidRPr="007647EB" w:rsidRDefault="00B03672" w:rsidP="008123FC">
            <w:pPr>
              <w:pStyle w:val="Normal-pool-Table"/>
              <w:jc w:val="right"/>
              <w:rPr>
                <w:szCs w:val="18"/>
              </w:rPr>
            </w:pPr>
            <w:r w:rsidRPr="007647EB">
              <w:rPr>
                <w:color w:val="000000"/>
              </w:rPr>
              <w:t>0,2241</w:t>
            </w:r>
          </w:p>
        </w:tc>
        <w:tc>
          <w:tcPr>
            <w:tcW w:w="1276" w:type="dxa"/>
            <w:tcBorders>
              <w:top w:val="nil"/>
              <w:left w:val="nil"/>
              <w:bottom w:val="single" w:sz="4" w:space="0" w:color="auto"/>
              <w:right w:val="single" w:sz="4" w:space="0" w:color="auto"/>
            </w:tcBorders>
            <w:noWrap/>
            <w:hideMark/>
          </w:tcPr>
          <w:p w14:paraId="707CABD8" w14:textId="77777777" w:rsidR="00B03672" w:rsidRPr="007647EB" w:rsidRDefault="00B03672" w:rsidP="008123FC">
            <w:pPr>
              <w:pStyle w:val="Normal-pool-Table"/>
              <w:jc w:val="right"/>
              <w:rPr>
                <w:szCs w:val="18"/>
              </w:rPr>
            </w:pPr>
            <w:r w:rsidRPr="007647EB">
              <w:rPr>
                <w:color w:val="000000"/>
              </w:rPr>
              <w:t>6 909</w:t>
            </w:r>
          </w:p>
        </w:tc>
        <w:tc>
          <w:tcPr>
            <w:tcW w:w="1276" w:type="dxa"/>
            <w:tcBorders>
              <w:top w:val="nil"/>
              <w:left w:val="nil"/>
              <w:bottom w:val="single" w:sz="4" w:space="0" w:color="auto"/>
              <w:right w:val="single" w:sz="4" w:space="0" w:color="auto"/>
            </w:tcBorders>
            <w:noWrap/>
            <w:hideMark/>
          </w:tcPr>
          <w:p w14:paraId="79D96A0A" w14:textId="77777777" w:rsidR="00B03672" w:rsidRPr="007647EB" w:rsidRDefault="00B03672" w:rsidP="008123FC">
            <w:pPr>
              <w:pStyle w:val="Normal-pool-Table"/>
              <w:jc w:val="right"/>
              <w:rPr>
                <w:szCs w:val="18"/>
              </w:rPr>
            </w:pPr>
            <w:r w:rsidRPr="007647EB">
              <w:rPr>
                <w:color w:val="000000"/>
              </w:rPr>
              <w:t>9 118</w:t>
            </w:r>
          </w:p>
        </w:tc>
        <w:tc>
          <w:tcPr>
            <w:tcW w:w="1291" w:type="dxa"/>
            <w:tcBorders>
              <w:top w:val="nil"/>
              <w:left w:val="nil"/>
              <w:bottom w:val="single" w:sz="4" w:space="0" w:color="auto"/>
              <w:right w:val="single" w:sz="4" w:space="0" w:color="auto"/>
            </w:tcBorders>
            <w:noWrap/>
            <w:hideMark/>
          </w:tcPr>
          <w:p w14:paraId="24C5FA0B" w14:textId="77777777" w:rsidR="00B03672" w:rsidRPr="007647EB" w:rsidRDefault="00B03672" w:rsidP="008123FC">
            <w:pPr>
              <w:pStyle w:val="Normal-pool-Table"/>
              <w:jc w:val="right"/>
              <w:rPr>
                <w:szCs w:val="18"/>
              </w:rPr>
            </w:pPr>
            <w:r w:rsidRPr="007647EB">
              <w:rPr>
                <w:color w:val="000000"/>
              </w:rPr>
              <w:t>16 027</w:t>
            </w:r>
          </w:p>
        </w:tc>
      </w:tr>
      <w:tr w:rsidR="00B03672" w:rsidRPr="007647EB" w14:paraId="55A81E8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4B8D724" w14:textId="722F026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2224995" w14:textId="77777777" w:rsidR="00B03672" w:rsidRPr="007647EB" w:rsidRDefault="00B03672" w:rsidP="008123FC">
            <w:pPr>
              <w:pStyle w:val="Normal-pool-Table"/>
              <w:rPr>
                <w:szCs w:val="18"/>
              </w:rPr>
            </w:pPr>
            <w:r w:rsidRPr="007647EB">
              <w:rPr>
                <w:color w:val="000000"/>
              </w:rPr>
              <w:t>Liban</w:t>
            </w:r>
          </w:p>
        </w:tc>
        <w:tc>
          <w:tcPr>
            <w:tcW w:w="1395" w:type="dxa"/>
            <w:tcBorders>
              <w:top w:val="nil"/>
              <w:left w:val="nil"/>
              <w:bottom w:val="single" w:sz="4" w:space="0" w:color="auto"/>
              <w:right w:val="single" w:sz="4" w:space="0" w:color="auto"/>
            </w:tcBorders>
            <w:noWrap/>
            <w:hideMark/>
          </w:tcPr>
          <w:p w14:paraId="586DBA3C" w14:textId="77777777" w:rsidR="00B03672" w:rsidRPr="007647EB" w:rsidRDefault="00B03672" w:rsidP="008123FC">
            <w:pPr>
              <w:pStyle w:val="Normal-pool-Table"/>
              <w:jc w:val="right"/>
              <w:rPr>
                <w:szCs w:val="18"/>
              </w:rPr>
            </w:pPr>
            <w:r w:rsidRPr="007647EB">
              <w:rPr>
                <w:color w:val="000000"/>
              </w:rPr>
              <w:t>0,022</w:t>
            </w:r>
          </w:p>
        </w:tc>
        <w:tc>
          <w:tcPr>
            <w:tcW w:w="1134" w:type="dxa"/>
            <w:tcBorders>
              <w:top w:val="nil"/>
              <w:left w:val="nil"/>
              <w:bottom w:val="single" w:sz="4" w:space="0" w:color="auto"/>
              <w:right w:val="single" w:sz="4" w:space="0" w:color="auto"/>
            </w:tcBorders>
            <w:noWrap/>
            <w:hideMark/>
          </w:tcPr>
          <w:p w14:paraId="048E793A" w14:textId="77777777" w:rsidR="00B03672" w:rsidRPr="007647EB" w:rsidRDefault="00B03672" w:rsidP="008123FC">
            <w:pPr>
              <w:pStyle w:val="Normal-pool-Table"/>
              <w:jc w:val="right"/>
              <w:rPr>
                <w:szCs w:val="18"/>
              </w:rPr>
            </w:pPr>
            <w:r w:rsidRPr="007647EB">
              <w:rPr>
                <w:color w:val="000000"/>
              </w:rPr>
              <w:t>0,0222</w:t>
            </w:r>
          </w:p>
        </w:tc>
        <w:tc>
          <w:tcPr>
            <w:tcW w:w="1276" w:type="dxa"/>
            <w:tcBorders>
              <w:top w:val="nil"/>
              <w:left w:val="nil"/>
              <w:bottom w:val="single" w:sz="4" w:space="0" w:color="auto"/>
              <w:right w:val="single" w:sz="4" w:space="0" w:color="auto"/>
            </w:tcBorders>
            <w:noWrap/>
            <w:hideMark/>
          </w:tcPr>
          <w:p w14:paraId="68CD48FC" w14:textId="77777777" w:rsidR="00B03672" w:rsidRPr="007647EB" w:rsidRDefault="00B03672" w:rsidP="008123FC">
            <w:pPr>
              <w:pStyle w:val="Normal-pool-Table"/>
              <w:jc w:val="right"/>
              <w:rPr>
                <w:szCs w:val="18"/>
              </w:rPr>
            </w:pPr>
            <w:r w:rsidRPr="007647EB">
              <w:rPr>
                <w:color w:val="000000"/>
              </w:rPr>
              <w:t>685</w:t>
            </w:r>
          </w:p>
        </w:tc>
        <w:tc>
          <w:tcPr>
            <w:tcW w:w="1276" w:type="dxa"/>
            <w:tcBorders>
              <w:top w:val="nil"/>
              <w:left w:val="nil"/>
              <w:bottom w:val="single" w:sz="4" w:space="0" w:color="auto"/>
              <w:right w:val="single" w:sz="4" w:space="0" w:color="auto"/>
            </w:tcBorders>
            <w:noWrap/>
            <w:hideMark/>
          </w:tcPr>
          <w:p w14:paraId="2675DE1D" w14:textId="77777777" w:rsidR="00B03672" w:rsidRPr="007647EB" w:rsidRDefault="00B03672" w:rsidP="008123FC">
            <w:pPr>
              <w:pStyle w:val="Normal-pool-Table"/>
              <w:jc w:val="right"/>
              <w:rPr>
                <w:szCs w:val="18"/>
              </w:rPr>
            </w:pPr>
            <w:r w:rsidRPr="007647EB">
              <w:rPr>
                <w:color w:val="000000"/>
              </w:rPr>
              <w:t>904</w:t>
            </w:r>
          </w:p>
        </w:tc>
        <w:tc>
          <w:tcPr>
            <w:tcW w:w="1291" w:type="dxa"/>
            <w:tcBorders>
              <w:top w:val="nil"/>
              <w:left w:val="nil"/>
              <w:bottom w:val="single" w:sz="4" w:space="0" w:color="auto"/>
              <w:right w:val="single" w:sz="4" w:space="0" w:color="auto"/>
            </w:tcBorders>
            <w:noWrap/>
            <w:hideMark/>
          </w:tcPr>
          <w:p w14:paraId="12D6CDF6" w14:textId="77777777" w:rsidR="00B03672" w:rsidRPr="007647EB" w:rsidRDefault="00B03672" w:rsidP="008123FC">
            <w:pPr>
              <w:pStyle w:val="Normal-pool-Table"/>
              <w:jc w:val="right"/>
              <w:rPr>
                <w:szCs w:val="18"/>
              </w:rPr>
            </w:pPr>
            <w:r w:rsidRPr="007647EB">
              <w:rPr>
                <w:color w:val="000000"/>
              </w:rPr>
              <w:t>1 588</w:t>
            </w:r>
          </w:p>
        </w:tc>
      </w:tr>
      <w:tr w:rsidR="00B03672" w:rsidRPr="007647EB" w14:paraId="6D46F57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DA7D173" w14:textId="107BFDA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A1AE94B" w14:textId="77777777" w:rsidR="00B03672" w:rsidRPr="007647EB" w:rsidRDefault="00B03672" w:rsidP="008123FC">
            <w:pPr>
              <w:pStyle w:val="Normal-pool-Table"/>
              <w:rPr>
                <w:szCs w:val="18"/>
              </w:rPr>
            </w:pPr>
            <w:r w:rsidRPr="007647EB">
              <w:rPr>
                <w:color w:val="000000"/>
              </w:rPr>
              <w:t>Maldives</w:t>
            </w:r>
          </w:p>
        </w:tc>
        <w:tc>
          <w:tcPr>
            <w:tcW w:w="1395" w:type="dxa"/>
            <w:tcBorders>
              <w:top w:val="nil"/>
              <w:left w:val="nil"/>
              <w:bottom w:val="single" w:sz="4" w:space="0" w:color="auto"/>
              <w:right w:val="single" w:sz="4" w:space="0" w:color="auto"/>
            </w:tcBorders>
            <w:noWrap/>
            <w:hideMark/>
          </w:tcPr>
          <w:p w14:paraId="1574A4C9"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36E271E3"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837D427"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0D2A8F9"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CA912E7" w14:textId="77777777" w:rsidR="00B03672" w:rsidRPr="007647EB" w:rsidRDefault="00B03672" w:rsidP="008123FC">
            <w:pPr>
              <w:pStyle w:val="Normal-pool-Table"/>
              <w:jc w:val="right"/>
              <w:rPr>
                <w:szCs w:val="18"/>
              </w:rPr>
            </w:pPr>
            <w:r w:rsidRPr="007647EB">
              <w:rPr>
                <w:color w:val="000000"/>
              </w:rPr>
              <w:t>715</w:t>
            </w:r>
          </w:p>
        </w:tc>
      </w:tr>
      <w:tr w:rsidR="00B03672" w:rsidRPr="007647EB" w14:paraId="12DFF84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643E1DC" w14:textId="7FBE365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53C8E51" w14:textId="77777777" w:rsidR="00B03672" w:rsidRPr="007647EB" w:rsidRDefault="00B03672" w:rsidP="008123FC">
            <w:pPr>
              <w:pStyle w:val="Normal-pool-Table"/>
              <w:rPr>
                <w:szCs w:val="18"/>
              </w:rPr>
            </w:pPr>
            <w:r w:rsidRPr="007647EB">
              <w:rPr>
                <w:color w:val="000000"/>
              </w:rPr>
              <w:t>Mongolie</w:t>
            </w:r>
          </w:p>
        </w:tc>
        <w:tc>
          <w:tcPr>
            <w:tcW w:w="1395" w:type="dxa"/>
            <w:tcBorders>
              <w:top w:val="nil"/>
              <w:left w:val="nil"/>
              <w:bottom w:val="single" w:sz="4" w:space="0" w:color="auto"/>
              <w:right w:val="single" w:sz="4" w:space="0" w:color="auto"/>
            </w:tcBorders>
            <w:noWrap/>
            <w:hideMark/>
          </w:tcPr>
          <w:p w14:paraId="7F2C6149"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649D1FA2"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AD37C4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E53248E"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6AE2C21" w14:textId="77777777" w:rsidR="00B03672" w:rsidRPr="007647EB" w:rsidRDefault="00B03672" w:rsidP="008123FC">
            <w:pPr>
              <w:pStyle w:val="Normal-pool-Table"/>
              <w:jc w:val="right"/>
              <w:rPr>
                <w:szCs w:val="18"/>
              </w:rPr>
            </w:pPr>
            <w:r w:rsidRPr="007647EB">
              <w:rPr>
                <w:color w:val="000000"/>
              </w:rPr>
              <w:t>715</w:t>
            </w:r>
          </w:p>
        </w:tc>
      </w:tr>
      <w:tr w:rsidR="00B03672" w:rsidRPr="007647EB" w14:paraId="6AFE71C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545AE2A" w14:textId="3F37CFE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D375554" w14:textId="77777777" w:rsidR="00B03672" w:rsidRPr="007647EB" w:rsidRDefault="00B03672" w:rsidP="008123FC">
            <w:pPr>
              <w:pStyle w:val="Normal-pool-Table"/>
              <w:rPr>
                <w:szCs w:val="18"/>
              </w:rPr>
            </w:pPr>
            <w:r w:rsidRPr="007647EB">
              <w:rPr>
                <w:color w:val="000000"/>
              </w:rPr>
              <w:t>Oman</w:t>
            </w:r>
          </w:p>
        </w:tc>
        <w:tc>
          <w:tcPr>
            <w:tcW w:w="1395" w:type="dxa"/>
            <w:tcBorders>
              <w:top w:val="nil"/>
              <w:left w:val="nil"/>
              <w:bottom w:val="single" w:sz="4" w:space="0" w:color="auto"/>
              <w:right w:val="single" w:sz="4" w:space="0" w:color="auto"/>
            </w:tcBorders>
            <w:noWrap/>
            <w:hideMark/>
          </w:tcPr>
          <w:p w14:paraId="5ED149B6" w14:textId="77777777" w:rsidR="00B03672" w:rsidRPr="007647EB" w:rsidRDefault="00B03672" w:rsidP="008123FC">
            <w:pPr>
              <w:pStyle w:val="Normal-pool-Table"/>
              <w:jc w:val="right"/>
              <w:rPr>
                <w:szCs w:val="18"/>
              </w:rPr>
            </w:pPr>
            <w:r w:rsidRPr="007647EB">
              <w:rPr>
                <w:color w:val="000000"/>
              </w:rPr>
              <w:t>0,115</w:t>
            </w:r>
          </w:p>
        </w:tc>
        <w:tc>
          <w:tcPr>
            <w:tcW w:w="1134" w:type="dxa"/>
            <w:tcBorders>
              <w:top w:val="nil"/>
              <w:left w:val="nil"/>
              <w:bottom w:val="single" w:sz="4" w:space="0" w:color="auto"/>
              <w:right w:val="single" w:sz="4" w:space="0" w:color="auto"/>
            </w:tcBorders>
            <w:noWrap/>
            <w:hideMark/>
          </w:tcPr>
          <w:p w14:paraId="1E05AEED" w14:textId="77777777" w:rsidR="00B03672" w:rsidRPr="007647EB" w:rsidRDefault="00B03672" w:rsidP="008123FC">
            <w:pPr>
              <w:pStyle w:val="Normal-pool-Table"/>
              <w:jc w:val="right"/>
              <w:rPr>
                <w:szCs w:val="18"/>
              </w:rPr>
            </w:pPr>
            <w:r w:rsidRPr="007647EB">
              <w:rPr>
                <w:color w:val="000000"/>
              </w:rPr>
              <w:t>0,1161</w:t>
            </w:r>
          </w:p>
        </w:tc>
        <w:tc>
          <w:tcPr>
            <w:tcW w:w="1276" w:type="dxa"/>
            <w:tcBorders>
              <w:top w:val="nil"/>
              <w:left w:val="nil"/>
              <w:bottom w:val="single" w:sz="4" w:space="0" w:color="auto"/>
              <w:right w:val="single" w:sz="4" w:space="0" w:color="auto"/>
            </w:tcBorders>
            <w:noWrap/>
            <w:hideMark/>
          </w:tcPr>
          <w:p w14:paraId="5B146B79" w14:textId="77777777" w:rsidR="00B03672" w:rsidRPr="007647EB" w:rsidRDefault="00B03672" w:rsidP="008123FC">
            <w:pPr>
              <w:pStyle w:val="Normal-pool-Table"/>
              <w:jc w:val="right"/>
              <w:rPr>
                <w:szCs w:val="18"/>
              </w:rPr>
            </w:pPr>
            <w:r w:rsidRPr="007647EB">
              <w:rPr>
                <w:color w:val="000000"/>
              </w:rPr>
              <w:t>3 579</w:t>
            </w:r>
          </w:p>
        </w:tc>
        <w:tc>
          <w:tcPr>
            <w:tcW w:w="1276" w:type="dxa"/>
            <w:tcBorders>
              <w:top w:val="nil"/>
              <w:left w:val="nil"/>
              <w:bottom w:val="single" w:sz="4" w:space="0" w:color="auto"/>
              <w:right w:val="single" w:sz="4" w:space="0" w:color="auto"/>
            </w:tcBorders>
            <w:noWrap/>
            <w:hideMark/>
          </w:tcPr>
          <w:p w14:paraId="396BF5B2" w14:textId="77777777" w:rsidR="00B03672" w:rsidRPr="007647EB" w:rsidRDefault="00B03672" w:rsidP="008123FC">
            <w:pPr>
              <w:pStyle w:val="Normal-pool-Table"/>
              <w:jc w:val="right"/>
              <w:rPr>
                <w:szCs w:val="18"/>
              </w:rPr>
            </w:pPr>
            <w:r w:rsidRPr="007647EB">
              <w:rPr>
                <w:color w:val="000000"/>
              </w:rPr>
              <w:t>4 723</w:t>
            </w:r>
          </w:p>
        </w:tc>
        <w:tc>
          <w:tcPr>
            <w:tcW w:w="1291" w:type="dxa"/>
            <w:tcBorders>
              <w:top w:val="nil"/>
              <w:left w:val="nil"/>
              <w:bottom w:val="single" w:sz="4" w:space="0" w:color="auto"/>
              <w:right w:val="single" w:sz="4" w:space="0" w:color="auto"/>
            </w:tcBorders>
            <w:noWrap/>
            <w:hideMark/>
          </w:tcPr>
          <w:p w14:paraId="7DBD875A" w14:textId="77777777" w:rsidR="00B03672" w:rsidRPr="007647EB" w:rsidRDefault="00B03672" w:rsidP="008123FC">
            <w:pPr>
              <w:pStyle w:val="Normal-pool-Table"/>
              <w:jc w:val="right"/>
              <w:rPr>
                <w:szCs w:val="18"/>
              </w:rPr>
            </w:pPr>
            <w:r w:rsidRPr="007647EB">
              <w:rPr>
                <w:color w:val="000000"/>
              </w:rPr>
              <w:t>8 302</w:t>
            </w:r>
          </w:p>
        </w:tc>
      </w:tr>
      <w:tr w:rsidR="00B03672" w:rsidRPr="007647EB" w14:paraId="7BC63DD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605A61" w14:textId="5B2F5CD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17808CB" w14:textId="77777777" w:rsidR="00B03672" w:rsidRPr="007647EB" w:rsidRDefault="00B03672" w:rsidP="008123FC">
            <w:pPr>
              <w:pStyle w:val="Normal-pool-Table"/>
              <w:rPr>
                <w:szCs w:val="18"/>
              </w:rPr>
            </w:pPr>
            <w:r w:rsidRPr="007647EB">
              <w:rPr>
                <w:color w:val="000000"/>
              </w:rPr>
              <w:t>Pakistan</w:t>
            </w:r>
          </w:p>
        </w:tc>
        <w:tc>
          <w:tcPr>
            <w:tcW w:w="1395" w:type="dxa"/>
            <w:tcBorders>
              <w:top w:val="nil"/>
              <w:left w:val="nil"/>
              <w:bottom w:val="single" w:sz="4" w:space="0" w:color="auto"/>
              <w:right w:val="single" w:sz="4" w:space="0" w:color="auto"/>
            </w:tcBorders>
            <w:noWrap/>
            <w:hideMark/>
          </w:tcPr>
          <w:p w14:paraId="44F60726" w14:textId="77777777" w:rsidR="00B03672" w:rsidRPr="007647EB" w:rsidRDefault="00B03672" w:rsidP="008123FC">
            <w:pPr>
              <w:pStyle w:val="Normal-pool-Table"/>
              <w:jc w:val="right"/>
              <w:rPr>
                <w:szCs w:val="18"/>
              </w:rPr>
            </w:pPr>
            <w:r w:rsidRPr="007647EB">
              <w:rPr>
                <w:color w:val="000000"/>
              </w:rPr>
              <w:t>0,123</w:t>
            </w:r>
          </w:p>
        </w:tc>
        <w:tc>
          <w:tcPr>
            <w:tcW w:w="1134" w:type="dxa"/>
            <w:tcBorders>
              <w:top w:val="nil"/>
              <w:left w:val="nil"/>
              <w:bottom w:val="single" w:sz="4" w:space="0" w:color="auto"/>
              <w:right w:val="single" w:sz="4" w:space="0" w:color="auto"/>
            </w:tcBorders>
            <w:noWrap/>
            <w:hideMark/>
          </w:tcPr>
          <w:p w14:paraId="2D7D0782" w14:textId="77777777" w:rsidR="00B03672" w:rsidRPr="007647EB" w:rsidRDefault="00B03672" w:rsidP="008123FC">
            <w:pPr>
              <w:pStyle w:val="Normal-pool-Table"/>
              <w:jc w:val="right"/>
              <w:rPr>
                <w:szCs w:val="18"/>
              </w:rPr>
            </w:pPr>
            <w:r w:rsidRPr="007647EB">
              <w:rPr>
                <w:color w:val="000000"/>
              </w:rPr>
              <w:t>0,1241</w:t>
            </w:r>
          </w:p>
        </w:tc>
        <w:tc>
          <w:tcPr>
            <w:tcW w:w="1276" w:type="dxa"/>
            <w:tcBorders>
              <w:top w:val="nil"/>
              <w:left w:val="nil"/>
              <w:bottom w:val="single" w:sz="4" w:space="0" w:color="auto"/>
              <w:right w:val="single" w:sz="4" w:space="0" w:color="auto"/>
            </w:tcBorders>
            <w:noWrap/>
            <w:hideMark/>
          </w:tcPr>
          <w:p w14:paraId="3095E3BD" w14:textId="77777777" w:rsidR="00B03672" w:rsidRPr="007647EB" w:rsidRDefault="00B03672" w:rsidP="008123FC">
            <w:pPr>
              <w:pStyle w:val="Normal-pool-Table"/>
              <w:jc w:val="right"/>
              <w:rPr>
                <w:szCs w:val="18"/>
              </w:rPr>
            </w:pPr>
            <w:r w:rsidRPr="007647EB">
              <w:rPr>
                <w:color w:val="000000"/>
              </w:rPr>
              <w:t>3 828</w:t>
            </w:r>
          </w:p>
        </w:tc>
        <w:tc>
          <w:tcPr>
            <w:tcW w:w="1276" w:type="dxa"/>
            <w:tcBorders>
              <w:top w:val="nil"/>
              <w:left w:val="nil"/>
              <w:bottom w:val="single" w:sz="4" w:space="0" w:color="auto"/>
              <w:right w:val="single" w:sz="4" w:space="0" w:color="auto"/>
            </w:tcBorders>
            <w:noWrap/>
            <w:hideMark/>
          </w:tcPr>
          <w:p w14:paraId="014E9784" w14:textId="77777777" w:rsidR="00B03672" w:rsidRPr="007647EB" w:rsidRDefault="00B03672" w:rsidP="008123FC">
            <w:pPr>
              <w:pStyle w:val="Normal-pool-Table"/>
              <w:jc w:val="right"/>
              <w:rPr>
                <w:szCs w:val="18"/>
              </w:rPr>
            </w:pPr>
            <w:r w:rsidRPr="007647EB">
              <w:rPr>
                <w:color w:val="000000"/>
              </w:rPr>
              <w:t>5 052</w:t>
            </w:r>
          </w:p>
        </w:tc>
        <w:tc>
          <w:tcPr>
            <w:tcW w:w="1291" w:type="dxa"/>
            <w:tcBorders>
              <w:top w:val="nil"/>
              <w:left w:val="nil"/>
              <w:bottom w:val="single" w:sz="4" w:space="0" w:color="auto"/>
              <w:right w:val="single" w:sz="4" w:space="0" w:color="auto"/>
            </w:tcBorders>
            <w:noWrap/>
            <w:hideMark/>
          </w:tcPr>
          <w:p w14:paraId="3F174BDD" w14:textId="77777777" w:rsidR="00B03672" w:rsidRPr="007647EB" w:rsidRDefault="00B03672" w:rsidP="008123FC">
            <w:pPr>
              <w:pStyle w:val="Normal-pool-Table"/>
              <w:jc w:val="right"/>
              <w:rPr>
                <w:szCs w:val="18"/>
              </w:rPr>
            </w:pPr>
            <w:r w:rsidRPr="007647EB">
              <w:rPr>
                <w:color w:val="000000"/>
              </w:rPr>
              <w:t>8 880</w:t>
            </w:r>
          </w:p>
        </w:tc>
      </w:tr>
      <w:tr w:rsidR="00B03672" w:rsidRPr="007647EB" w14:paraId="3EDE556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F40581E" w14:textId="43092CA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2817B72" w14:textId="77777777" w:rsidR="00B03672" w:rsidRPr="007647EB" w:rsidRDefault="00B03672" w:rsidP="008123FC">
            <w:pPr>
              <w:pStyle w:val="Normal-pool-Table"/>
              <w:rPr>
                <w:szCs w:val="18"/>
              </w:rPr>
            </w:pPr>
            <w:r w:rsidRPr="007647EB">
              <w:rPr>
                <w:color w:val="000000"/>
              </w:rPr>
              <w:t>Palaos</w:t>
            </w:r>
          </w:p>
        </w:tc>
        <w:tc>
          <w:tcPr>
            <w:tcW w:w="1395" w:type="dxa"/>
            <w:tcBorders>
              <w:top w:val="nil"/>
              <w:left w:val="nil"/>
              <w:bottom w:val="single" w:sz="4" w:space="0" w:color="auto"/>
              <w:right w:val="single" w:sz="4" w:space="0" w:color="auto"/>
            </w:tcBorders>
            <w:noWrap/>
            <w:hideMark/>
          </w:tcPr>
          <w:p w14:paraId="1C69AAB2"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1CC61FD2"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7BF74C2"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6EF1C88"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E26502B" w14:textId="77777777" w:rsidR="00B03672" w:rsidRPr="007647EB" w:rsidRDefault="00B03672" w:rsidP="008123FC">
            <w:pPr>
              <w:pStyle w:val="Normal-pool-Table"/>
              <w:jc w:val="right"/>
              <w:rPr>
                <w:szCs w:val="18"/>
              </w:rPr>
            </w:pPr>
            <w:r w:rsidRPr="007647EB">
              <w:rPr>
                <w:color w:val="000000"/>
              </w:rPr>
              <w:t>715</w:t>
            </w:r>
          </w:p>
        </w:tc>
      </w:tr>
      <w:tr w:rsidR="00B03672" w:rsidRPr="007647EB" w14:paraId="6A33524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27EBA03" w14:textId="5202AAE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2B2F962" w14:textId="77777777" w:rsidR="00B03672" w:rsidRPr="007647EB" w:rsidRDefault="00B03672" w:rsidP="008123FC">
            <w:pPr>
              <w:pStyle w:val="Normal-pool-Table"/>
              <w:rPr>
                <w:szCs w:val="18"/>
              </w:rPr>
            </w:pPr>
            <w:r w:rsidRPr="007647EB">
              <w:rPr>
                <w:color w:val="000000"/>
              </w:rPr>
              <w:t>Philippines</w:t>
            </w:r>
          </w:p>
        </w:tc>
        <w:tc>
          <w:tcPr>
            <w:tcW w:w="1395" w:type="dxa"/>
            <w:tcBorders>
              <w:top w:val="nil"/>
              <w:left w:val="nil"/>
              <w:bottom w:val="single" w:sz="4" w:space="0" w:color="auto"/>
              <w:right w:val="single" w:sz="4" w:space="0" w:color="auto"/>
            </w:tcBorders>
            <w:noWrap/>
            <w:hideMark/>
          </w:tcPr>
          <w:p w14:paraId="2715D47C" w14:textId="77777777" w:rsidR="00B03672" w:rsidRPr="007647EB" w:rsidRDefault="00B03672" w:rsidP="008123FC">
            <w:pPr>
              <w:pStyle w:val="Normal-pool-Table"/>
              <w:jc w:val="right"/>
              <w:rPr>
                <w:szCs w:val="18"/>
              </w:rPr>
            </w:pPr>
            <w:r w:rsidRPr="007647EB">
              <w:rPr>
                <w:color w:val="000000"/>
              </w:rPr>
              <w:t>0,198</w:t>
            </w:r>
          </w:p>
        </w:tc>
        <w:tc>
          <w:tcPr>
            <w:tcW w:w="1134" w:type="dxa"/>
            <w:tcBorders>
              <w:top w:val="nil"/>
              <w:left w:val="nil"/>
              <w:bottom w:val="single" w:sz="4" w:space="0" w:color="auto"/>
              <w:right w:val="single" w:sz="4" w:space="0" w:color="auto"/>
            </w:tcBorders>
            <w:noWrap/>
            <w:hideMark/>
          </w:tcPr>
          <w:p w14:paraId="0B854F27" w14:textId="77777777" w:rsidR="00B03672" w:rsidRPr="007647EB" w:rsidRDefault="00B03672" w:rsidP="008123FC">
            <w:pPr>
              <w:pStyle w:val="Normal-pool-Table"/>
              <w:jc w:val="right"/>
              <w:rPr>
                <w:szCs w:val="18"/>
              </w:rPr>
            </w:pPr>
            <w:r w:rsidRPr="007647EB">
              <w:rPr>
                <w:color w:val="000000"/>
              </w:rPr>
              <w:t>0,1998</w:t>
            </w:r>
          </w:p>
        </w:tc>
        <w:tc>
          <w:tcPr>
            <w:tcW w:w="1276" w:type="dxa"/>
            <w:tcBorders>
              <w:top w:val="nil"/>
              <w:left w:val="nil"/>
              <w:bottom w:val="single" w:sz="4" w:space="0" w:color="auto"/>
              <w:right w:val="single" w:sz="4" w:space="0" w:color="auto"/>
            </w:tcBorders>
            <w:noWrap/>
            <w:hideMark/>
          </w:tcPr>
          <w:p w14:paraId="143A34D5" w14:textId="77777777" w:rsidR="00B03672" w:rsidRPr="007647EB" w:rsidRDefault="00B03672" w:rsidP="008123FC">
            <w:pPr>
              <w:pStyle w:val="Normal-pool-Table"/>
              <w:jc w:val="right"/>
              <w:rPr>
                <w:szCs w:val="18"/>
              </w:rPr>
            </w:pPr>
            <w:r w:rsidRPr="007647EB">
              <w:rPr>
                <w:color w:val="000000"/>
              </w:rPr>
              <w:t>6 162</w:t>
            </w:r>
          </w:p>
        </w:tc>
        <w:tc>
          <w:tcPr>
            <w:tcW w:w="1276" w:type="dxa"/>
            <w:tcBorders>
              <w:top w:val="nil"/>
              <w:left w:val="nil"/>
              <w:bottom w:val="single" w:sz="4" w:space="0" w:color="auto"/>
              <w:right w:val="single" w:sz="4" w:space="0" w:color="auto"/>
            </w:tcBorders>
            <w:noWrap/>
            <w:hideMark/>
          </w:tcPr>
          <w:p w14:paraId="1809828F" w14:textId="77777777" w:rsidR="00B03672" w:rsidRPr="007647EB" w:rsidRDefault="00B03672" w:rsidP="008123FC">
            <w:pPr>
              <w:pStyle w:val="Normal-pool-Table"/>
              <w:jc w:val="right"/>
              <w:rPr>
                <w:szCs w:val="18"/>
              </w:rPr>
            </w:pPr>
            <w:r w:rsidRPr="007647EB">
              <w:rPr>
                <w:color w:val="000000"/>
              </w:rPr>
              <w:t>8 132</w:t>
            </w:r>
          </w:p>
        </w:tc>
        <w:tc>
          <w:tcPr>
            <w:tcW w:w="1291" w:type="dxa"/>
            <w:tcBorders>
              <w:top w:val="nil"/>
              <w:left w:val="nil"/>
              <w:bottom w:val="single" w:sz="4" w:space="0" w:color="auto"/>
              <w:right w:val="single" w:sz="4" w:space="0" w:color="auto"/>
            </w:tcBorders>
            <w:noWrap/>
            <w:hideMark/>
          </w:tcPr>
          <w:p w14:paraId="3FE25DC0" w14:textId="77777777" w:rsidR="00B03672" w:rsidRPr="007647EB" w:rsidRDefault="00B03672" w:rsidP="008123FC">
            <w:pPr>
              <w:pStyle w:val="Normal-pool-Table"/>
              <w:jc w:val="right"/>
              <w:rPr>
                <w:szCs w:val="18"/>
              </w:rPr>
            </w:pPr>
            <w:r w:rsidRPr="007647EB">
              <w:rPr>
                <w:color w:val="000000"/>
              </w:rPr>
              <w:t>14 294</w:t>
            </w:r>
          </w:p>
        </w:tc>
      </w:tr>
      <w:tr w:rsidR="00B03672" w:rsidRPr="007647EB" w14:paraId="61FA73A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DE7A111" w14:textId="4B634E8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A1AE304" w14:textId="77777777" w:rsidR="00B03672" w:rsidRPr="007647EB" w:rsidRDefault="00B03672" w:rsidP="008123FC">
            <w:pPr>
              <w:pStyle w:val="Normal-pool-Table"/>
              <w:rPr>
                <w:szCs w:val="18"/>
              </w:rPr>
            </w:pPr>
            <w:r w:rsidRPr="007647EB">
              <w:rPr>
                <w:color w:val="000000"/>
              </w:rPr>
              <w:t>Qatar</w:t>
            </w:r>
          </w:p>
        </w:tc>
        <w:tc>
          <w:tcPr>
            <w:tcW w:w="1395" w:type="dxa"/>
            <w:tcBorders>
              <w:top w:val="nil"/>
              <w:left w:val="nil"/>
              <w:bottom w:val="single" w:sz="4" w:space="0" w:color="auto"/>
              <w:right w:val="single" w:sz="4" w:space="0" w:color="auto"/>
            </w:tcBorders>
            <w:noWrap/>
            <w:hideMark/>
          </w:tcPr>
          <w:p w14:paraId="0483E221" w14:textId="77777777" w:rsidR="00B03672" w:rsidRPr="007647EB" w:rsidRDefault="00B03672" w:rsidP="008123FC">
            <w:pPr>
              <w:pStyle w:val="Normal-pool-Table"/>
              <w:jc w:val="right"/>
              <w:rPr>
                <w:szCs w:val="18"/>
              </w:rPr>
            </w:pPr>
            <w:r w:rsidRPr="007647EB">
              <w:rPr>
                <w:color w:val="000000"/>
              </w:rPr>
              <w:t>0,245</w:t>
            </w:r>
          </w:p>
        </w:tc>
        <w:tc>
          <w:tcPr>
            <w:tcW w:w="1134" w:type="dxa"/>
            <w:tcBorders>
              <w:top w:val="nil"/>
              <w:left w:val="nil"/>
              <w:bottom w:val="single" w:sz="4" w:space="0" w:color="auto"/>
              <w:right w:val="single" w:sz="4" w:space="0" w:color="auto"/>
            </w:tcBorders>
            <w:noWrap/>
            <w:hideMark/>
          </w:tcPr>
          <w:p w14:paraId="5286BF03" w14:textId="77777777" w:rsidR="00B03672" w:rsidRPr="007647EB" w:rsidRDefault="00B03672" w:rsidP="008123FC">
            <w:pPr>
              <w:pStyle w:val="Normal-pool-Table"/>
              <w:jc w:val="right"/>
              <w:rPr>
                <w:szCs w:val="18"/>
              </w:rPr>
            </w:pPr>
            <w:r w:rsidRPr="007647EB">
              <w:rPr>
                <w:color w:val="000000"/>
              </w:rPr>
              <w:t>0,2473</w:t>
            </w:r>
          </w:p>
        </w:tc>
        <w:tc>
          <w:tcPr>
            <w:tcW w:w="1276" w:type="dxa"/>
            <w:tcBorders>
              <w:top w:val="nil"/>
              <w:left w:val="nil"/>
              <w:bottom w:val="single" w:sz="4" w:space="0" w:color="auto"/>
              <w:right w:val="single" w:sz="4" w:space="0" w:color="auto"/>
            </w:tcBorders>
            <w:noWrap/>
            <w:hideMark/>
          </w:tcPr>
          <w:p w14:paraId="165ACAAE" w14:textId="77777777" w:rsidR="00B03672" w:rsidRPr="007647EB" w:rsidRDefault="00B03672" w:rsidP="008123FC">
            <w:pPr>
              <w:pStyle w:val="Normal-pool-Table"/>
              <w:jc w:val="right"/>
              <w:rPr>
                <w:szCs w:val="18"/>
              </w:rPr>
            </w:pPr>
            <w:r w:rsidRPr="007647EB">
              <w:rPr>
                <w:color w:val="000000"/>
              </w:rPr>
              <w:t>7 625</w:t>
            </w:r>
          </w:p>
        </w:tc>
        <w:tc>
          <w:tcPr>
            <w:tcW w:w="1276" w:type="dxa"/>
            <w:tcBorders>
              <w:top w:val="nil"/>
              <w:left w:val="nil"/>
              <w:bottom w:val="single" w:sz="4" w:space="0" w:color="auto"/>
              <w:right w:val="single" w:sz="4" w:space="0" w:color="auto"/>
            </w:tcBorders>
            <w:noWrap/>
            <w:hideMark/>
          </w:tcPr>
          <w:p w14:paraId="341E40F7" w14:textId="77777777" w:rsidR="00B03672" w:rsidRPr="007647EB" w:rsidRDefault="00B03672" w:rsidP="008123FC">
            <w:pPr>
              <w:pStyle w:val="Normal-pool-Table"/>
              <w:jc w:val="right"/>
              <w:rPr>
                <w:szCs w:val="18"/>
              </w:rPr>
            </w:pPr>
            <w:r w:rsidRPr="007647EB">
              <w:rPr>
                <w:color w:val="000000"/>
              </w:rPr>
              <w:t>10 063</w:t>
            </w:r>
          </w:p>
        </w:tc>
        <w:tc>
          <w:tcPr>
            <w:tcW w:w="1291" w:type="dxa"/>
            <w:tcBorders>
              <w:top w:val="nil"/>
              <w:left w:val="nil"/>
              <w:bottom w:val="single" w:sz="4" w:space="0" w:color="auto"/>
              <w:right w:val="single" w:sz="4" w:space="0" w:color="auto"/>
            </w:tcBorders>
            <w:noWrap/>
            <w:hideMark/>
          </w:tcPr>
          <w:p w14:paraId="07AF0FB6" w14:textId="77777777" w:rsidR="00B03672" w:rsidRPr="007647EB" w:rsidRDefault="00B03672" w:rsidP="008123FC">
            <w:pPr>
              <w:pStyle w:val="Normal-pool-Table"/>
              <w:jc w:val="right"/>
              <w:rPr>
                <w:szCs w:val="18"/>
              </w:rPr>
            </w:pPr>
            <w:r w:rsidRPr="007647EB">
              <w:rPr>
                <w:color w:val="000000"/>
              </w:rPr>
              <w:t>17 687</w:t>
            </w:r>
          </w:p>
        </w:tc>
      </w:tr>
      <w:tr w:rsidR="00B03672" w:rsidRPr="007647EB" w14:paraId="732090F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03308BB" w14:textId="3BC7D55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0E2E9F1" w14:textId="77777777" w:rsidR="00B03672" w:rsidRPr="007647EB" w:rsidRDefault="00B03672" w:rsidP="008123FC">
            <w:pPr>
              <w:pStyle w:val="Normal-pool-Table"/>
              <w:rPr>
                <w:szCs w:val="18"/>
              </w:rPr>
            </w:pPr>
            <w:r w:rsidRPr="007647EB">
              <w:rPr>
                <w:color w:val="000000"/>
              </w:rPr>
              <w:t>République arabe syrienne</w:t>
            </w:r>
          </w:p>
        </w:tc>
        <w:tc>
          <w:tcPr>
            <w:tcW w:w="1395" w:type="dxa"/>
            <w:tcBorders>
              <w:top w:val="nil"/>
              <w:left w:val="nil"/>
              <w:bottom w:val="single" w:sz="4" w:space="0" w:color="auto"/>
              <w:right w:val="single" w:sz="4" w:space="0" w:color="auto"/>
            </w:tcBorders>
            <w:noWrap/>
            <w:hideMark/>
          </w:tcPr>
          <w:p w14:paraId="3C358DA1" w14:textId="77777777" w:rsidR="00B03672" w:rsidRPr="007647EB" w:rsidRDefault="00B03672"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hideMark/>
          </w:tcPr>
          <w:p w14:paraId="6D87337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6CEAEED"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219B19B"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EBF7CB8" w14:textId="77777777" w:rsidR="00B03672" w:rsidRPr="007647EB" w:rsidRDefault="00B03672" w:rsidP="008123FC">
            <w:pPr>
              <w:pStyle w:val="Normal-pool-Table"/>
              <w:jc w:val="right"/>
              <w:rPr>
                <w:szCs w:val="18"/>
              </w:rPr>
            </w:pPr>
            <w:r w:rsidRPr="007647EB">
              <w:rPr>
                <w:color w:val="000000"/>
              </w:rPr>
              <w:t>715</w:t>
            </w:r>
          </w:p>
        </w:tc>
      </w:tr>
      <w:tr w:rsidR="00B03672" w:rsidRPr="007647EB" w14:paraId="2CDDA94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365F958" w14:textId="7C4FB3E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A1B8600" w14:textId="77777777" w:rsidR="00B03672" w:rsidRPr="007647EB" w:rsidRDefault="00B03672" w:rsidP="008123FC">
            <w:pPr>
              <w:pStyle w:val="Normal-pool-Table"/>
              <w:rPr>
                <w:szCs w:val="18"/>
              </w:rPr>
            </w:pPr>
            <w:r w:rsidRPr="007647EB">
              <w:rPr>
                <w:color w:val="000000"/>
              </w:rPr>
              <w:t>République de Corée</w:t>
            </w:r>
          </w:p>
        </w:tc>
        <w:tc>
          <w:tcPr>
            <w:tcW w:w="1395" w:type="dxa"/>
            <w:tcBorders>
              <w:top w:val="nil"/>
              <w:left w:val="nil"/>
              <w:bottom w:val="single" w:sz="4" w:space="0" w:color="auto"/>
              <w:right w:val="single" w:sz="4" w:space="0" w:color="auto"/>
            </w:tcBorders>
            <w:noWrap/>
            <w:hideMark/>
          </w:tcPr>
          <w:p w14:paraId="4CF09075" w14:textId="77777777" w:rsidR="00B03672" w:rsidRPr="007647EB" w:rsidRDefault="00B03672" w:rsidP="008123FC">
            <w:pPr>
              <w:pStyle w:val="Normal-pool-Table"/>
              <w:jc w:val="right"/>
              <w:rPr>
                <w:szCs w:val="18"/>
              </w:rPr>
            </w:pPr>
            <w:r w:rsidRPr="007647EB">
              <w:rPr>
                <w:color w:val="000000"/>
              </w:rPr>
              <w:t>2,349</w:t>
            </w:r>
          </w:p>
        </w:tc>
        <w:tc>
          <w:tcPr>
            <w:tcW w:w="1134" w:type="dxa"/>
            <w:tcBorders>
              <w:top w:val="nil"/>
              <w:left w:val="nil"/>
              <w:bottom w:val="single" w:sz="4" w:space="0" w:color="auto"/>
              <w:right w:val="single" w:sz="4" w:space="0" w:color="auto"/>
            </w:tcBorders>
            <w:noWrap/>
            <w:hideMark/>
          </w:tcPr>
          <w:p w14:paraId="43E2A5E8" w14:textId="77777777" w:rsidR="00B03672" w:rsidRPr="007647EB" w:rsidRDefault="00B03672" w:rsidP="008123FC">
            <w:pPr>
              <w:pStyle w:val="Normal-pool-Table"/>
              <w:jc w:val="right"/>
              <w:rPr>
                <w:szCs w:val="18"/>
              </w:rPr>
            </w:pPr>
            <w:r w:rsidRPr="007647EB">
              <w:rPr>
                <w:color w:val="000000"/>
              </w:rPr>
              <w:t>2,3709</w:t>
            </w:r>
          </w:p>
        </w:tc>
        <w:tc>
          <w:tcPr>
            <w:tcW w:w="1276" w:type="dxa"/>
            <w:tcBorders>
              <w:top w:val="nil"/>
              <w:left w:val="nil"/>
              <w:bottom w:val="single" w:sz="4" w:space="0" w:color="auto"/>
              <w:right w:val="single" w:sz="4" w:space="0" w:color="auto"/>
            </w:tcBorders>
            <w:noWrap/>
            <w:hideMark/>
          </w:tcPr>
          <w:p w14:paraId="6903811B" w14:textId="77777777" w:rsidR="00B03672" w:rsidRPr="007647EB" w:rsidRDefault="00B03672" w:rsidP="008123FC">
            <w:pPr>
              <w:pStyle w:val="Normal-pool-Table"/>
              <w:jc w:val="right"/>
              <w:rPr>
                <w:szCs w:val="18"/>
              </w:rPr>
            </w:pPr>
            <w:r w:rsidRPr="007647EB">
              <w:rPr>
                <w:color w:val="000000"/>
              </w:rPr>
              <w:t>73 102</w:t>
            </w:r>
          </w:p>
        </w:tc>
        <w:tc>
          <w:tcPr>
            <w:tcW w:w="1276" w:type="dxa"/>
            <w:tcBorders>
              <w:top w:val="nil"/>
              <w:left w:val="nil"/>
              <w:bottom w:val="single" w:sz="4" w:space="0" w:color="auto"/>
              <w:right w:val="single" w:sz="4" w:space="0" w:color="auto"/>
            </w:tcBorders>
            <w:noWrap/>
            <w:hideMark/>
          </w:tcPr>
          <w:p w14:paraId="467CE21E" w14:textId="77777777" w:rsidR="00B03672" w:rsidRPr="007647EB" w:rsidRDefault="00B03672" w:rsidP="008123FC">
            <w:pPr>
              <w:pStyle w:val="Normal-pool-Table"/>
              <w:jc w:val="right"/>
              <w:rPr>
                <w:szCs w:val="18"/>
              </w:rPr>
            </w:pPr>
            <w:r w:rsidRPr="007647EB">
              <w:rPr>
                <w:color w:val="000000"/>
              </w:rPr>
              <w:t>96 477</w:t>
            </w:r>
          </w:p>
        </w:tc>
        <w:tc>
          <w:tcPr>
            <w:tcW w:w="1291" w:type="dxa"/>
            <w:tcBorders>
              <w:top w:val="nil"/>
              <w:left w:val="nil"/>
              <w:bottom w:val="single" w:sz="4" w:space="0" w:color="auto"/>
              <w:right w:val="single" w:sz="4" w:space="0" w:color="auto"/>
            </w:tcBorders>
            <w:noWrap/>
            <w:hideMark/>
          </w:tcPr>
          <w:p w14:paraId="3FFB75A9" w14:textId="77777777" w:rsidR="00B03672" w:rsidRPr="007647EB" w:rsidRDefault="00B03672" w:rsidP="008123FC">
            <w:pPr>
              <w:pStyle w:val="Normal-pool-Table"/>
              <w:jc w:val="right"/>
              <w:rPr>
                <w:szCs w:val="18"/>
              </w:rPr>
            </w:pPr>
            <w:r w:rsidRPr="007647EB">
              <w:rPr>
                <w:color w:val="000000"/>
              </w:rPr>
              <w:t>169 579</w:t>
            </w:r>
          </w:p>
        </w:tc>
      </w:tr>
      <w:tr w:rsidR="00B03672" w:rsidRPr="007647EB" w14:paraId="4FEEB87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EB44E01" w14:textId="18B5B48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6215932" w14:textId="77777777" w:rsidR="00B03672" w:rsidRPr="007647EB" w:rsidRDefault="00B03672" w:rsidP="008123FC">
            <w:pPr>
              <w:pStyle w:val="Normal-pool-Table"/>
              <w:rPr>
                <w:szCs w:val="18"/>
              </w:rPr>
            </w:pPr>
            <w:r w:rsidRPr="007647EB">
              <w:rPr>
                <w:color w:val="000000"/>
              </w:rPr>
              <w:t>République démocratique populaire lao</w:t>
            </w:r>
          </w:p>
        </w:tc>
        <w:tc>
          <w:tcPr>
            <w:tcW w:w="1395" w:type="dxa"/>
            <w:tcBorders>
              <w:top w:val="nil"/>
              <w:left w:val="nil"/>
              <w:bottom w:val="single" w:sz="4" w:space="0" w:color="auto"/>
              <w:right w:val="single" w:sz="4" w:space="0" w:color="auto"/>
            </w:tcBorders>
            <w:noWrap/>
            <w:vAlign w:val="bottom"/>
            <w:hideMark/>
          </w:tcPr>
          <w:p w14:paraId="7867D563" w14:textId="77777777" w:rsidR="00B03672" w:rsidRPr="007647EB" w:rsidRDefault="00B03672"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vAlign w:val="bottom"/>
            <w:hideMark/>
          </w:tcPr>
          <w:p w14:paraId="42722B7B"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vAlign w:val="bottom"/>
            <w:hideMark/>
          </w:tcPr>
          <w:p w14:paraId="30FAD28B"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vAlign w:val="bottom"/>
            <w:hideMark/>
          </w:tcPr>
          <w:p w14:paraId="216BF591"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vAlign w:val="bottom"/>
            <w:hideMark/>
          </w:tcPr>
          <w:p w14:paraId="45B871B3" w14:textId="77777777" w:rsidR="00B03672" w:rsidRPr="007647EB" w:rsidRDefault="00B03672" w:rsidP="008123FC">
            <w:pPr>
              <w:pStyle w:val="Normal-pool-Table"/>
              <w:jc w:val="right"/>
              <w:rPr>
                <w:szCs w:val="18"/>
              </w:rPr>
            </w:pPr>
            <w:r w:rsidRPr="007647EB">
              <w:rPr>
                <w:color w:val="000000"/>
              </w:rPr>
              <w:t>715</w:t>
            </w:r>
          </w:p>
        </w:tc>
      </w:tr>
      <w:tr w:rsidR="00B03672" w:rsidRPr="007647EB" w14:paraId="3F90603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426ADC8" w14:textId="0DDC8D5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AE58642" w14:textId="77777777" w:rsidR="00B03672" w:rsidRPr="007647EB" w:rsidRDefault="00B03672" w:rsidP="008123FC">
            <w:pPr>
              <w:pStyle w:val="Normal-pool-Table"/>
              <w:rPr>
                <w:szCs w:val="18"/>
              </w:rPr>
            </w:pPr>
            <w:r w:rsidRPr="007647EB">
              <w:rPr>
                <w:color w:val="000000"/>
              </w:rPr>
              <w:t>Samoa</w:t>
            </w:r>
          </w:p>
        </w:tc>
        <w:tc>
          <w:tcPr>
            <w:tcW w:w="1395" w:type="dxa"/>
            <w:tcBorders>
              <w:top w:val="nil"/>
              <w:left w:val="nil"/>
              <w:bottom w:val="single" w:sz="4" w:space="0" w:color="auto"/>
              <w:right w:val="single" w:sz="4" w:space="0" w:color="auto"/>
            </w:tcBorders>
            <w:noWrap/>
            <w:hideMark/>
          </w:tcPr>
          <w:p w14:paraId="425C5915"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6BD262ED"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12A184F"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6F34C11"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EB9F8F2" w14:textId="77777777" w:rsidR="00B03672" w:rsidRPr="007647EB" w:rsidRDefault="00B03672" w:rsidP="008123FC">
            <w:pPr>
              <w:pStyle w:val="Normal-pool-Table"/>
              <w:jc w:val="right"/>
              <w:rPr>
                <w:szCs w:val="18"/>
              </w:rPr>
            </w:pPr>
            <w:r w:rsidRPr="007647EB">
              <w:rPr>
                <w:color w:val="000000"/>
              </w:rPr>
              <w:t>715</w:t>
            </w:r>
          </w:p>
        </w:tc>
      </w:tr>
      <w:tr w:rsidR="00B03672" w:rsidRPr="007647EB" w14:paraId="1E57261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0C8D59C" w14:textId="61282A8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B78628" w14:textId="77777777" w:rsidR="00B03672" w:rsidRPr="007647EB" w:rsidRDefault="00B03672" w:rsidP="008123FC">
            <w:pPr>
              <w:pStyle w:val="Normal-pool-Table"/>
              <w:rPr>
                <w:szCs w:val="18"/>
              </w:rPr>
            </w:pPr>
            <w:r w:rsidRPr="007647EB">
              <w:rPr>
                <w:color w:val="000000"/>
              </w:rPr>
              <w:t>Singapour</w:t>
            </w:r>
          </w:p>
        </w:tc>
        <w:tc>
          <w:tcPr>
            <w:tcW w:w="1395" w:type="dxa"/>
            <w:tcBorders>
              <w:top w:val="nil"/>
              <w:left w:val="nil"/>
              <w:bottom w:val="single" w:sz="4" w:space="0" w:color="auto"/>
              <w:right w:val="single" w:sz="4" w:space="0" w:color="auto"/>
            </w:tcBorders>
            <w:noWrap/>
            <w:hideMark/>
          </w:tcPr>
          <w:p w14:paraId="42A2871F" w14:textId="77777777" w:rsidR="00B03672" w:rsidRPr="007647EB" w:rsidRDefault="00B03672" w:rsidP="008123FC">
            <w:pPr>
              <w:pStyle w:val="Normal-pool-Table"/>
              <w:jc w:val="right"/>
              <w:rPr>
                <w:szCs w:val="18"/>
              </w:rPr>
            </w:pPr>
            <w:r w:rsidRPr="007647EB">
              <w:rPr>
                <w:color w:val="000000"/>
              </w:rPr>
              <w:t>0,479</w:t>
            </w:r>
          </w:p>
        </w:tc>
        <w:tc>
          <w:tcPr>
            <w:tcW w:w="1134" w:type="dxa"/>
            <w:tcBorders>
              <w:top w:val="nil"/>
              <w:left w:val="nil"/>
              <w:bottom w:val="single" w:sz="4" w:space="0" w:color="auto"/>
              <w:right w:val="single" w:sz="4" w:space="0" w:color="auto"/>
            </w:tcBorders>
            <w:noWrap/>
            <w:hideMark/>
          </w:tcPr>
          <w:p w14:paraId="70267AE3" w14:textId="77777777" w:rsidR="00B03672" w:rsidRPr="007647EB" w:rsidRDefault="00B03672" w:rsidP="008123FC">
            <w:pPr>
              <w:pStyle w:val="Normal-pool-Table"/>
              <w:jc w:val="right"/>
              <w:rPr>
                <w:szCs w:val="18"/>
              </w:rPr>
            </w:pPr>
            <w:r w:rsidRPr="007647EB">
              <w:rPr>
                <w:color w:val="000000"/>
              </w:rPr>
              <w:t>0,4835</w:t>
            </w:r>
          </w:p>
        </w:tc>
        <w:tc>
          <w:tcPr>
            <w:tcW w:w="1276" w:type="dxa"/>
            <w:tcBorders>
              <w:top w:val="nil"/>
              <w:left w:val="nil"/>
              <w:bottom w:val="single" w:sz="4" w:space="0" w:color="auto"/>
              <w:right w:val="single" w:sz="4" w:space="0" w:color="auto"/>
            </w:tcBorders>
            <w:noWrap/>
            <w:hideMark/>
          </w:tcPr>
          <w:p w14:paraId="0F455360" w14:textId="77777777" w:rsidR="00B03672" w:rsidRPr="007647EB" w:rsidRDefault="00B03672" w:rsidP="008123FC">
            <w:pPr>
              <w:pStyle w:val="Normal-pool-Table"/>
              <w:jc w:val="right"/>
              <w:rPr>
                <w:szCs w:val="18"/>
              </w:rPr>
            </w:pPr>
            <w:r w:rsidRPr="007647EB">
              <w:rPr>
                <w:color w:val="000000"/>
              </w:rPr>
              <w:t>14 907</w:t>
            </w:r>
          </w:p>
        </w:tc>
        <w:tc>
          <w:tcPr>
            <w:tcW w:w="1276" w:type="dxa"/>
            <w:tcBorders>
              <w:top w:val="nil"/>
              <w:left w:val="nil"/>
              <w:bottom w:val="single" w:sz="4" w:space="0" w:color="auto"/>
              <w:right w:val="single" w:sz="4" w:space="0" w:color="auto"/>
            </w:tcBorders>
            <w:noWrap/>
            <w:hideMark/>
          </w:tcPr>
          <w:p w14:paraId="719C358E" w14:textId="77777777" w:rsidR="00B03672" w:rsidRPr="007647EB" w:rsidRDefault="00B03672" w:rsidP="008123FC">
            <w:pPr>
              <w:pStyle w:val="Normal-pool-Table"/>
              <w:jc w:val="right"/>
              <w:rPr>
                <w:szCs w:val="18"/>
              </w:rPr>
            </w:pPr>
            <w:r w:rsidRPr="007647EB">
              <w:rPr>
                <w:color w:val="000000"/>
              </w:rPr>
              <w:t>19 673</w:t>
            </w:r>
          </w:p>
        </w:tc>
        <w:tc>
          <w:tcPr>
            <w:tcW w:w="1291" w:type="dxa"/>
            <w:tcBorders>
              <w:top w:val="nil"/>
              <w:left w:val="nil"/>
              <w:bottom w:val="single" w:sz="4" w:space="0" w:color="auto"/>
              <w:right w:val="single" w:sz="4" w:space="0" w:color="auto"/>
            </w:tcBorders>
            <w:noWrap/>
            <w:hideMark/>
          </w:tcPr>
          <w:p w14:paraId="10BF84D2" w14:textId="77777777" w:rsidR="00B03672" w:rsidRPr="007647EB" w:rsidRDefault="00B03672" w:rsidP="008123FC">
            <w:pPr>
              <w:pStyle w:val="Normal-pool-Table"/>
              <w:jc w:val="right"/>
              <w:rPr>
                <w:szCs w:val="18"/>
              </w:rPr>
            </w:pPr>
            <w:r w:rsidRPr="007647EB">
              <w:rPr>
                <w:color w:val="000000"/>
              </w:rPr>
              <w:t>34 580</w:t>
            </w:r>
          </w:p>
        </w:tc>
      </w:tr>
      <w:tr w:rsidR="00B03672" w:rsidRPr="007647EB" w14:paraId="4E8ED5F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05BE904" w14:textId="5CF5A0D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106F095" w14:textId="77777777" w:rsidR="00B03672" w:rsidRPr="007647EB" w:rsidRDefault="00B03672" w:rsidP="008123FC">
            <w:pPr>
              <w:pStyle w:val="Normal-pool-Table"/>
              <w:rPr>
                <w:szCs w:val="18"/>
              </w:rPr>
            </w:pPr>
            <w:r w:rsidRPr="007647EB">
              <w:rPr>
                <w:color w:val="000000"/>
              </w:rPr>
              <w:t>Sri Lanka</w:t>
            </w:r>
          </w:p>
        </w:tc>
        <w:tc>
          <w:tcPr>
            <w:tcW w:w="1395" w:type="dxa"/>
            <w:tcBorders>
              <w:top w:val="nil"/>
              <w:left w:val="nil"/>
              <w:bottom w:val="single" w:sz="4" w:space="0" w:color="auto"/>
              <w:right w:val="single" w:sz="4" w:space="0" w:color="auto"/>
            </w:tcBorders>
            <w:noWrap/>
            <w:hideMark/>
          </w:tcPr>
          <w:p w14:paraId="72484B75" w14:textId="77777777" w:rsidR="00B03672" w:rsidRPr="007647EB" w:rsidRDefault="00B03672" w:rsidP="008123FC">
            <w:pPr>
              <w:pStyle w:val="Normal-pool-Table"/>
              <w:jc w:val="right"/>
              <w:rPr>
                <w:szCs w:val="18"/>
              </w:rPr>
            </w:pPr>
            <w:r w:rsidRPr="007647EB">
              <w:rPr>
                <w:color w:val="000000"/>
              </w:rPr>
              <w:t>0,038</w:t>
            </w:r>
          </w:p>
        </w:tc>
        <w:tc>
          <w:tcPr>
            <w:tcW w:w="1134" w:type="dxa"/>
            <w:tcBorders>
              <w:top w:val="nil"/>
              <w:left w:val="nil"/>
              <w:bottom w:val="single" w:sz="4" w:space="0" w:color="auto"/>
              <w:right w:val="single" w:sz="4" w:space="0" w:color="auto"/>
            </w:tcBorders>
            <w:noWrap/>
            <w:hideMark/>
          </w:tcPr>
          <w:p w14:paraId="5A83C4B5" w14:textId="77777777" w:rsidR="00B03672" w:rsidRPr="007647EB" w:rsidRDefault="00B03672" w:rsidP="008123FC">
            <w:pPr>
              <w:pStyle w:val="Normal-pool-Table"/>
              <w:jc w:val="right"/>
              <w:rPr>
                <w:szCs w:val="18"/>
              </w:rPr>
            </w:pPr>
            <w:r w:rsidRPr="007647EB">
              <w:rPr>
                <w:color w:val="000000"/>
              </w:rPr>
              <w:t>0,0384</w:t>
            </w:r>
          </w:p>
        </w:tc>
        <w:tc>
          <w:tcPr>
            <w:tcW w:w="1276" w:type="dxa"/>
            <w:tcBorders>
              <w:top w:val="nil"/>
              <w:left w:val="nil"/>
              <w:bottom w:val="single" w:sz="4" w:space="0" w:color="auto"/>
              <w:right w:val="single" w:sz="4" w:space="0" w:color="auto"/>
            </w:tcBorders>
            <w:noWrap/>
            <w:hideMark/>
          </w:tcPr>
          <w:p w14:paraId="0C1E41AD" w14:textId="77777777" w:rsidR="00B03672" w:rsidRPr="007647EB" w:rsidRDefault="00B03672" w:rsidP="008123FC">
            <w:pPr>
              <w:pStyle w:val="Normal-pool-Table"/>
              <w:jc w:val="right"/>
              <w:rPr>
                <w:szCs w:val="18"/>
              </w:rPr>
            </w:pPr>
            <w:r w:rsidRPr="007647EB">
              <w:rPr>
                <w:color w:val="000000"/>
              </w:rPr>
              <w:t>1 183</w:t>
            </w:r>
          </w:p>
        </w:tc>
        <w:tc>
          <w:tcPr>
            <w:tcW w:w="1276" w:type="dxa"/>
            <w:tcBorders>
              <w:top w:val="nil"/>
              <w:left w:val="nil"/>
              <w:bottom w:val="single" w:sz="4" w:space="0" w:color="auto"/>
              <w:right w:val="single" w:sz="4" w:space="0" w:color="auto"/>
            </w:tcBorders>
            <w:noWrap/>
            <w:hideMark/>
          </w:tcPr>
          <w:p w14:paraId="7FCA4F3A" w14:textId="77777777" w:rsidR="00B03672" w:rsidRPr="007647EB" w:rsidRDefault="00B03672" w:rsidP="008123FC">
            <w:pPr>
              <w:pStyle w:val="Normal-pool-Table"/>
              <w:jc w:val="right"/>
              <w:rPr>
                <w:szCs w:val="18"/>
              </w:rPr>
            </w:pPr>
            <w:r w:rsidRPr="007647EB">
              <w:rPr>
                <w:color w:val="000000"/>
              </w:rPr>
              <w:t>1 561</w:t>
            </w:r>
          </w:p>
        </w:tc>
        <w:tc>
          <w:tcPr>
            <w:tcW w:w="1291" w:type="dxa"/>
            <w:tcBorders>
              <w:top w:val="nil"/>
              <w:left w:val="nil"/>
              <w:bottom w:val="single" w:sz="4" w:space="0" w:color="auto"/>
              <w:right w:val="single" w:sz="4" w:space="0" w:color="auto"/>
            </w:tcBorders>
            <w:noWrap/>
            <w:hideMark/>
          </w:tcPr>
          <w:p w14:paraId="0F4E6BEB" w14:textId="77777777" w:rsidR="00B03672" w:rsidRPr="007647EB" w:rsidRDefault="00B03672" w:rsidP="008123FC">
            <w:pPr>
              <w:pStyle w:val="Normal-pool-Table"/>
              <w:jc w:val="right"/>
              <w:rPr>
                <w:szCs w:val="18"/>
              </w:rPr>
            </w:pPr>
            <w:r w:rsidRPr="007647EB">
              <w:rPr>
                <w:color w:val="000000"/>
              </w:rPr>
              <w:t>2 743</w:t>
            </w:r>
          </w:p>
        </w:tc>
      </w:tr>
      <w:tr w:rsidR="00B03672" w:rsidRPr="007647EB" w14:paraId="2E61392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8B4068D" w14:textId="56293439"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6C3F8B" w14:textId="77777777" w:rsidR="00B03672" w:rsidRPr="007647EB" w:rsidRDefault="00B03672" w:rsidP="008123FC">
            <w:pPr>
              <w:pStyle w:val="Normal-pool-Table"/>
              <w:rPr>
                <w:szCs w:val="18"/>
              </w:rPr>
            </w:pPr>
            <w:r w:rsidRPr="007647EB">
              <w:rPr>
                <w:color w:val="000000"/>
              </w:rPr>
              <w:t>Thaïlande</w:t>
            </w:r>
          </w:p>
        </w:tc>
        <w:tc>
          <w:tcPr>
            <w:tcW w:w="1395" w:type="dxa"/>
            <w:tcBorders>
              <w:top w:val="nil"/>
              <w:left w:val="nil"/>
              <w:bottom w:val="single" w:sz="4" w:space="0" w:color="auto"/>
              <w:right w:val="single" w:sz="4" w:space="0" w:color="auto"/>
            </w:tcBorders>
            <w:noWrap/>
            <w:hideMark/>
          </w:tcPr>
          <w:p w14:paraId="0CCE75B1" w14:textId="77777777" w:rsidR="00B03672" w:rsidRPr="007647EB" w:rsidRDefault="00B03672" w:rsidP="008123FC">
            <w:pPr>
              <w:pStyle w:val="Normal-pool-Table"/>
              <w:jc w:val="right"/>
              <w:rPr>
                <w:szCs w:val="18"/>
              </w:rPr>
            </w:pPr>
            <w:r w:rsidRPr="007647EB">
              <w:rPr>
                <w:color w:val="000000"/>
              </w:rPr>
              <w:t>0,341</w:t>
            </w:r>
          </w:p>
        </w:tc>
        <w:tc>
          <w:tcPr>
            <w:tcW w:w="1134" w:type="dxa"/>
            <w:tcBorders>
              <w:top w:val="nil"/>
              <w:left w:val="nil"/>
              <w:bottom w:val="single" w:sz="4" w:space="0" w:color="auto"/>
              <w:right w:val="single" w:sz="4" w:space="0" w:color="auto"/>
            </w:tcBorders>
            <w:noWrap/>
            <w:hideMark/>
          </w:tcPr>
          <w:p w14:paraId="6785B1A2" w14:textId="77777777" w:rsidR="00B03672" w:rsidRPr="007647EB" w:rsidRDefault="00B03672" w:rsidP="008123FC">
            <w:pPr>
              <w:pStyle w:val="Normal-pool-Table"/>
              <w:jc w:val="right"/>
              <w:rPr>
                <w:szCs w:val="18"/>
              </w:rPr>
            </w:pPr>
            <w:r w:rsidRPr="007647EB">
              <w:rPr>
                <w:color w:val="000000"/>
              </w:rPr>
              <w:t>0,3442</w:t>
            </w:r>
          </w:p>
        </w:tc>
        <w:tc>
          <w:tcPr>
            <w:tcW w:w="1276" w:type="dxa"/>
            <w:tcBorders>
              <w:top w:val="nil"/>
              <w:left w:val="nil"/>
              <w:bottom w:val="single" w:sz="4" w:space="0" w:color="auto"/>
              <w:right w:val="single" w:sz="4" w:space="0" w:color="auto"/>
            </w:tcBorders>
            <w:noWrap/>
            <w:hideMark/>
          </w:tcPr>
          <w:p w14:paraId="0EFC85BF" w14:textId="77777777" w:rsidR="00B03672" w:rsidRPr="007647EB" w:rsidRDefault="00B03672" w:rsidP="008123FC">
            <w:pPr>
              <w:pStyle w:val="Normal-pool-Table"/>
              <w:jc w:val="right"/>
              <w:rPr>
                <w:szCs w:val="18"/>
              </w:rPr>
            </w:pPr>
            <w:r w:rsidRPr="007647EB">
              <w:rPr>
                <w:color w:val="000000"/>
              </w:rPr>
              <w:t>10 612</w:t>
            </w:r>
          </w:p>
        </w:tc>
        <w:tc>
          <w:tcPr>
            <w:tcW w:w="1276" w:type="dxa"/>
            <w:tcBorders>
              <w:top w:val="nil"/>
              <w:left w:val="nil"/>
              <w:bottom w:val="single" w:sz="4" w:space="0" w:color="auto"/>
              <w:right w:val="single" w:sz="4" w:space="0" w:color="auto"/>
            </w:tcBorders>
            <w:noWrap/>
            <w:hideMark/>
          </w:tcPr>
          <w:p w14:paraId="08A3A776" w14:textId="77777777" w:rsidR="00B03672" w:rsidRPr="007647EB" w:rsidRDefault="00B03672" w:rsidP="008123FC">
            <w:pPr>
              <w:pStyle w:val="Normal-pool-Table"/>
              <w:jc w:val="right"/>
              <w:rPr>
                <w:szCs w:val="18"/>
              </w:rPr>
            </w:pPr>
            <w:r w:rsidRPr="007647EB">
              <w:rPr>
                <w:color w:val="000000"/>
              </w:rPr>
              <w:t>14 005</w:t>
            </w:r>
          </w:p>
        </w:tc>
        <w:tc>
          <w:tcPr>
            <w:tcW w:w="1291" w:type="dxa"/>
            <w:tcBorders>
              <w:top w:val="nil"/>
              <w:left w:val="nil"/>
              <w:bottom w:val="single" w:sz="4" w:space="0" w:color="auto"/>
              <w:right w:val="single" w:sz="4" w:space="0" w:color="auto"/>
            </w:tcBorders>
            <w:noWrap/>
            <w:hideMark/>
          </w:tcPr>
          <w:p w14:paraId="095C20C1" w14:textId="77777777" w:rsidR="00B03672" w:rsidRPr="007647EB" w:rsidRDefault="00B03672" w:rsidP="008123FC">
            <w:pPr>
              <w:pStyle w:val="Normal-pool-Table"/>
              <w:jc w:val="right"/>
              <w:rPr>
                <w:szCs w:val="18"/>
              </w:rPr>
            </w:pPr>
            <w:r w:rsidRPr="007647EB">
              <w:rPr>
                <w:color w:val="000000"/>
              </w:rPr>
              <w:t>24 618</w:t>
            </w:r>
          </w:p>
        </w:tc>
      </w:tr>
      <w:tr w:rsidR="00B03672" w:rsidRPr="007647EB" w14:paraId="5C27D7A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2DA20A6" w14:textId="05C544C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2362D5" w14:textId="77777777" w:rsidR="00B03672" w:rsidRPr="007647EB" w:rsidRDefault="00B03672" w:rsidP="008123FC">
            <w:pPr>
              <w:pStyle w:val="Normal-pool-Table"/>
              <w:rPr>
                <w:szCs w:val="18"/>
              </w:rPr>
            </w:pPr>
            <w:r w:rsidRPr="007647EB">
              <w:rPr>
                <w:color w:val="000000"/>
              </w:rPr>
              <w:t>Tonga</w:t>
            </w:r>
          </w:p>
        </w:tc>
        <w:tc>
          <w:tcPr>
            <w:tcW w:w="1395" w:type="dxa"/>
            <w:tcBorders>
              <w:top w:val="nil"/>
              <w:left w:val="nil"/>
              <w:bottom w:val="single" w:sz="4" w:space="0" w:color="auto"/>
              <w:right w:val="single" w:sz="4" w:space="0" w:color="auto"/>
            </w:tcBorders>
            <w:noWrap/>
            <w:hideMark/>
          </w:tcPr>
          <w:p w14:paraId="1993801D"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AA6A03E"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55E3DD7"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B7760B5"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6DC5E67A" w14:textId="77777777" w:rsidR="00B03672" w:rsidRPr="007647EB" w:rsidRDefault="00B03672" w:rsidP="008123FC">
            <w:pPr>
              <w:pStyle w:val="Normal-pool-Table"/>
              <w:jc w:val="right"/>
              <w:rPr>
                <w:szCs w:val="18"/>
              </w:rPr>
            </w:pPr>
            <w:r w:rsidRPr="007647EB">
              <w:rPr>
                <w:color w:val="000000"/>
              </w:rPr>
              <w:t>715</w:t>
            </w:r>
          </w:p>
        </w:tc>
      </w:tr>
      <w:tr w:rsidR="00B03672" w:rsidRPr="007647EB" w14:paraId="51565F1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F88C28F" w14:textId="7BED3AF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C9CDE30" w14:textId="77777777" w:rsidR="00B03672" w:rsidRPr="007647EB" w:rsidRDefault="00B03672" w:rsidP="008123FC">
            <w:pPr>
              <w:pStyle w:val="Normal-pool-Table"/>
              <w:rPr>
                <w:szCs w:val="18"/>
              </w:rPr>
            </w:pPr>
            <w:r w:rsidRPr="007647EB">
              <w:rPr>
                <w:color w:val="000000"/>
              </w:rPr>
              <w:t>Tuvalu</w:t>
            </w:r>
          </w:p>
        </w:tc>
        <w:tc>
          <w:tcPr>
            <w:tcW w:w="1395" w:type="dxa"/>
            <w:tcBorders>
              <w:top w:val="nil"/>
              <w:left w:val="nil"/>
              <w:bottom w:val="single" w:sz="4" w:space="0" w:color="auto"/>
              <w:right w:val="single" w:sz="4" w:space="0" w:color="auto"/>
            </w:tcBorders>
            <w:noWrap/>
            <w:hideMark/>
          </w:tcPr>
          <w:p w14:paraId="6904A330"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71F55AC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CA8652C"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133E43F2"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6C1513C" w14:textId="77777777" w:rsidR="00B03672" w:rsidRPr="007647EB" w:rsidRDefault="00B03672" w:rsidP="008123FC">
            <w:pPr>
              <w:pStyle w:val="Normal-pool-Table"/>
              <w:jc w:val="right"/>
              <w:rPr>
                <w:szCs w:val="18"/>
              </w:rPr>
            </w:pPr>
            <w:r w:rsidRPr="007647EB">
              <w:rPr>
                <w:color w:val="000000"/>
              </w:rPr>
              <w:t>715</w:t>
            </w:r>
          </w:p>
        </w:tc>
      </w:tr>
      <w:tr w:rsidR="00B03672" w:rsidRPr="007647EB" w14:paraId="21C5DB7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98AA53B" w14:textId="56FD304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6F1CB42" w14:textId="77777777" w:rsidR="00B03672" w:rsidRPr="007647EB" w:rsidRDefault="00B03672" w:rsidP="008123FC">
            <w:pPr>
              <w:pStyle w:val="Normal-pool-Table"/>
              <w:rPr>
                <w:szCs w:val="18"/>
              </w:rPr>
            </w:pPr>
            <w:r w:rsidRPr="007647EB">
              <w:rPr>
                <w:color w:val="000000"/>
              </w:rPr>
              <w:t>Vanuatu</w:t>
            </w:r>
          </w:p>
        </w:tc>
        <w:tc>
          <w:tcPr>
            <w:tcW w:w="1395" w:type="dxa"/>
            <w:tcBorders>
              <w:top w:val="nil"/>
              <w:left w:val="nil"/>
              <w:bottom w:val="single" w:sz="4" w:space="0" w:color="auto"/>
              <w:right w:val="single" w:sz="4" w:space="0" w:color="auto"/>
            </w:tcBorders>
            <w:noWrap/>
            <w:hideMark/>
          </w:tcPr>
          <w:p w14:paraId="150F8283"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0F0EA5C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3FFA49AA"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7FE8C317"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1F913C5F" w14:textId="77777777" w:rsidR="00B03672" w:rsidRPr="007647EB" w:rsidRDefault="00B03672" w:rsidP="008123FC">
            <w:pPr>
              <w:pStyle w:val="Normal-pool-Table"/>
              <w:jc w:val="right"/>
              <w:rPr>
                <w:szCs w:val="18"/>
              </w:rPr>
            </w:pPr>
            <w:r w:rsidRPr="007647EB">
              <w:rPr>
                <w:color w:val="000000"/>
              </w:rPr>
              <w:t>715</w:t>
            </w:r>
          </w:p>
        </w:tc>
      </w:tr>
      <w:tr w:rsidR="00B03672" w:rsidRPr="007647EB" w14:paraId="7861799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E80F444" w14:textId="4A315C4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427A998" w14:textId="77777777" w:rsidR="00B03672" w:rsidRPr="007647EB" w:rsidRDefault="00B03672" w:rsidP="008123FC">
            <w:pPr>
              <w:pStyle w:val="Normal-pool-Table"/>
              <w:rPr>
                <w:szCs w:val="18"/>
              </w:rPr>
            </w:pPr>
            <w:r w:rsidRPr="007647EB">
              <w:rPr>
                <w:color w:val="000000"/>
              </w:rPr>
              <w:t>Viet Nam</w:t>
            </w:r>
          </w:p>
        </w:tc>
        <w:tc>
          <w:tcPr>
            <w:tcW w:w="1395" w:type="dxa"/>
            <w:tcBorders>
              <w:top w:val="nil"/>
              <w:left w:val="nil"/>
              <w:bottom w:val="single" w:sz="4" w:space="0" w:color="auto"/>
              <w:right w:val="single" w:sz="4" w:space="0" w:color="auto"/>
            </w:tcBorders>
            <w:noWrap/>
            <w:hideMark/>
          </w:tcPr>
          <w:p w14:paraId="30A224B4" w14:textId="77777777" w:rsidR="00B03672" w:rsidRPr="007647EB" w:rsidRDefault="00B03672" w:rsidP="008123FC">
            <w:pPr>
              <w:pStyle w:val="Normal-pool-Table"/>
              <w:jc w:val="right"/>
              <w:rPr>
                <w:szCs w:val="18"/>
              </w:rPr>
            </w:pPr>
            <w:r w:rsidRPr="007647EB">
              <w:rPr>
                <w:color w:val="000000"/>
              </w:rPr>
              <w:t>0,159</w:t>
            </w:r>
          </w:p>
        </w:tc>
        <w:tc>
          <w:tcPr>
            <w:tcW w:w="1134" w:type="dxa"/>
            <w:tcBorders>
              <w:top w:val="nil"/>
              <w:left w:val="nil"/>
              <w:bottom w:val="single" w:sz="4" w:space="0" w:color="auto"/>
              <w:right w:val="single" w:sz="4" w:space="0" w:color="auto"/>
            </w:tcBorders>
            <w:noWrap/>
            <w:hideMark/>
          </w:tcPr>
          <w:p w14:paraId="5766EA3A" w14:textId="77777777" w:rsidR="00B03672" w:rsidRPr="007647EB" w:rsidRDefault="00B03672" w:rsidP="008123FC">
            <w:pPr>
              <w:pStyle w:val="Normal-pool-Table"/>
              <w:jc w:val="right"/>
              <w:rPr>
                <w:szCs w:val="18"/>
              </w:rPr>
            </w:pPr>
            <w:r w:rsidRPr="007647EB">
              <w:rPr>
                <w:color w:val="000000"/>
              </w:rPr>
              <w:t>0,1605</w:t>
            </w:r>
          </w:p>
        </w:tc>
        <w:tc>
          <w:tcPr>
            <w:tcW w:w="1276" w:type="dxa"/>
            <w:tcBorders>
              <w:top w:val="nil"/>
              <w:left w:val="nil"/>
              <w:bottom w:val="single" w:sz="4" w:space="0" w:color="auto"/>
              <w:right w:val="single" w:sz="4" w:space="0" w:color="auto"/>
            </w:tcBorders>
            <w:noWrap/>
            <w:hideMark/>
          </w:tcPr>
          <w:p w14:paraId="22348EEF" w14:textId="77777777" w:rsidR="00B03672" w:rsidRPr="007647EB" w:rsidRDefault="00B03672" w:rsidP="008123FC">
            <w:pPr>
              <w:pStyle w:val="Normal-pool-Table"/>
              <w:jc w:val="right"/>
              <w:rPr>
                <w:szCs w:val="18"/>
              </w:rPr>
            </w:pPr>
            <w:r w:rsidRPr="007647EB">
              <w:rPr>
                <w:color w:val="000000"/>
              </w:rPr>
              <w:t>4 948</w:t>
            </w:r>
          </w:p>
        </w:tc>
        <w:tc>
          <w:tcPr>
            <w:tcW w:w="1276" w:type="dxa"/>
            <w:tcBorders>
              <w:top w:val="nil"/>
              <w:left w:val="nil"/>
              <w:bottom w:val="single" w:sz="4" w:space="0" w:color="auto"/>
              <w:right w:val="single" w:sz="4" w:space="0" w:color="auto"/>
            </w:tcBorders>
            <w:noWrap/>
            <w:hideMark/>
          </w:tcPr>
          <w:p w14:paraId="555C34D3" w14:textId="77777777" w:rsidR="00B03672" w:rsidRPr="007647EB" w:rsidRDefault="00B03672" w:rsidP="008123FC">
            <w:pPr>
              <w:pStyle w:val="Normal-pool-Table"/>
              <w:jc w:val="right"/>
              <w:rPr>
                <w:szCs w:val="18"/>
              </w:rPr>
            </w:pPr>
            <w:r w:rsidRPr="007647EB">
              <w:rPr>
                <w:color w:val="000000"/>
              </w:rPr>
              <w:t>6 530</w:t>
            </w:r>
          </w:p>
        </w:tc>
        <w:tc>
          <w:tcPr>
            <w:tcW w:w="1291" w:type="dxa"/>
            <w:tcBorders>
              <w:top w:val="nil"/>
              <w:left w:val="nil"/>
              <w:bottom w:val="single" w:sz="4" w:space="0" w:color="auto"/>
              <w:right w:val="single" w:sz="4" w:space="0" w:color="auto"/>
            </w:tcBorders>
            <w:noWrap/>
            <w:hideMark/>
          </w:tcPr>
          <w:p w14:paraId="4D635FDD" w14:textId="77777777" w:rsidR="00B03672" w:rsidRPr="007647EB" w:rsidRDefault="00B03672" w:rsidP="008123FC">
            <w:pPr>
              <w:pStyle w:val="Normal-pool-Table"/>
              <w:jc w:val="right"/>
              <w:rPr>
                <w:szCs w:val="18"/>
              </w:rPr>
            </w:pPr>
            <w:r w:rsidRPr="007647EB">
              <w:rPr>
                <w:color w:val="000000"/>
              </w:rPr>
              <w:t>11 479</w:t>
            </w:r>
          </w:p>
        </w:tc>
      </w:tr>
      <w:tr w:rsidR="002B2CBE" w:rsidRPr="007647EB" w14:paraId="4C0DD56E"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2AB710D7" w14:textId="05E1DDFA" w:rsidR="002B2CBE" w:rsidRPr="007647EB" w:rsidRDefault="002B2CBE" w:rsidP="008123FC">
            <w:pPr>
              <w:pStyle w:val="Normal-pool-Table"/>
              <w:rPr>
                <w:b/>
                <w:bCs/>
                <w:szCs w:val="18"/>
              </w:rPr>
            </w:pPr>
            <w:r w:rsidRPr="007647EB">
              <w:rPr>
                <w:b/>
                <w:bCs/>
                <w:color w:val="000000"/>
                <w:szCs w:val="18"/>
              </w:rPr>
              <w:t>États d</w:t>
            </w:r>
            <w:r w:rsidR="00D82E47" w:rsidRPr="007647EB">
              <w:rPr>
                <w:b/>
                <w:bCs/>
                <w:color w:val="000000"/>
                <w:szCs w:val="18"/>
              </w:rPr>
              <w:t>’</w:t>
            </w:r>
            <w:r w:rsidRPr="007647EB">
              <w:rPr>
                <w:b/>
                <w:bCs/>
                <w:color w:val="000000"/>
                <w:szCs w:val="18"/>
              </w:rPr>
              <w:t>Europe orientale (19)</w:t>
            </w:r>
          </w:p>
        </w:tc>
      </w:tr>
      <w:tr w:rsidR="00B03672" w:rsidRPr="007647EB" w14:paraId="41B70EB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4BDA78" w14:textId="62ADAC6A"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7091706" w14:textId="77777777" w:rsidR="00B03672" w:rsidRPr="007647EB" w:rsidRDefault="00B03672" w:rsidP="008123FC">
            <w:pPr>
              <w:pStyle w:val="Normal-pool-Table"/>
              <w:rPr>
                <w:szCs w:val="18"/>
              </w:rPr>
            </w:pPr>
            <w:r w:rsidRPr="007647EB">
              <w:rPr>
                <w:color w:val="000000"/>
              </w:rPr>
              <w:t>Albanie</w:t>
            </w:r>
          </w:p>
        </w:tc>
        <w:tc>
          <w:tcPr>
            <w:tcW w:w="1395" w:type="dxa"/>
            <w:tcBorders>
              <w:top w:val="nil"/>
              <w:left w:val="nil"/>
              <w:bottom w:val="single" w:sz="4" w:space="0" w:color="auto"/>
              <w:right w:val="single" w:sz="4" w:space="0" w:color="auto"/>
            </w:tcBorders>
            <w:noWrap/>
            <w:hideMark/>
          </w:tcPr>
          <w:p w14:paraId="02C4E41A" w14:textId="77777777" w:rsidR="00B03672" w:rsidRPr="007647EB" w:rsidRDefault="00B03672"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566F5F48" w14:textId="77777777" w:rsidR="00B03672" w:rsidRPr="007647EB" w:rsidRDefault="00B03672"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09A742F3" w14:textId="77777777" w:rsidR="00B03672" w:rsidRPr="007647EB" w:rsidRDefault="00B03672"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70C01D12" w14:textId="77777777" w:rsidR="00B03672" w:rsidRPr="007647EB" w:rsidRDefault="00B03672"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15282F9B" w14:textId="77777777" w:rsidR="00B03672" w:rsidRPr="007647EB" w:rsidRDefault="00B03672" w:rsidP="008123FC">
            <w:pPr>
              <w:pStyle w:val="Normal-pool-Table"/>
              <w:jc w:val="right"/>
              <w:rPr>
                <w:szCs w:val="18"/>
              </w:rPr>
            </w:pPr>
            <w:r w:rsidRPr="007647EB">
              <w:rPr>
                <w:color w:val="000000"/>
              </w:rPr>
              <w:t>722</w:t>
            </w:r>
          </w:p>
        </w:tc>
      </w:tr>
      <w:tr w:rsidR="00B03672" w:rsidRPr="007647EB" w14:paraId="7B2BD13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6BC98A3" w14:textId="3BBC472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387F5B" w14:textId="77777777" w:rsidR="00B03672" w:rsidRPr="007647EB" w:rsidRDefault="00B03672" w:rsidP="008123FC">
            <w:pPr>
              <w:pStyle w:val="Normal-pool-Table"/>
              <w:rPr>
                <w:szCs w:val="18"/>
              </w:rPr>
            </w:pPr>
            <w:r w:rsidRPr="007647EB">
              <w:rPr>
                <w:color w:val="000000"/>
              </w:rPr>
              <w:t>Arménie</w:t>
            </w:r>
          </w:p>
        </w:tc>
        <w:tc>
          <w:tcPr>
            <w:tcW w:w="1395" w:type="dxa"/>
            <w:tcBorders>
              <w:top w:val="nil"/>
              <w:left w:val="nil"/>
              <w:bottom w:val="single" w:sz="4" w:space="0" w:color="auto"/>
              <w:right w:val="single" w:sz="4" w:space="0" w:color="auto"/>
            </w:tcBorders>
            <w:noWrap/>
            <w:hideMark/>
          </w:tcPr>
          <w:p w14:paraId="0E7A8D3E" w14:textId="77777777" w:rsidR="00B03672" w:rsidRPr="007647EB" w:rsidRDefault="00B03672"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0E894C6F"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445E7AF"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48D6089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614E897" w14:textId="77777777" w:rsidR="00B03672" w:rsidRPr="007647EB" w:rsidRDefault="00B03672" w:rsidP="008123FC">
            <w:pPr>
              <w:pStyle w:val="Normal-pool-Table"/>
              <w:jc w:val="right"/>
              <w:rPr>
                <w:szCs w:val="18"/>
              </w:rPr>
            </w:pPr>
            <w:r w:rsidRPr="007647EB">
              <w:rPr>
                <w:color w:val="000000"/>
              </w:rPr>
              <w:t>715</w:t>
            </w:r>
          </w:p>
        </w:tc>
      </w:tr>
      <w:tr w:rsidR="00B03672" w:rsidRPr="007647EB" w14:paraId="05216B0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B069F3F" w14:textId="4103A66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818136C" w14:textId="77777777" w:rsidR="00B03672" w:rsidRPr="007647EB" w:rsidRDefault="00B03672" w:rsidP="008123FC">
            <w:pPr>
              <w:pStyle w:val="Normal-pool-Table"/>
              <w:rPr>
                <w:szCs w:val="18"/>
              </w:rPr>
            </w:pPr>
            <w:r w:rsidRPr="007647EB">
              <w:rPr>
                <w:color w:val="000000"/>
              </w:rPr>
              <w:t>Bulgarie</w:t>
            </w:r>
          </w:p>
        </w:tc>
        <w:tc>
          <w:tcPr>
            <w:tcW w:w="1395" w:type="dxa"/>
            <w:tcBorders>
              <w:top w:val="nil"/>
              <w:left w:val="nil"/>
              <w:bottom w:val="single" w:sz="4" w:space="0" w:color="auto"/>
              <w:right w:val="single" w:sz="4" w:space="0" w:color="auto"/>
            </w:tcBorders>
            <w:noWrap/>
            <w:hideMark/>
          </w:tcPr>
          <w:p w14:paraId="3EADE06A" w14:textId="77777777" w:rsidR="00B03672" w:rsidRPr="007647EB" w:rsidRDefault="00B03672" w:rsidP="008123FC">
            <w:pPr>
              <w:pStyle w:val="Normal-pool-Table"/>
              <w:jc w:val="right"/>
              <w:rPr>
                <w:szCs w:val="18"/>
              </w:rPr>
            </w:pPr>
            <w:r w:rsidRPr="007647EB">
              <w:rPr>
                <w:color w:val="000000"/>
              </w:rPr>
              <w:t>0,071</w:t>
            </w:r>
          </w:p>
        </w:tc>
        <w:tc>
          <w:tcPr>
            <w:tcW w:w="1134" w:type="dxa"/>
            <w:tcBorders>
              <w:top w:val="nil"/>
              <w:left w:val="nil"/>
              <w:bottom w:val="single" w:sz="4" w:space="0" w:color="auto"/>
              <w:right w:val="single" w:sz="4" w:space="0" w:color="auto"/>
            </w:tcBorders>
            <w:noWrap/>
            <w:hideMark/>
          </w:tcPr>
          <w:p w14:paraId="2F87159B" w14:textId="77777777" w:rsidR="00B03672" w:rsidRPr="007647EB" w:rsidRDefault="00B03672" w:rsidP="008123FC">
            <w:pPr>
              <w:pStyle w:val="Normal-pool-Table"/>
              <w:jc w:val="right"/>
              <w:rPr>
                <w:szCs w:val="18"/>
              </w:rPr>
            </w:pPr>
            <w:r w:rsidRPr="007647EB">
              <w:rPr>
                <w:color w:val="000000"/>
              </w:rPr>
              <w:t>0,0717</w:t>
            </w:r>
          </w:p>
        </w:tc>
        <w:tc>
          <w:tcPr>
            <w:tcW w:w="1276" w:type="dxa"/>
            <w:tcBorders>
              <w:top w:val="nil"/>
              <w:left w:val="nil"/>
              <w:bottom w:val="single" w:sz="4" w:space="0" w:color="auto"/>
              <w:right w:val="single" w:sz="4" w:space="0" w:color="auto"/>
            </w:tcBorders>
            <w:noWrap/>
            <w:hideMark/>
          </w:tcPr>
          <w:p w14:paraId="6C549FA4" w14:textId="77777777" w:rsidR="00B03672" w:rsidRPr="007647EB" w:rsidRDefault="00B03672" w:rsidP="008123FC">
            <w:pPr>
              <w:pStyle w:val="Normal-pool-Table"/>
              <w:jc w:val="right"/>
              <w:rPr>
                <w:szCs w:val="18"/>
              </w:rPr>
            </w:pPr>
            <w:r w:rsidRPr="007647EB">
              <w:rPr>
                <w:color w:val="000000"/>
              </w:rPr>
              <w:t>2 210</w:t>
            </w:r>
          </w:p>
        </w:tc>
        <w:tc>
          <w:tcPr>
            <w:tcW w:w="1276" w:type="dxa"/>
            <w:tcBorders>
              <w:top w:val="nil"/>
              <w:left w:val="nil"/>
              <w:bottom w:val="single" w:sz="4" w:space="0" w:color="auto"/>
              <w:right w:val="single" w:sz="4" w:space="0" w:color="auto"/>
            </w:tcBorders>
            <w:noWrap/>
            <w:hideMark/>
          </w:tcPr>
          <w:p w14:paraId="057D4999" w14:textId="77777777" w:rsidR="00B03672" w:rsidRPr="007647EB" w:rsidRDefault="00B03672" w:rsidP="008123FC">
            <w:pPr>
              <w:pStyle w:val="Normal-pool-Table"/>
              <w:jc w:val="right"/>
              <w:rPr>
                <w:szCs w:val="18"/>
              </w:rPr>
            </w:pPr>
            <w:r w:rsidRPr="007647EB">
              <w:rPr>
                <w:color w:val="000000"/>
              </w:rPr>
              <w:t>2 916</w:t>
            </w:r>
          </w:p>
        </w:tc>
        <w:tc>
          <w:tcPr>
            <w:tcW w:w="1291" w:type="dxa"/>
            <w:tcBorders>
              <w:top w:val="nil"/>
              <w:left w:val="nil"/>
              <w:bottom w:val="single" w:sz="4" w:space="0" w:color="auto"/>
              <w:right w:val="single" w:sz="4" w:space="0" w:color="auto"/>
            </w:tcBorders>
            <w:noWrap/>
            <w:hideMark/>
          </w:tcPr>
          <w:p w14:paraId="327D1F2A" w14:textId="77777777" w:rsidR="00B03672" w:rsidRPr="007647EB" w:rsidRDefault="00B03672" w:rsidP="008123FC">
            <w:pPr>
              <w:pStyle w:val="Normal-pool-Table"/>
              <w:jc w:val="right"/>
              <w:rPr>
                <w:szCs w:val="18"/>
              </w:rPr>
            </w:pPr>
            <w:r w:rsidRPr="007647EB">
              <w:rPr>
                <w:color w:val="000000"/>
              </w:rPr>
              <w:t>5 126</w:t>
            </w:r>
          </w:p>
        </w:tc>
      </w:tr>
      <w:tr w:rsidR="00B03672" w:rsidRPr="007647EB" w14:paraId="0ACC2A1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E1373B5" w14:textId="4413661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B4ADF3C" w14:textId="77777777" w:rsidR="00B03672" w:rsidRPr="007647EB" w:rsidRDefault="00B03672" w:rsidP="008123FC">
            <w:pPr>
              <w:pStyle w:val="Normal-pool-Table"/>
              <w:rPr>
                <w:szCs w:val="18"/>
              </w:rPr>
            </w:pPr>
            <w:r w:rsidRPr="007647EB">
              <w:rPr>
                <w:color w:val="000000"/>
              </w:rPr>
              <w:t>Croatie</w:t>
            </w:r>
          </w:p>
        </w:tc>
        <w:tc>
          <w:tcPr>
            <w:tcW w:w="1395" w:type="dxa"/>
            <w:tcBorders>
              <w:top w:val="nil"/>
              <w:left w:val="nil"/>
              <w:bottom w:val="single" w:sz="4" w:space="0" w:color="auto"/>
              <w:right w:val="single" w:sz="4" w:space="0" w:color="auto"/>
            </w:tcBorders>
            <w:noWrap/>
            <w:hideMark/>
          </w:tcPr>
          <w:p w14:paraId="02630400" w14:textId="77777777" w:rsidR="00B03672" w:rsidRPr="007647EB" w:rsidRDefault="00B03672" w:rsidP="008123FC">
            <w:pPr>
              <w:pStyle w:val="Normal-pool-Table"/>
              <w:jc w:val="right"/>
              <w:rPr>
                <w:szCs w:val="18"/>
              </w:rPr>
            </w:pPr>
            <w:r w:rsidRPr="007647EB">
              <w:rPr>
                <w:color w:val="000000"/>
              </w:rPr>
              <w:t>0,088</w:t>
            </w:r>
          </w:p>
        </w:tc>
        <w:tc>
          <w:tcPr>
            <w:tcW w:w="1134" w:type="dxa"/>
            <w:tcBorders>
              <w:top w:val="nil"/>
              <w:left w:val="nil"/>
              <w:bottom w:val="single" w:sz="4" w:space="0" w:color="auto"/>
              <w:right w:val="single" w:sz="4" w:space="0" w:color="auto"/>
            </w:tcBorders>
            <w:noWrap/>
            <w:hideMark/>
          </w:tcPr>
          <w:p w14:paraId="2B9D2993" w14:textId="77777777" w:rsidR="00B03672" w:rsidRPr="007647EB" w:rsidRDefault="00B03672" w:rsidP="008123FC">
            <w:pPr>
              <w:pStyle w:val="Normal-pool-Table"/>
              <w:jc w:val="right"/>
              <w:rPr>
                <w:szCs w:val="18"/>
              </w:rPr>
            </w:pPr>
            <w:r w:rsidRPr="007647EB">
              <w:rPr>
                <w:color w:val="000000"/>
              </w:rPr>
              <w:t>0,0888</w:t>
            </w:r>
          </w:p>
        </w:tc>
        <w:tc>
          <w:tcPr>
            <w:tcW w:w="1276" w:type="dxa"/>
            <w:tcBorders>
              <w:top w:val="nil"/>
              <w:left w:val="nil"/>
              <w:bottom w:val="single" w:sz="4" w:space="0" w:color="auto"/>
              <w:right w:val="single" w:sz="4" w:space="0" w:color="auto"/>
            </w:tcBorders>
            <w:noWrap/>
            <w:hideMark/>
          </w:tcPr>
          <w:p w14:paraId="4750C160" w14:textId="77777777" w:rsidR="00B03672" w:rsidRPr="007647EB" w:rsidRDefault="00B03672" w:rsidP="008123FC">
            <w:pPr>
              <w:pStyle w:val="Normal-pool-Table"/>
              <w:jc w:val="right"/>
              <w:rPr>
                <w:szCs w:val="18"/>
              </w:rPr>
            </w:pPr>
            <w:r w:rsidRPr="007647EB">
              <w:rPr>
                <w:color w:val="000000"/>
              </w:rPr>
              <w:t>2 739</w:t>
            </w:r>
          </w:p>
        </w:tc>
        <w:tc>
          <w:tcPr>
            <w:tcW w:w="1276" w:type="dxa"/>
            <w:tcBorders>
              <w:top w:val="nil"/>
              <w:left w:val="nil"/>
              <w:bottom w:val="single" w:sz="4" w:space="0" w:color="auto"/>
              <w:right w:val="single" w:sz="4" w:space="0" w:color="auto"/>
            </w:tcBorders>
            <w:noWrap/>
            <w:hideMark/>
          </w:tcPr>
          <w:p w14:paraId="0017499C" w14:textId="77777777" w:rsidR="00B03672" w:rsidRPr="007647EB" w:rsidRDefault="00B03672" w:rsidP="008123FC">
            <w:pPr>
              <w:pStyle w:val="Normal-pool-Table"/>
              <w:jc w:val="right"/>
              <w:rPr>
                <w:szCs w:val="18"/>
              </w:rPr>
            </w:pPr>
            <w:r w:rsidRPr="007647EB">
              <w:rPr>
                <w:color w:val="000000"/>
              </w:rPr>
              <w:t>3 614</w:t>
            </w:r>
          </w:p>
        </w:tc>
        <w:tc>
          <w:tcPr>
            <w:tcW w:w="1291" w:type="dxa"/>
            <w:tcBorders>
              <w:top w:val="nil"/>
              <w:left w:val="nil"/>
              <w:bottom w:val="single" w:sz="4" w:space="0" w:color="auto"/>
              <w:right w:val="single" w:sz="4" w:space="0" w:color="auto"/>
            </w:tcBorders>
            <w:noWrap/>
            <w:hideMark/>
          </w:tcPr>
          <w:p w14:paraId="186F8EF6" w14:textId="77777777" w:rsidR="00B03672" w:rsidRPr="007647EB" w:rsidRDefault="00B03672" w:rsidP="008123FC">
            <w:pPr>
              <w:pStyle w:val="Normal-pool-Table"/>
              <w:jc w:val="right"/>
              <w:rPr>
                <w:szCs w:val="18"/>
              </w:rPr>
            </w:pPr>
            <w:r w:rsidRPr="007647EB">
              <w:rPr>
                <w:color w:val="000000"/>
              </w:rPr>
              <w:t>6 353</w:t>
            </w:r>
          </w:p>
        </w:tc>
      </w:tr>
      <w:tr w:rsidR="00B03672" w:rsidRPr="007647EB" w14:paraId="37B7561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576A63C" w14:textId="3740E57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3D42E32" w14:textId="77777777" w:rsidR="00B03672" w:rsidRPr="007647EB" w:rsidRDefault="00B03672" w:rsidP="008123FC">
            <w:pPr>
              <w:pStyle w:val="Normal-pool-Table"/>
              <w:rPr>
                <w:szCs w:val="18"/>
              </w:rPr>
            </w:pPr>
            <w:r w:rsidRPr="007647EB">
              <w:rPr>
                <w:color w:val="000000"/>
              </w:rPr>
              <w:t>Estonie</w:t>
            </w:r>
          </w:p>
        </w:tc>
        <w:tc>
          <w:tcPr>
            <w:tcW w:w="1395" w:type="dxa"/>
            <w:tcBorders>
              <w:top w:val="nil"/>
              <w:left w:val="nil"/>
              <w:bottom w:val="single" w:sz="4" w:space="0" w:color="auto"/>
              <w:right w:val="single" w:sz="4" w:space="0" w:color="auto"/>
            </w:tcBorders>
            <w:noWrap/>
            <w:hideMark/>
          </w:tcPr>
          <w:p w14:paraId="3DFD1918" w14:textId="77777777" w:rsidR="00B03672" w:rsidRPr="007647EB" w:rsidRDefault="00B03672" w:rsidP="008123FC">
            <w:pPr>
              <w:pStyle w:val="Normal-pool-Table"/>
              <w:jc w:val="right"/>
              <w:rPr>
                <w:szCs w:val="18"/>
              </w:rPr>
            </w:pPr>
            <w:r w:rsidRPr="007647EB">
              <w:rPr>
                <w:color w:val="000000"/>
              </w:rPr>
              <w:t>0,045</w:t>
            </w:r>
          </w:p>
        </w:tc>
        <w:tc>
          <w:tcPr>
            <w:tcW w:w="1134" w:type="dxa"/>
            <w:tcBorders>
              <w:top w:val="nil"/>
              <w:left w:val="nil"/>
              <w:bottom w:val="single" w:sz="4" w:space="0" w:color="auto"/>
              <w:right w:val="single" w:sz="4" w:space="0" w:color="auto"/>
            </w:tcBorders>
            <w:noWrap/>
            <w:hideMark/>
          </w:tcPr>
          <w:p w14:paraId="31B87AE5" w14:textId="77777777" w:rsidR="00B03672" w:rsidRPr="007647EB" w:rsidRDefault="00B03672" w:rsidP="008123FC">
            <w:pPr>
              <w:pStyle w:val="Normal-pool-Table"/>
              <w:jc w:val="right"/>
              <w:rPr>
                <w:szCs w:val="18"/>
              </w:rPr>
            </w:pPr>
            <w:r w:rsidRPr="007647EB">
              <w:rPr>
                <w:color w:val="000000"/>
              </w:rPr>
              <w:t>0,0454</w:t>
            </w:r>
          </w:p>
        </w:tc>
        <w:tc>
          <w:tcPr>
            <w:tcW w:w="1276" w:type="dxa"/>
            <w:tcBorders>
              <w:top w:val="nil"/>
              <w:left w:val="nil"/>
              <w:bottom w:val="single" w:sz="4" w:space="0" w:color="auto"/>
              <w:right w:val="single" w:sz="4" w:space="0" w:color="auto"/>
            </w:tcBorders>
            <w:noWrap/>
            <w:hideMark/>
          </w:tcPr>
          <w:p w14:paraId="0D4F807B" w14:textId="77777777" w:rsidR="00B03672" w:rsidRPr="007647EB" w:rsidRDefault="00B03672" w:rsidP="008123FC">
            <w:pPr>
              <w:pStyle w:val="Normal-pool-Table"/>
              <w:jc w:val="right"/>
              <w:rPr>
                <w:szCs w:val="18"/>
              </w:rPr>
            </w:pPr>
            <w:r w:rsidRPr="007647EB">
              <w:rPr>
                <w:color w:val="000000"/>
              </w:rPr>
              <w:t>1 400</w:t>
            </w:r>
          </w:p>
        </w:tc>
        <w:tc>
          <w:tcPr>
            <w:tcW w:w="1276" w:type="dxa"/>
            <w:tcBorders>
              <w:top w:val="nil"/>
              <w:left w:val="nil"/>
              <w:bottom w:val="single" w:sz="4" w:space="0" w:color="auto"/>
              <w:right w:val="single" w:sz="4" w:space="0" w:color="auto"/>
            </w:tcBorders>
            <w:noWrap/>
            <w:hideMark/>
          </w:tcPr>
          <w:p w14:paraId="3E00A7A1" w14:textId="77777777" w:rsidR="00B03672" w:rsidRPr="007647EB" w:rsidRDefault="00B03672" w:rsidP="008123FC">
            <w:pPr>
              <w:pStyle w:val="Normal-pool-Table"/>
              <w:jc w:val="right"/>
              <w:rPr>
                <w:szCs w:val="18"/>
              </w:rPr>
            </w:pPr>
            <w:r w:rsidRPr="007647EB">
              <w:rPr>
                <w:color w:val="000000"/>
              </w:rPr>
              <w:t>1 848</w:t>
            </w:r>
          </w:p>
        </w:tc>
        <w:tc>
          <w:tcPr>
            <w:tcW w:w="1291" w:type="dxa"/>
            <w:tcBorders>
              <w:top w:val="nil"/>
              <w:left w:val="nil"/>
              <w:bottom w:val="single" w:sz="4" w:space="0" w:color="auto"/>
              <w:right w:val="single" w:sz="4" w:space="0" w:color="auto"/>
            </w:tcBorders>
            <w:noWrap/>
            <w:hideMark/>
          </w:tcPr>
          <w:p w14:paraId="3A2BA720" w14:textId="77777777" w:rsidR="00B03672" w:rsidRPr="007647EB" w:rsidRDefault="00B03672" w:rsidP="008123FC">
            <w:pPr>
              <w:pStyle w:val="Normal-pool-Table"/>
              <w:jc w:val="right"/>
              <w:rPr>
                <w:szCs w:val="18"/>
              </w:rPr>
            </w:pPr>
            <w:r w:rsidRPr="007647EB">
              <w:rPr>
                <w:color w:val="000000"/>
              </w:rPr>
              <w:t>3 249</w:t>
            </w:r>
          </w:p>
        </w:tc>
      </w:tr>
      <w:tr w:rsidR="00B03672" w:rsidRPr="007647EB" w14:paraId="11E4636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F6E4D35" w14:textId="4FB0B16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5949B1C" w14:textId="77777777" w:rsidR="00B03672" w:rsidRPr="007647EB" w:rsidRDefault="00B03672" w:rsidP="008123FC">
            <w:pPr>
              <w:pStyle w:val="Normal-pool-Table"/>
              <w:rPr>
                <w:szCs w:val="18"/>
              </w:rPr>
            </w:pPr>
            <w:r w:rsidRPr="007647EB">
              <w:rPr>
                <w:color w:val="000000"/>
              </w:rPr>
              <w:t>Géorgie</w:t>
            </w:r>
          </w:p>
        </w:tc>
        <w:tc>
          <w:tcPr>
            <w:tcW w:w="1395" w:type="dxa"/>
            <w:tcBorders>
              <w:top w:val="nil"/>
              <w:left w:val="nil"/>
              <w:bottom w:val="single" w:sz="4" w:space="0" w:color="auto"/>
              <w:right w:val="single" w:sz="4" w:space="0" w:color="auto"/>
            </w:tcBorders>
            <w:noWrap/>
            <w:hideMark/>
          </w:tcPr>
          <w:p w14:paraId="010F4523" w14:textId="77777777" w:rsidR="00B03672" w:rsidRPr="007647EB" w:rsidRDefault="00B03672" w:rsidP="008123FC">
            <w:pPr>
              <w:pStyle w:val="Normal-pool-Table"/>
              <w:jc w:val="right"/>
              <w:rPr>
                <w:szCs w:val="18"/>
              </w:rPr>
            </w:pPr>
            <w:r w:rsidRPr="007647EB">
              <w:rPr>
                <w:color w:val="000000"/>
              </w:rPr>
              <w:t>0,009</w:t>
            </w:r>
          </w:p>
        </w:tc>
        <w:tc>
          <w:tcPr>
            <w:tcW w:w="1134" w:type="dxa"/>
            <w:tcBorders>
              <w:top w:val="nil"/>
              <w:left w:val="nil"/>
              <w:bottom w:val="single" w:sz="4" w:space="0" w:color="auto"/>
              <w:right w:val="single" w:sz="4" w:space="0" w:color="auto"/>
            </w:tcBorders>
            <w:noWrap/>
            <w:hideMark/>
          </w:tcPr>
          <w:p w14:paraId="41DBF98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F007128"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F01EAE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479DF59D" w14:textId="77777777" w:rsidR="00B03672" w:rsidRPr="007647EB" w:rsidRDefault="00B03672" w:rsidP="008123FC">
            <w:pPr>
              <w:pStyle w:val="Normal-pool-Table"/>
              <w:jc w:val="right"/>
              <w:rPr>
                <w:szCs w:val="18"/>
              </w:rPr>
            </w:pPr>
            <w:r w:rsidRPr="007647EB">
              <w:rPr>
                <w:color w:val="000000"/>
              </w:rPr>
              <w:t>715</w:t>
            </w:r>
          </w:p>
        </w:tc>
      </w:tr>
      <w:tr w:rsidR="00B03672" w:rsidRPr="007647EB" w14:paraId="7E7EA99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1C51D77" w14:textId="48933AE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2080B91" w14:textId="77777777" w:rsidR="00B03672" w:rsidRPr="007647EB" w:rsidRDefault="00B03672" w:rsidP="008123FC">
            <w:pPr>
              <w:pStyle w:val="Normal-pool-Table"/>
              <w:rPr>
                <w:szCs w:val="18"/>
              </w:rPr>
            </w:pPr>
            <w:r w:rsidRPr="007647EB">
              <w:rPr>
                <w:color w:val="000000"/>
              </w:rPr>
              <w:t>Hongrie</w:t>
            </w:r>
          </w:p>
        </w:tc>
        <w:tc>
          <w:tcPr>
            <w:tcW w:w="1395" w:type="dxa"/>
            <w:tcBorders>
              <w:top w:val="nil"/>
              <w:left w:val="nil"/>
              <w:bottom w:val="single" w:sz="4" w:space="0" w:color="auto"/>
              <w:right w:val="single" w:sz="4" w:space="0" w:color="auto"/>
            </w:tcBorders>
            <w:noWrap/>
            <w:hideMark/>
          </w:tcPr>
          <w:p w14:paraId="09B06909" w14:textId="77777777" w:rsidR="00B03672" w:rsidRPr="007647EB" w:rsidRDefault="00B03672" w:rsidP="008123FC">
            <w:pPr>
              <w:pStyle w:val="Normal-pool-Table"/>
              <w:jc w:val="right"/>
              <w:rPr>
                <w:szCs w:val="18"/>
              </w:rPr>
            </w:pPr>
            <w:r w:rsidRPr="007647EB">
              <w:rPr>
                <w:color w:val="000000"/>
              </w:rPr>
              <w:t>0,223</w:t>
            </w:r>
          </w:p>
        </w:tc>
        <w:tc>
          <w:tcPr>
            <w:tcW w:w="1134" w:type="dxa"/>
            <w:tcBorders>
              <w:top w:val="nil"/>
              <w:left w:val="nil"/>
              <w:bottom w:val="single" w:sz="4" w:space="0" w:color="auto"/>
              <w:right w:val="single" w:sz="4" w:space="0" w:color="auto"/>
            </w:tcBorders>
            <w:noWrap/>
            <w:hideMark/>
          </w:tcPr>
          <w:p w14:paraId="4FBA40F3" w14:textId="77777777" w:rsidR="00B03672" w:rsidRPr="007647EB" w:rsidRDefault="00B03672" w:rsidP="008123FC">
            <w:pPr>
              <w:pStyle w:val="Normal-pool-Table"/>
              <w:jc w:val="right"/>
              <w:rPr>
                <w:szCs w:val="18"/>
              </w:rPr>
            </w:pPr>
            <w:r w:rsidRPr="007647EB">
              <w:rPr>
                <w:color w:val="000000"/>
              </w:rPr>
              <w:t>0,2251</w:t>
            </w:r>
          </w:p>
        </w:tc>
        <w:tc>
          <w:tcPr>
            <w:tcW w:w="1276" w:type="dxa"/>
            <w:tcBorders>
              <w:top w:val="nil"/>
              <w:left w:val="nil"/>
              <w:bottom w:val="single" w:sz="4" w:space="0" w:color="auto"/>
              <w:right w:val="single" w:sz="4" w:space="0" w:color="auto"/>
            </w:tcBorders>
            <w:noWrap/>
            <w:hideMark/>
          </w:tcPr>
          <w:p w14:paraId="375A95D2" w14:textId="77777777" w:rsidR="00B03672" w:rsidRPr="007647EB" w:rsidRDefault="00B03672" w:rsidP="008123FC">
            <w:pPr>
              <w:pStyle w:val="Normal-pool-Table"/>
              <w:jc w:val="right"/>
              <w:rPr>
                <w:szCs w:val="18"/>
              </w:rPr>
            </w:pPr>
            <w:r w:rsidRPr="007647EB">
              <w:rPr>
                <w:color w:val="000000"/>
              </w:rPr>
              <w:t>6 940</w:t>
            </w:r>
          </w:p>
        </w:tc>
        <w:tc>
          <w:tcPr>
            <w:tcW w:w="1276" w:type="dxa"/>
            <w:tcBorders>
              <w:top w:val="nil"/>
              <w:left w:val="nil"/>
              <w:bottom w:val="single" w:sz="4" w:space="0" w:color="auto"/>
              <w:right w:val="single" w:sz="4" w:space="0" w:color="auto"/>
            </w:tcBorders>
            <w:noWrap/>
            <w:hideMark/>
          </w:tcPr>
          <w:p w14:paraId="29325E00" w14:textId="77777777" w:rsidR="00B03672" w:rsidRPr="007647EB" w:rsidRDefault="00B03672" w:rsidP="008123FC">
            <w:pPr>
              <w:pStyle w:val="Normal-pool-Table"/>
              <w:jc w:val="right"/>
              <w:rPr>
                <w:szCs w:val="18"/>
              </w:rPr>
            </w:pPr>
            <w:r w:rsidRPr="007647EB">
              <w:rPr>
                <w:color w:val="000000"/>
              </w:rPr>
              <w:t>9 159</w:t>
            </w:r>
          </w:p>
        </w:tc>
        <w:tc>
          <w:tcPr>
            <w:tcW w:w="1291" w:type="dxa"/>
            <w:tcBorders>
              <w:top w:val="nil"/>
              <w:left w:val="nil"/>
              <w:bottom w:val="single" w:sz="4" w:space="0" w:color="auto"/>
              <w:right w:val="single" w:sz="4" w:space="0" w:color="auto"/>
            </w:tcBorders>
            <w:noWrap/>
            <w:hideMark/>
          </w:tcPr>
          <w:p w14:paraId="0C4CEF22" w14:textId="77777777" w:rsidR="00B03672" w:rsidRPr="007647EB" w:rsidRDefault="00B03672" w:rsidP="008123FC">
            <w:pPr>
              <w:pStyle w:val="Normal-pool-Table"/>
              <w:jc w:val="right"/>
              <w:rPr>
                <w:szCs w:val="18"/>
              </w:rPr>
            </w:pPr>
            <w:r w:rsidRPr="007647EB">
              <w:rPr>
                <w:color w:val="000000"/>
              </w:rPr>
              <w:t>16 099</w:t>
            </w:r>
          </w:p>
        </w:tc>
      </w:tr>
      <w:tr w:rsidR="00B03672" w:rsidRPr="007647EB" w14:paraId="631A9B2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C3DEA10" w14:textId="5346778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E4955BB" w14:textId="77777777" w:rsidR="00B03672" w:rsidRPr="007647EB" w:rsidRDefault="00B03672" w:rsidP="008123FC">
            <w:pPr>
              <w:pStyle w:val="Normal-pool-Table"/>
              <w:rPr>
                <w:szCs w:val="18"/>
              </w:rPr>
            </w:pPr>
            <w:r w:rsidRPr="007647EB">
              <w:rPr>
                <w:color w:val="000000"/>
              </w:rPr>
              <w:t>Lettonie</w:t>
            </w:r>
          </w:p>
        </w:tc>
        <w:tc>
          <w:tcPr>
            <w:tcW w:w="1395" w:type="dxa"/>
            <w:tcBorders>
              <w:top w:val="nil"/>
              <w:left w:val="nil"/>
              <w:bottom w:val="single" w:sz="4" w:space="0" w:color="auto"/>
              <w:right w:val="single" w:sz="4" w:space="0" w:color="auto"/>
            </w:tcBorders>
            <w:noWrap/>
            <w:hideMark/>
          </w:tcPr>
          <w:p w14:paraId="6E6AD2AE" w14:textId="77777777" w:rsidR="00B03672" w:rsidRPr="007647EB" w:rsidRDefault="00B03672" w:rsidP="008123FC">
            <w:pPr>
              <w:pStyle w:val="Normal-pool-Table"/>
              <w:jc w:val="right"/>
              <w:rPr>
                <w:szCs w:val="18"/>
              </w:rPr>
            </w:pPr>
            <w:r w:rsidRPr="007647EB">
              <w:rPr>
                <w:color w:val="000000"/>
              </w:rPr>
              <w:t>0,05</w:t>
            </w:r>
          </w:p>
        </w:tc>
        <w:tc>
          <w:tcPr>
            <w:tcW w:w="1134" w:type="dxa"/>
            <w:tcBorders>
              <w:top w:val="nil"/>
              <w:left w:val="nil"/>
              <w:bottom w:val="single" w:sz="4" w:space="0" w:color="auto"/>
              <w:right w:val="single" w:sz="4" w:space="0" w:color="auto"/>
            </w:tcBorders>
            <w:noWrap/>
            <w:hideMark/>
          </w:tcPr>
          <w:p w14:paraId="13213EB2" w14:textId="77777777" w:rsidR="00B03672" w:rsidRPr="007647EB" w:rsidRDefault="00B03672" w:rsidP="008123FC">
            <w:pPr>
              <w:pStyle w:val="Normal-pool-Table"/>
              <w:jc w:val="right"/>
              <w:rPr>
                <w:szCs w:val="18"/>
              </w:rPr>
            </w:pPr>
            <w:r w:rsidRPr="007647EB">
              <w:rPr>
                <w:color w:val="000000"/>
              </w:rPr>
              <w:t>0,0505</w:t>
            </w:r>
          </w:p>
        </w:tc>
        <w:tc>
          <w:tcPr>
            <w:tcW w:w="1276" w:type="dxa"/>
            <w:tcBorders>
              <w:top w:val="nil"/>
              <w:left w:val="nil"/>
              <w:bottom w:val="single" w:sz="4" w:space="0" w:color="auto"/>
              <w:right w:val="single" w:sz="4" w:space="0" w:color="auto"/>
            </w:tcBorders>
            <w:noWrap/>
            <w:hideMark/>
          </w:tcPr>
          <w:p w14:paraId="7D6EF246" w14:textId="77777777" w:rsidR="00B03672" w:rsidRPr="007647EB" w:rsidRDefault="00B03672" w:rsidP="008123FC">
            <w:pPr>
              <w:pStyle w:val="Normal-pool-Table"/>
              <w:jc w:val="right"/>
              <w:rPr>
                <w:szCs w:val="18"/>
              </w:rPr>
            </w:pPr>
            <w:r w:rsidRPr="007647EB">
              <w:rPr>
                <w:color w:val="000000"/>
              </w:rPr>
              <w:t>1 556</w:t>
            </w:r>
          </w:p>
        </w:tc>
        <w:tc>
          <w:tcPr>
            <w:tcW w:w="1276" w:type="dxa"/>
            <w:tcBorders>
              <w:top w:val="nil"/>
              <w:left w:val="nil"/>
              <w:bottom w:val="single" w:sz="4" w:space="0" w:color="auto"/>
              <w:right w:val="single" w:sz="4" w:space="0" w:color="auto"/>
            </w:tcBorders>
            <w:noWrap/>
            <w:hideMark/>
          </w:tcPr>
          <w:p w14:paraId="24516FCD" w14:textId="77777777" w:rsidR="00B03672" w:rsidRPr="007647EB" w:rsidRDefault="00B03672" w:rsidP="008123FC">
            <w:pPr>
              <w:pStyle w:val="Normal-pool-Table"/>
              <w:jc w:val="right"/>
              <w:rPr>
                <w:szCs w:val="18"/>
              </w:rPr>
            </w:pPr>
            <w:r w:rsidRPr="007647EB">
              <w:rPr>
                <w:color w:val="000000"/>
              </w:rPr>
              <w:t>2 054</w:t>
            </w:r>
          </w:p>
        </w:tc>
        <w:tc>
          <w:tcPr>
            <w:tcW w:w="1291" w:type="dxa"/>
            <w:tcBorders>
              <w:top w:val="nil"/>
              <w:left w:val="nil"/>
              <w:bottom w:val="single" w:sz="4" w:space="0" w:color="auto"/>
              <w:right w:val="single" w:sz="4" w:space="0" w:color="auto"/>
            </w:tcBorders>
            <w:noWrap/>
            <w:hideMark/>
          </w:tcPr>
          <w:p w14:paraId="633AD56D" w14:textId="77777777" w:rsidR="00B03672" w:rsidRPr="007647EB" w:rsidRDefault="00B03672" w:rsidP="008123FC">
            <w:pPr>
              <w:pStyle w:val="Normal-pool-Table"/>
              <w:jc w:val="right"/>
              <w:rPr>
                <w:szCs w:val="18"/>
              </w:rPr>
            </w:pPr>
            <w:r w:rsidRPr="007647EB">
              <w:rPr>
                <w:color w:val="000000"/>
              </w:rPr>
              <w:t>3 610</w:t>
            </w:r>
          </w:p>
        </w:tc>
      </w:tr>
      <w:tr w:rsidR="00B03672" w:rsidRPr="007647EB" w14:paraId="0E72780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EBEF7DE" w14:textId="5164027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F37CB2D" w14:textId="77777777" w:rsidR="00B03672" w:rsidRPr="007647EB" w:rsidRDefault="00B03672" w:rsidP="008123FC">
            <w:pPr>
              <w:pStyle w:val="Normal-pool-Table"/>
              <w:rPr>
                <w:szCs w:val="18"/>
              </w:rPr>
            </w:pPr>
            <w:r w:rsidRPr="007647EB">
              <w:rPr>
                <w:color w:val="000000"/>
              </w:rPr>
              <w:t>Lituanie</w:t>
            </w:r>
          </w:p>
        </w:tc>
        <w:tc>
          <w:tcPr>
            <w:tcW w:w="1395" w:type="dxa"/>
            <w:tcBorders>
              <w:top w:val="nil"/>
              <w:left w:val="nil"/>
              <w:bottom w:val="single" w:sz="4" w:space="0" w:color="auto"/>
              <w:right w:val="single" w:sz="4" w:space="0" w:color="auto"/>
            </w:tcBorders>
            <w:noWrap/>
            <w:hideMark/>
          </w:tcPr>
          <w:p w14:paraId="2A7A5AC9" w14:textId="77777777" w:rsidR="00B03672" w:rsidRPr="007647EB" w:rsidRDefault="00B03672" w:rsidP="008123FC">
            <w:pPr>
              <w:pStyle w:val="Normal-pool-Table"/>
              <w:jc w:val="right"/>
              <w:rPr>
                <w:szCs w:val="18"/>
              </w:rPr>
            </w:pPr>
            <w:r w:rsidRPr="007647EB">
              <w:rPr>
                <w:color w:val="000000"/>
              </w:rPr>
              <w:t>0,081</w:t>
            </w:r>
          </w:p>
        </w:tc>
        <w:tc>
          <w:tcPr>
            <w:tcW w:w="1134" w:type="dxa"/>
            <w:tcBorders>
              <w:top w:val="nil"/>
              <w:left w:val="nil"/>
              <w:bottom w:val="single" w:sz="4" w:space="0" w:color="auto"/>
              <w:right w:val="single" w:sz="4" w:space="0" w:color="auto"/>
            </w:tcBorders>
            <w:noWrap/>
            <w:hideMark/>
          </w:tcPr>
          <w:p w14:paraId="32F997E7" w14:textId="77777777" w:rsidR="00B03672" w:rsidRPr="007647EB" w:rsidRDefault="00B03672" w:rsidP="008123FC">
            <w:pPr>
              <w:pStyle w:val="Normal-pool-Table"/>
              <w:jc w:val="right"/>
              <w:rPr>
                <w:szCs w:val="18"/>
              </w:rPr>
            </w:pPr>
            <w:r w:rsidRPr="007647EB">
              <w:rPr>
                <w:color w:val="000000"/>
              </w:rPr>
              <w:t>0,0818</w:t>
            </w:r>
          </w:p>
        </w:tc>
        <w:tc>
          <w:tcPr>
            <w:tcW w:w="1276" w:type="dxa"/>
            <w:tcBorders>
              <w:top w:val="nil"/>
              <w:left w:val="nil"/>
              <w:bottom w:val="single" w:sz="4" w:space="0" w:color="auto"/>
              <w:right w:val="single" w:sz="4" w:space="0" w:color="auto"/>
            </w:tcBorders>
            <w:noWrap/>
            <w:hideMark/>
          </w:tcPr>
          <w:p w14:paraId="2C454C51" w14:textId="77777777" w:rsidR="00B03672" w:rsidRPr="007647EB" w:rsidRDefault="00B03672" w:rsidP="008123FC">
            <w:pPr>
              <w:pStyle w:val="Normal-pool-Table"/>
              <w:jc w:val="right"/>
              <w:rPr>
                <w:szCs w:val="18"/>
              </w:rPr>
            </w:pPr>
            <w:r w:rsidRPr="007647EB">
              <w:rPr>
                <w:color w:val="000000"/>
              </w:rPr>
              <w:t>2 521</w:t>
            </w:r>
          </w:p>
        </w:tc>
        <w:tc>
          <w:tcPr>
            <w:tcW w:w="1276" w:type="dxa"/>
            <w:tcBorders>
              <w:top w:val="nil"/>
              <w:left w:val="nil"/>
              <w:bottom w:val="single" w:sz="4" w:space="0" w:color="auto"/>
              <w:right w:val="single" w:sz="4" w:space="0" w:color="auto"/>
            </w:tcBorders>
            <w:noWrap/>
            <w:hideMark/>
          </w:tcPr>
          <w:p w14:paraId="798D7944" w14:textId="77777777" w:rsidR="00B03672" w:rsidRPr="007647EB" w:rsidRDefault="00B03672" w:rsidP="008123FC">
            <w:pPr>
              <w:pStyle w:val="Normal-pool-Table"/>
              <w:jc w:val="right"/>
              <w:rPr>
                <w:szCs w:val="18"/>
              </w:rPr>
            </w:pPr>
            <w:r w:rsidRPr="007647EB">
              <w:rPr>
                <w:color w:val="000000"/>
              </w:rPr>
              <w:t>3 327</w:t>
            </w:r>
          </w:p>
        </w:tc>
        <w:tc>
          <w:tcPr>
            <w:tcW w:w="1291" w:type="dxa"/>
            <w:tcBorders>
              <w:top w:val="nil"/>
              <w:left w:val="nil"/>
              <w:bottom w:val="single" w:sz="4" w:space="0" w:color="auto"/>
              <w:right w:val="single" w:sz="4" w:space="0" w:color="auto"/>
            </w:tcBorders>
            <w:noWrap/>
            <w:hideMark/>
          </w:tcPr>
          <w:p w14:paraId="43722E99" w14:textId="77777777" w:rsidR="00B03672" w:rsidRPr="007647EB" w:rsidRDefault="00B03672" w:rsidP="008123FC">
            <w:pPr>
              <w:pStyle w:val="Normal-pool-Table"/>
              <w:jc w:val="right"/>
              <w:rPr>
                <w:szCs w:val="18"/>
              </w:rPr>
            </w:pPr>
            <w:r w:rsidRPr="007647EB">
              <w:rPr>
                <w:color w:val="000000"/>
              </w:rPr>
              <w:t>5 848</w:t>
            </w:r>
          </w:p>
        </w:tc>
      </w:tr>
      <w:tr w:rsidR="00B03672" w:rsidRPr="007647EB" w14:paraId="724A23E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8737337" w14:textId="04C0085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017FA8B" w14:textId="77777777" w:rsidR="00B03672" w:rsidRPr="007647EB" w:rsidRDefault="00B03672" w:rsidP="008123FC">
            <w:pPr>
              <w:pStyle w:val="Normal-pool-Table"/>
              <w:rPr>
                <w:szCs w:val="18"/>
              </w:rPr>
            </w:pPr>
            <w:r w:rsidRPr="007647EB">
              <w:rPr>
                <w:color w:val="000000"/>
              </w:rPr>
              <w:t>Macédoine du Nord</w:t>
            </w:r>
          </w:p>
        </w:tc>
        <w:tc>
          <w:tcPr>
            <w:tcW w:w="1395" w:type="dxa"/>
            <w:tcBorders>
              <w:top w:val="nil"/>
              <w:left w:val="nil"/>
              <w:bottom w:val="single" w:sz="4" w:space="0" w:color="auto"/>
              <w:right w:val="single" w:sz="4" w:space="0" w:color="auto"/>
            </w:tcBorders>
            <w:noWrap/>
            <w:hideMark/>
          </w:tcPr>
          <w:p w14:paraId="12F3801D" w14:textId="77777777" w:rsidR="00B03672" w:rsidRPr="007647EB" w:rsidRDefault="00B03672" w:rsidP="008123FC">
            <w:pPr>
              <w:pStyle w:val="Normal-pool-Table"/>
              <w:jc w:val="right"/>
              <w:rPr>
                <w:szCs w:val="18"/>
              </w:rPr>
            </w:pPr>
            <w:r w:rsidRPr="007647EB">
              <w:rPr>
                <w:color w:val="000000"/>
              </w:rPr>
              <w:t>0,008</w:t>
            </w:r>
          </w:p>
        </w:tc>
        <w:tc>
          <w:tcPr>
            <w:tcW w:w="1134" w:type="dxa"/>
            <w:tcBorders>
              <w:top w:val="nil"/>
              <w:left w:val="nil"/>
              <w:bottom w:val="single" w:sz="4" w:space="0" w:color="auto"/>
              <w:right w:val="single" w:sz="4" w:space="0" w:color="auto"/>
            </w:tcBorders>
            <w:noWrap/>
            <w:hideMark/>
          </w:tcPr>
          <w:p w14:paraId="2286954E"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201A90BA"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62EFCAC"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43A028CD" w14:textId="77777777" w:rsidR="00B03672" w:rsidRPr="007647EB" w:rsidRDefault="00B03672" w:rsidP="008123FC">
            <w:pPr>
              <w:pStyle w:val="Normal-pool-Table"/>
              <w:jc w:val="right"/>
              <w:rPr>
                <w:szCs w:val="18"/>
              </w:rPr>
            </w:pPr>
            <w:r w:rsidRPr="007647EB">
              <w:rPr>
                <w:color w:val="000000"/>
              </w:rPr>
              <w:t>715</w:t>
            </w:r>
          </w:p>
        </w:tc>
      </w:tr>
      <w:tr w:rsidR="00B03672" w:rsidRPr="007647EB" w14:paraId="4F45372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150302F" w14:textId="560DD64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C5537D8" w14:textId="77777777" w:rsidR="00B03672" w:rsidRPr="007647EB" w:rsidRDefault="00B03672" w:rsidP="008123FC">
            <w:pPr>
              <w:pStyle w:val="Normal-pool-Table"/>
              <w:rPr>
                <w:szCs w:val="18"/>
              </w:rPr>
            </w:pPr>
            <w:r w:rsidRPr="007647EB">
              <w:rPr>
                <w:color w:val="000000"/>
              </w:rPr>
              <w:t>Monténégro</w:t>
            </w:r>
          </w:p>
        </w:tc>
        <w:tc>
          <w:tcPr>
            <w:tcW w:w="1395" w:type="dxa"/>
            <w:tcBorders>
              <w:top w:val="nil"/>
              <w:left w:val="nil"/>
              <w:bottom w:val="single" w:sz="4" w:space="0" w:color="auto"/>
              <w:right w:val="single" w:sz="4" w:space="0" w:color="auto"/>
            </w:tcBorders>
            <w:noWrap/>
            <w:hideMark/>
          </w:tcPr>
          <w:p w14:paraId="0C4C18DD"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5E627D0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3632580"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DA25C92"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8C601F1" w14:textId="77777777" w:rsidR="00B03672" w:rsidRPr="007647EB" w:rsidRDefault="00B03672" w:rsidP="008123FC">
            <w:pPr>
              <w:pStyle w:val="Normal-pool-Table"/>
              <w:jc w:val="right"/>
              <w:rPr>
                <w:szCs w:val="18"/>
              </w:rPr>
            </w:pPr>
            <w:r w:rsidRPr="007647EB">
              <w:rPr>
                <w:color w:val="000000"/>
              </w:rPr>
              <w:t>715</w:t>
            </w:r>
          </w:p>
        </w:tc>
      </w:tr>
      <w:tr w:rsidR="00B03672" w:rsidRPr="007647EB" w14:paraId="1D17222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D624470" w14:textId="6BE1B98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DE85208" w14:textId="77777777" w:rsidR="00B03672" w:rsidRPr="007647EB" w:rsidRDefault="00B03672" w:rsidP="008123FC">
            <w:pPr>
              <w:pStyle w:val="Normal-pool-Table"/>
              <w:rPr>
                <w:szCs w:val="18"/>
              </w:rPr>
            </w:pPr>
            <w:r w:rsidRPr="007647EB">
              <w:rPr>
                <w:color w:val="000000"/>
              </w:rPr>
              <w:t>Pologne</w:t>
            </w:r>
          </w:p>
        </w:tc>
        <w:tc>
          <w:tcPr>
            <w:tcW w:w="1395" w:type="dxa"/>
            <w:tcBorders>
              <w:top w:val="nil"/>
              <w:left w:val="nil"/>
              <w:bottom w:val="single" w:sz="4" w:space="0" w:color="auto"/>
              <w:right w:val="single" w:sz="4" w:space="0" w:color="auto"/>
            </w:tcBorders>
            <w:noWrap/>
            <w:hideMark/>
          </w:tcPr>
          <w:p w14:paraId="449FD279" w14:textId="77777777" w:rsidR="00B03672" w:rsidRPr="007647EB" w:rsidRDefault="00B03672" w:rsidP="008123FC">
            <w:pPr>
              <w:pStyle w:val="Normal-pool-Table"/>
              <w:jc w:val="right"/>
              <w:rPr>
                <w:szCs w:val="18"/>
              </w:rPr>
            </w:pPr>
            <w:r w:rsidRPr="007647EB">
              <w:rPr>
                <w:color w:val="000000"/>
              </w:rPr>
              <w:t>0,831</w:t>
            </w:r>
          </w:p>
        </w:tc>
        <w:tc>
          <w:tcPr>
            <w:tcW w:w="1134" w:type="dxa"/>
            <w:tcBorders>
              <w:top w:val="nil"/>
              <w:left w:val="nil"/>
              <w:bottom w:val="single" w:sz="4" w:space="0" w:color="auto"/>
              <w:right w:val="single" w:sz="4" w:space="0" w:color="auto"/>
            </w:tcBorders>
            <w:noWrap/>
            <w:hideMark/>
          </w:tcPr>
          <w:p w14:paraId="425A566E" w14:textId="77777777" w:rsidR="00B03672" w:rsidRPr="007647EB" w:rsidRDefault="00B03672" w:rsidP="008123FC">
            <w:pPr>
              <w:pStyle w:val="Normal-pool-Table"/>
              <w:jc w:val="right"/>
              <w:rPr>
                <w:szCs w:val="18"/>
              </w:rPr>
            </w:pPr>
            <w:r w:rsidRPr="007647EB">
              <w:rPr>
                <w:color w:val="000000"/>
              </w:rPr>
              <w:t>0,8387</w:t>
            </w:r>
          </w:p>
        </w:tc>
        <w:tc>
          <w:tcPr>
            <w:tcW w:w="1276" w:type="dxa"/>
            <w:tcBorders>
              <w:top w:val="nil"/>
              <w:left w:val="nil"/>
              <w:bottom w:val="single" w:sz="4" w:space="0" w:color="auto"/>
              <w:right w:val="single" w:sz="4" w:space="0" w:color="auto"/>
            </w:tcBorders>
            <w:noWrap/>
            <w:hideMark/>
          </w:tcPr>
          <w:p w14:paraId="1EB29813" w14:textId="77777777" w:rsidR="00B03672" w:rsidRPr="007647EB" w:rsidRDefault="00B03672" w:rsidP="008123FC">
            <w:pPr>
              <w:pStyle w:val="Normal-pool-Table"/>
              <w:jc w:val="right"/>
              <w:rPr>
                <w:szCs w:val="18"/>
              </w:rPr>
            </w:pPr>
            <w:r w:rsidRPr="007647EB">
              <w:rPr>
                <w:color w:val="000000"/>
              </w:rPr>
              <w:t>25 861</w:t>
            </w:r>
          </w:p>
        </w:tc>
        <w:tc>
          <w:tcPr>
            <w:tcW w:w="1276" w:type="dxa"/>
            <w:tcBorders>
              <w:top w:val="nil"/>
              <w:left w:val="nil"/>
              <w:bottom w:val="single" w:sz="4" w:space="0" w:color="auto"/>
              <w:right w:val="single" w:sz="4" w:space="0" w:color="auto"/>
            </w:tcBorders>
            <w:noWrap/>
            <w:hideMark/>
          </w:tcPr>
          <w:p w14:paraId="4480C9C6" w14:textId="77777777" w:rsidR="00B03672" w:rsidRPr="007647EB" w:rsidRDefault="00B03672" w:rsidP="008123FC">
            <w:pPr>
              <w:pStyle w:val="Normal-pool-Table"/>
              <w:jc w:val="right"/>
              <w:rPr>
                <w:szCs w:val="18"/>
              </w:rPr>
            </w:pPr>
            <w:r w:rsidRPr="007647EB">
              <w:rPr>
                <w:color w:val="000000"/>
              </w:rPr>
              <w:t>34 130</w:t>
            </w:r>
          </w:p>
        </w:tc>
        <w:tc>
          <w:tcPr>
            <w:tcW w:w="1291" w:type="dxa"/>
            <w:tcBorders>
              <w:top w:val="nil"/>
              <w:left w:val="nil"/>
              <w:bottom w:val="single" w:sz="4" w:space="0" w:color="auto"/>
              <w:right w:val="single" w:sz="4" w:space="0" w:color="auto"/>
            </w:tcBorders>
            <w:noWrap/>
            <w:hideMark/>
          </w:tcPr>
          <w:p w14:paraId="1BC9859A" w14:textId="77777777" w:rsidR="00B03672" w:rsidRPr="007647EB" w:rsidRDefault="00B03672" w:rsidP="008123FC">
            <w:pPr>
              <w:pStyle w:val="Normal-pool-Table"/>
              <w:jc w:val="right"/>
              <w:rPr>
                <w:szCs w:val="18"/>
              </w:rPr>
            </w:pPr>
            <w:r w:rsidRPr="007647EB">
              <w:rPr>
                <w:color w:val="000000"/>
              </w:rPr>
              <w:t>59 992</w:t>
            </w:r>
          </w:p>
        </w:tc>
      </w:tr>
      <w:tr w:rsidR="00B03672" w:rsidRPr="007647EB" w14:paraId="26E4F21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B866819" w14:textId="4D98680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E543B76" w14:textId="77777777" w:rsidR="00B03672" w:rsidRPr="007647EB" w:rsidRDefault="00B03672" w:rsidP="008123FC">
            <w:pPr>
              <w:pStyle w:val="Normal-pool-Table"/>
              <w:rPr>
                <w:szCs w:val="18"/>
              </w:rPr>
            </w:pPr>
            <w:r w:rsidRPr="007647EB">
              <w:rPr>
                <w:color w:val="000000"/>
              </w:rPr>
              <w:t>République de Moldova</w:t>
            </w:r>
          </w:p>
        </w:tc>
        <w:tc>
          <w:tcPr>
            <w:tcW w:w="1395" w:type="dxa"/>
            <w:tcBorders>
              <w:top w:val="nil"/>
              <w:left w:val="nil"/>
              <w:bottom w:val="single" w:sz="4" w:space="0" w:color="auto"/>
              <w:right w:val="single" w:sz="4" w:space="0" w:color="auto"/>
            </w:tcBorders>
            <w:noWrap/>
            <w:hideMark/>
          </w:tcPr>
          <w:p w14:paraId="5079D012" w14:textId="77777777" w:rsidR="00B03672" w:rsidRPr="007647EB" w:rsidRDefault="00B03672" w:rsidP="008123FC">
            <w:pPr>
              <w:pStyle w:val="Normal-pool-Table"/>
              <w:jc w:val="right"/>
              <w:rPr>
                <w:szCs w:val="18"/>
              </w:rPr>
            </w:pPr>
            <w:r w:rsidRPr="007647EB">
              <w:rPr>
                <w:color w:val="000000"/>
              </w:rPr>
              <w:t>0,006</w:t>
            </w:r>
          </w:p>
        </w:tc>
        <w:tc>
          <w:tcPr>
            <w:tcW w:w="1134" w:type="dxa"/>
            <w:tcBorders>
              <w:top w:val="nil"/>
              <w:left w:val="nil"/>
              <w:bottom w:val="single" w:sz="4" w:space="0" w:color="auto"/>
              <w:right w:val="single" w:sz="4" w:space="0" w:color="auto"/>
            </w:tcBorders>
            <w:noWrap/>
            <w:hideMark/>
          </w:tcPr>
          <w:p w14:paraId="6C3010D6"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B02DAD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791BEE0"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D545244" w14:textId="77777777" w:rsidR="00B03672" w:rsidRPr="007647EB" w:rsidRDefault="00B03672" w:rsidP="008123FC">
            <w:pPr>
              <w:pStyle w:val="Normal-pool-Table"/>
              <w:jc w:val="right"/>
              <w:rPr>
                <w:szCs w:val="18"/>
              </w:rPr>
            </w:pPr>
            <w:r w:rsidRPr="007647EB">
              <w:rPr>
                <w:color w:val="000000"/>
              </w:rPr>
              <w:t>715</w:t>
            </w:r>
          </w:p>
        </w:tc>
      </w:tr>
      <w:tr w:rsidR="00B03672" w:rsidRPr="007647EB" w14:paraId="7AA6111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827374A" w14:textId="6ADBE70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380E5CD" w14:textId="77777777" w:rsidR="00B03672" w:rsidRPr="007647EB" w:rsidRDefault="00B03672" w:rsidP="008123FC">
            <w:pPr>
              <w:pStyle w:val="Normal-pool-Table"/>
              <w:rPr>
                <w:szCs w:val="18"/>
              </w:rPr>
            </w:pPr>
            <w:r w:rsidRPr="007647EB">
              <w:rPr>
                <w:color w:val="000000"/>
              </w:rPr>
              <w:t>Roumanie</w:t>
            </w:r>
          </w:p>
        </w:tc>
        <w:tc>
          <w:tcPr>
            <w:tcW w:w="1395" w:type="dxa"/>
            <w:tcBorders>
              <w:top w:val="nil"/>
              <w:left w:val="nil"/>
              <w:bottom w:val="single" w:sz="4" w:space="0" w:color="auto"/>
              <w:right w:val="single" w:sz="4" w:space="0" w:color="auto"/>
            </w:tcBorders>
            <w:noWrap/>
            <w:hideMark/>
          </w:tcPr>
          <w:p w14:paraId="12FCD419" w14:textId="77777777" w:rsidR="00B03672" w:rsidRPr="007647EB" w:rsidRDefault="00B03672" w:rsidP="008123FC">
            <w:pPr>
              <w:pStyle w:val="Normal-pool-Table"/>
              <w:jc w:val="right"/>
              <w:rPr>
                <w:szCs w:val="18"/>
              </w:rPr>
            </w:pPr>
            <w:r w:rsidRPr="007647EB">
              <w:rPr>
                <w:color w:val="000000"/>
              </w:rPr>
              <w:t>0,358</w:t>
            </w:r>
          </w:p>
        </w:tc>
        <w:tc>
          <w:tcPr>
            <w:tcW w:w="1134" w:type="dxa"/>
            <w:tcBorders>
              <w:top w:val="nil"/>
              <w:left w:val="nil"/>
              <w:bottom w:val="single" w:sz="4" w:space="0" w:color="auto"/>
              <w:right w:val="single" w:sz="4" w:space="0" w:color="auto"/>
            </w:tcBorders>
            <w:noWrap/>
            <w:hideMark/>
          </w:tcPr>
          <w:p w14:paraId="086188C5" w14:textId="77777777" w:rsidR="00B03672" w:rsidRPr="007647EB" w:rsidRDefault="00B03672" w:rsidP="008123FC">
            <w:pPr>
              <w:pStyle w:val="Normal-pool-Table"/>
              <w:jc w:val="right"/>
              <w:rPr>
                <w:szCs w:val="18"/>
              </w:rPr>
            </w:pPr>
            <w:r w:rsidRPr="007647EB">
              <w:rPr>
                <w:color w:val="000000"/>
              </w:rPr>
              <w:t>0,3613</w:t>
            </w:r>
          </w:p>
        </w:tc>
        <w:tc>
          <w:tcPr>
            <w:tcW w:w="1276" w:type="dxa"/>
            <w:tcBorders>
              <w:top w:val="nil"/>
              <w:left w:val="nil"/>
              <w:bottom w:val="single" w:sz="4" w:space="0" w:color="auto"/>
              <w:right w:val="single" w:sz="4" w:space="0" w:color="auto"/>
            </w:tcBorders>
            <w:noWrap/>
            <w:hideMark/>
          </w:tcPr>
          <w:p w14:paraId="20C89E32" w14:textId="77777777" w:rsidR="00B03672" w:rsidRPr="007647EB" w:rsidRDefault="00B03672" w:rsidP="008123FC">
            <w:pPr>
              <w:pStyle w:val="Normal-pool-Table"/>
              <w:jc w:val="right"/>
              <w:rPr>
                <w:szCs w:val="18"/>
              </w:rPr>
            </w:pPr>
            <w:r w:rsidRPr="007647EB">
              <w:rPr>
                <w:color w:val="000000"/>
              </w:rPr>
              <w:t>11 141</w:t>
            </w:r>
          </w:p>
        </w:tc>
        <w:tc>
          <w:tcPr>
            <w:tcW w:w="1276" w:type="dxa"/>
            <w:tcBorders>
              <w:top w:val="nil"/>
              <w:left w:val="nil"/>
              <w:bottom w:val="single" w:sz="4" w:space="0" w:color="auto"/>
              <w:right w:val="single" w:sz="4" w:space="0" w:color="auto"/>
            </w:tcBorders>
            <w:noWrap/>
            <w:hideMark/>
          </w:tcPr>
          <w:p w14:paraId="4B69B995" w14:textId="77777777" w:rsidR="00B03672" w:rsidRPr="007647EB" w:rsidRDefault="00B03672" w:rsidP="008123FC">
            <w:pPr>
              <w:pStyle w:val="Normal-pool-Table"/>
              <w:jc w:val="right"/>
              <w:rPr>
                <w:szCs w:val="18"/>
              </w:rPr>
            </w:pPr>
            <w:r w:rsidRPr="007647EB">
              <w:rPr>
                <w:color w:val="000000"/>
              </w:rPr>
              <w:t>14 704</w:t>
            </w:r>
          </w:p>
        </w:tc>
        <w:tc>
          <w:tcPr>
            <w:tcW w:w="1291" w:type="dxa"/>
            <w:tcBorders>
              <w:top w:val="nil"/>
              <w:left w:val="nil"/>
              <w:bottom w:val="single" w:sz="4" w:space="0" w:color="auto"/>
              <w:right w:val="single" w:sz="4" w:space="0" w:color="auto"/>
            </w:tcBorders>
            <w:noWrap/>
            <w:hideMark/>
          </w:tcPr>
          <w:p w14:paraId="320165AB" w14:textId="77777777" w:rsidR="00B03672" w:rsidRPr="007647EB" w:rsidRDefault="00B03672" w:rsidP="008123FC">
            <w:pPr>
              <w:pStyle w:val="Normal-pool-Table"/>
              <w:jc w:val="right"/>
              <w:rPr>
                <w:szCs w:val="18"/>
              </w:rPr>
            </w:pPr>
            <w:r w:rsidRPr="007647EB">
              <w:rPr>
                <w:color w:val="000000"/>
              </w:rPr>
              <w:t>25 845</w:t>
            </w:r>
          </w:p>
        </w:tc>
      </w:tr>
      <w:tr w:rsidR="00B03672" w:rsidRPr="007647EB" w14:paraId="2434690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FEB3DA8" w14:textId="113AD58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EA931D2" w14:textId="77777777" w:rsidR="00B03672" w:rsidRPr="007647EB" w:rsidRDefault="00B03672" w:rsidP="008123FC">
            <w:pPr>
              <w:pStyle w:val="Normal-pool-Table"/>
              <w:rPr>
                <w:szCs w:val="18"/>
              </w:rPr>
            </w:pPr>
            <w:r w:rsidRPr="007647EB">
              <w:rPr>
                <w:color w:val="000000"/>
              </w:rPr>
              <w:t>Serbie</w:t>
            </w:r>
          </w:p>
        </w:tc>
        <w:tc>
          <w:tcPr>
            <w:tcW w:w="1395" w:type="dxa"/>
            <w:tcBorders>
              <w:top w:val="nil"/>
              <w:left w:val="nil"/>
              <w:bottom w:val="single" w:sz="4" w:space="0" w:color="auto"/>
              <w:right w:val="single" w:sz="4" w:space="0" w:color="auto"/>
            </w:tcBorders>
            <w:noWrap/>
            <w:hideMark/>
          </w:tcPr>
          <w:p w14:paraId="0BE90C53" w14:textId="77777777" w:rsidR="00B03672" w:rsidRPr="007647EB" w:rsidRDefault="00B03672" w:rsidP="008123FC">
            <w:pPr>
              <w:pStyle w:val="Normal-pool-Table"/>
              <w:jc w:val="right"/>
              <w:rPr>
                <w:szCs w:val="18"/>
              </w:rPr>
            </w:pPr>
            <w:r w:rsidRPr="007647EB">
              <w:rPr>
                <w:color w:val="000000"/>
              </w:rPr>
              <w:t>0,04</w:t>
            </w:r>
          </w:p>
        </w:tc>
        <w:tc>
          <w:tcPr>
            <w:tcW w:w="1134" w:type="dxa"/>
            <w:tcBorders>
              <w:top w:val="nil"/>
              <w:left w:val="nil"/>
              <w:bottom w:val="single" w:sz="4" w:space="0" w:color="auto"/>
              <w:right w:val="single" w:sz="4" w:space="0" w:color="auto"/>
            </w:tcBorders>
            <w:noWrap/>
            <w:hideMark/>
          </w:tcPr>
          <w:p w14:paraId="068A8720" w14:textId="77777777" w:rsidR="00B03672" w:rsidRPr="007647EB" w:rsidRDefault="00B03672" w:rsidP="008123FC">
            <w:pPr>
              <w:pStyle w:val="Normal-pool-Table"/>
              <w:jc w:val="right"/>
              <w:rPr>
                <w:szCs w:val="18"/>
              </w:rPr>
            </w:pPr>
            <w:r w:rsidRPr="007647EB">
              <w:rPr>
                <w:color w:val="000000"/>
              </w:rPr>
              <w:t>0,0404</w:t>
            </w:r>
          </w:p>
        </w:tc>
        <w:tc>
          <w:tcPr>
            <w:tcW w:w="1276" w:type="dxa"/>
            <w:tcBorders>
              <w:top w:val="nil"/>
              <w:left w:val="nil"/>
              <w:bottom w:val="single" w:sz="4" w:space="0" w:color="auto"/>
              <w:right w:val="single" w:sz="4" w:space="0" w:color="auto"/>
            </w:tcBorders>
            <w:noWrap/>
            <w:hideMark/>
          </w:tcPr>
          <w:p w14:paraId="0B6E883B" w14:textId="77777777" w:rsidR="00B03672" w:rsidRPr="007647EB" w:rsidRDefault="00B03672" w:rsidP="008123FC">
            <w:pPr>
              <w:pStyle w:val="Normal-pool-Table"/>
              <w:jc w:val="right"/>
              <w:rPr>
                <w:szCs w:val="18"/>
              </w:rPr>
            </w:pPr>
            <w:r w:rsidRPr="007647EB">
              <w:rPr>
                <w:color w:val="000000"/>
              </w:rPr>
              <w:t>1 245</w:t>
            </w:r>
          </w:p>
        </w:tc>
        <w:tc>
          <w:tcPr>
            <w:tcW w:w="1276" w:type="dxa"/>
            <w:tcBorders>
              <w:top w:val="nil"/>
              <w:left w:val="nil"/>
              <w:bottom w:val="single" w:sz="4" w:space="0" w:color="auto"/>
              <w:right w:val="single" w:sz="4" w:space="0" w:color="auto"/>
            </w:tcBorders>
            <w:noWrap/>
            <w:hideMark/>
          </w:tcPr>
          <w:p w14:paraId="2A6CFC5A" w14:textId="77777777" w:rsidR="00B03672" w:rsidRPr="007647EB" w:rsidRDefault="00B03672" w:rsidP="008123FC">
            <w:pPr>
              <w:pStyle w:val="Normal-pool-Table"/>
              <w:jc w:val="right"/>
              <w:rPr>
                <w:szCs w:val="18"/>
              </w:rPr>
            </w:pPr>
            <w:r w:rsidRPr="007647EB">
              <w:rPr>
                <w:color w:val="000000"/>
              </w:rPr>
              <w:t>1 643</w:t>
            </w:r>
          </w:p>
        </w:tc>
        <w:tc>
          <w:tcPr>
            <w:tcW w:w="1291" w:type="dxa"/>
            <w:tcBorders>
              <w:top w:val="nil"/>
              <w:left w:val="nil"/>
              <w:bottom w:val="single" w:sz="4" w:space="0" w:color="auto"/>
              <w:right w:val="single" w:sz="4" w:space="0" w:color="auto"/>
            </w:tcBorders>
            <w:noWrap/>
            <w:hideMark/>
          </w:tcPr>
          <w:p w14:paraId="3219D606" w14:textId="77777777" w:rsidR="00B03672" w:rsidRPr="007647EB" w:rsidRDefault="00B03672" w:rsidP="008123FC">
            <w:pPr>
              <w:pStyle w:val="Normal-pool-Table"/>
              <w:jc w:val="right"/>
              <w:rPr>
                <w:szCs w:val="18"/>
              </w:rPr>
            </w:pPr>
            <w:r w:rsidRPr="007647EB">
              <w:rPr>
                <w:color w:val="000000"/>
              </w:rPr>
              <w:t>2 888</w:t>
            </w:r>
          </w:p>
        </w:tc>
      </w:tr>
      <w:tr w:rsidR="00B03672" w:rsidRPr="007647EB" w14:paraId="4283E62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9AE7BB4" w14:textId="191D875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5CC5E6B" w14:textId="77777777" w:rsidR="00B03672" w:rsidRPr="007647EB" w:rsidRDefault="00B03672" w:rsidP="008123FC">
            <w:pPr>
              <w:pStyle w:val="Normal-pool-Table"/>
              <w:rPr>
                <w:szCs w:val="18"/>
              </w:rPr>
            </w:pPr>
            <w:r w:rsidRPr="007647EB">
              <w:rPr>
                <w:color w:val="000000"/>
              </w:rPr>
              <w:t>Slovaquie</w:t>
            </w:r>
          </w:p>
        </w:tc>
        <w:tc>
          <w:tcPr>
            <w:tcW w:w="1395" w:type="dxa"/>
            <w:tcBorders>
              <w:top w:val="nil"/>
              <w:left w:val="nil"/>
              <w:bottom w:val="single" w:sz="4" w:space="0" w:color="auto"/>
              <w:right w:val="single" w:sz="4" w:space="0" w:color="auto"/>
            </w:tcBorders>
            <w:noWrap/>
            <w:hideMark/>
          </w:tcPr>
          <w:p w14:paraId="0C4EE0ED" w14:textId="77777777" w:rsidR="00B03672" w:rsidRPr="007647EB" w:rsidRDefault="00B03672" w:rsidP="008123FC">
            <w:pPr>
              <w:pStyle w:val="Normal-pool-Table"/>
              <w:jc w:val="right"/>
              <w:rPr>
                <w:szCs w:val="18"/>
              </w:rPr>
            </w:pPr>
            <w:r w:rsidRPr="007647EB">
              <w:rPr>
                <w:color w:val="000000"/>
              </w:rPr>
              <w:t>0,149</w:t>
            </w:r>
          </w:p>
        </w:tc>
        <w:tc>
          <w:tcPr>
            <w:tcW w:w="1134" w:type="dxa"/>
            <w:tcBorders>
              <w:top w:val="nil"/>
              <w:left w:val="nil"/>
              <w:bottom w:val="single" w:sz="4" w:space="0" w:color="auto"/>
              <w:right w:val="single" w:sz="4" w:space="0" w:color="auto"/>
            </w:tcBorders>
            <w:noWrap/>
            <w:hideMark/>
          </w:tcPr>
          <w:p w14:paraId="4917A476" w14:textId="77777777" w:rsidR="00B03672" w:rsidRPr="007647EB" w:rsidRDefault="00B03672" w:rsidP="008123FC">
            <w:pPr>
              <w:pStyle w:val="Normal-pool-Table"/>
              <w:jc w:val="right"/>
              <w:rPr>
                <w:szCs w:val="18"/>
              </w:rPr>
            </w:pPr>
            <w:r w:rsidRPr="007647EB">
              <w:rPr>
                <w:color w:val="000000"/>
              </w:rPr>
              <w:t>0,1504</w:t>
            </w:r>
          </w:p>
        </w:tc>
        <w:tc>
          <w:tcPr>
            <w:tcW w:w="1276" w:type="dxa"/>
            <w:tcBorders>
              <w:top w:val="nil"/>
              <w:left w:val="nil"/>
              <w:bottom w:val="single" w:sz="4" w:space="0" w:color="auto"/>
              <w:right w:val="single" w:sz="4" w:space="0" w:color="auto"/>
            </w:tcBorders>
            <w:noWrap/>
            <w:hideMark/>
          </w:tcPr>
          <w:p w14:paraId="2B0D1DD5" w14:textId="77777777" w:rsidR="00B03672" w:rsidRPr="007647EB" w:rsidRDefault="00B03672" w:rsidP="008123FC">
            <w:pPr>
              <w:pStyle w:val="Normal-pool-Table"/>
              <w:jc w:val="right"/>
              <w:rPr>
                <w:szCs w:val="18"/>
              </w:rPr>
            </w:pPr>
            <w:r w:rsidRPr="007647EB">
              <w:rPr>
                <w:color w:val="000000"/>
              </w:rPr>
              <w:t>4 637</w:t>
            </w:r>
          </w:p>
        </w:tc>
        <w:tc>
          <w:tcPr>
            <w:tcW w:w="1276" w:type="dxa"/>
            <w:tcBorders>
              <w:top w:val="nil"/>
              <w:left w:val="nil"/>
              <w:bottom w:val="single" w:sz="4" w:space="0" w:color="auto"/>
              <w:right w:val="single" w:sz="4" w:space="0" w:color="auto"/>
            </w:tcBorders>
            <w:noWrap/>
            <w:hideMark/>
          </w:tcPr>
          <w:p w14:paraId="313E3B7D" w14:textId="77777777" w:rsidR="00B03672" w:rsidRPr="007647EB" w:rsidRDefault="00B03672" w:rsidP="008123FC">
            <w:pPr>
              <w:pStyle w:val="Normal-pool-Table"/>
              <w:jc w:val="right"/>
              <w:rPr>
                <w:szCs w:val="18"/>
              </w:rPr>
            </w:pPr>
            <w:r w:rsidRPr="007647EB">
              <w:rPr>
                <w:color w:val="000000"/>
              </w:rPr>
              <w:t>6 120</w:t>
            </w:r>
          </w:p>
        </w:tc>
        <w:tc>
          <w:tcPr>
            <w:tcW w:w="1291" w:type="dxa"/>
            <w:tcBorders>
              <w:top w:val="nil"/>
              <w:left w:val="nil"/>
              <w:bottom w:val="single" w:sz="4" w:space="0" w:color="auto"/>
              <w:right w:val="single" w:sz="4" w:space="0" w:color="auto"/>
            </w:tcBorders>
            <w:noWrap/>
            <w:hideMark/>
          </w:tcPr>
          <w:p w14:paraId="3B7CEC59" w14:textId="77777777" w:rsidR="00B03672" w:rsidRPr="007647EB" w:rsidRDefault="00B03672" w:rsidP="008123FC">
            <w:pPr>
              <w:pStyle w:val="Normal-pool-Table"/>
              <w:jc w:val="right"/>
              <w:rPr>
                <w:szCs w:val="18"/>
              </w:rPr>
            </w:pPr>
            <w:r w:rsidRPr="007647EB">
              <w:rPr>
                <w:color w:val="000000"/>
              </w:rPr>
              <w:t>10 757</w:t>
            </w:r>
          </w:p>
        </w:tc>
      </w:tr>
      <w:tr w:rsidR="00B03672" w:rsidRPr="007647EB" w14:paraId="648B9C4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9223000" w14:textId="1CDCCC8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F98602C" w14:textId="77777777" w:rsidR="00B03672" w:rsidRPr="007647EB" w:rsidRDefault="00B03672" w:rsidP="008123FC">
            <w:pPr>
              <w:pStyle w:val="Normal-pool-Table"/>
              <w:rPr>
                <w:szCs w:val="18"/>
              </w:rPr>
            </w:pPr>
            <w:r w:rsidRPr="007647EB">
              <w:rPr>
                <w:color w:val="000000"/>
              </w:rPr>
              <w:t>Slovénie</w:t>
            </w:r>
          </w:p>
        </w:tc>
        <w:tc>
          <w:tcPr>
            <w:tcW w:w="1395" w:type="dxa"/>
            <w:tcBorders>
              <w:top w:val="nil"/>
              <w:left w:val="nil"/>
              <w:bottom w:val="single" w:sz="4" w:space="0" w:color="auto"/>
              <w:right w:val="single" w:sz="4" w:space="0" w:color="auto"/>
            </w:tcBorders>
            <w:noWrap/>
            <w:hideMark/>
          </w:tcPr>
          <w:p w14:paraId="63AE283D" w14:textId="77777777" w:rsidR="00B03672" w:rsidRPr="007647EB" w:rsidRDefault="00B03672" w:rsidP="008123FC">
            <w:pPr>
              <w:pStyle w:val="Normal-pool-Table"/>
              <w:jc w:val="right"/>
              <w:rPr>
                <w:szCs w:val="18"/>
              </w:rPr>
            </w:pPr>
            <w:r w:rsidRPr="007647EB">
              <w:rPr>
                <w:color w:val="000000"/>
              </w:rPr>
              <w:t>0,077</w:t>
            </w:r>
          </w:p>
        </w:tc>
        <w:tc>
          <w:tcPr>
            <w:tcW w:w="1134" w:type="dxa"/>
            <w:tcBorders>
              <w:top w:val="nil"/>
              <w:left w:val="nil"/>
              <w:bottom w:val="single" w:sz="4" w:space="0" w:color="auto"/>
              <w:right w:val="single" w:sz="4" w:space="0" w:color="auto"/>
            </w:tcBorders>
            <w:noWrap/>
            <w:hideMark/>
          </w:tcPr>
          <w:p w14:paraId="2B4A851A" w14:textId="77777777" w:rsidR="00B03672" w:rsidRPr="007647EB" w:rsidRDefault="00B03672" w:rsidP="008123FC">
            <w:pPr>
              <w:pStyle w:val="Normal-pool-Table"/>
              <w:jc w:val="right"/>
              <w:rPr>
                <w:szCs w:val="18"/>
              </w:rPr>
            </w:pPr>
            <w:r w:rsidRPr="007647EB">
              <w:rPr>
                <w:color w:val="000000"/>
              </w:rPr>
              <w:t>0,0777</w:t>
            </w:r>
          </w:p>
        </w:tc>
        <w:tc>
          <w:tcPr>
            <w:tcW w:w="1276" w:type="dxa"/>
            <w:tcBorders>
              <w:top w:val="nil"/>
              <w:left w:val="nil"/>
              <w:bottom w:val="single" w:sz="4" w:space="0" w:color="auto"/>
              <w:right w:val="single" w:sz="4" w:space="0" w:color="auto"/>
            </w:tcBorders>
            <w:noWrap/>
            <w:hideMark/>
          </w:tcPr>
          <w:p w14:paraId="64E10139" w14:textId="77777777" w:rsidR="00B03672" w:rsidRPr="007647EB" w:rsidRDefault="00B03672" w:rsidP="008123FC">
            <w:pPr>
              <w:pStyle w:val="Normal-pool-Table"/>
              <w:jc w:val="right"/>
              <w:rPr>
                <w:szCs w:val="18"/>
              </w:rPr>
            </w:pPr>
            <w:r w:rsidRPr="007647EB">
              <w:rPr>
                <w:color w:val="000000"/>
              </w:rPr>
              <w:t>2 396</w:t>
            </w:r>
          </w:p>
        </w:tc>
        <w:tc>
          <w:tcPr>
            <w:tcW w:w="1276" w:type="dxa"/>
            <w:tcBorders>
              <w:top w:val="nil"/>
              <w:left w:val="nil"/>
              <w:bottom w:val="single" w:sz="4" w:space="0" w:color="auto"/>
              <w:right w:val="single" w:sz="4" w:space="0" w:color="auto"/>
            </w:tcBorders>
            <w:noWrap/>
            <w:hideMark/>
          </w:tcPr>
          <w:p w14:paraId="26F8CC30" w14:textId="77777777" w:rsidR="00B03672" w:rsidRPr="007647EB" w:rsidRDefault="00B03672" w:rsidP="008123FC">
            <w:pPr>
              <w:pStyle w:val="Normal-pool-Table"/>
              <w:jc w:val="right"/>
              <w:rPr>
                <w:szCs w:val="18"/>
              </w:rPr>
            </w:pPr>
            <w:r w:rsidRPr="007647EB">
              <w:rPr>
                <w:color w:val="000000"/>
              </w:rPr>
              <w:t>3 163</w:t>
            </w:r>
          </w:p>
        </w:tc>
        <w:tc>
          <w:tcPr>
            <w:tcW w:w="1291" w:type="dxa"/>
            <w:tcBorders>
              <w:top w:val="nil"/>
              <w:left w:val="nil"/>
              <w:bottom w:val="single" w:sz="4" w:space="0" w:color="auto"/>
              <w:right w:val="single" w:sz="4" w:space="0" w:color="auto"/>
            </w:tcBorders>
            <w:noWrap/>
            <w:hideMark/>
          </w:tcPr>
          <w:p w14:paraId="31BE172B" w14:textId="77777777" w:rsidR="00B03672" w:rsidRPr="007647EB" w:rsidRDefault="00B03672" w:rsidP="008123FC">
            <w:pPr>
              <w:pStyle w:val="Normal-pool-Table"/>
              <w:jc w:val="right"/>
              <w:rPr>
                <w:szCs w:val="18"/>
              </w:rPr>
            </w:pPr>
            <w:r w:rsidRPr="007647EB">
              <w:rPr>
                <w:color w:val="000000"/>
              </w:rPr>
              <w:t>5 559</w:t>
            </w:r>
          </w:p>
        </w:tc>
      </w:tr>
      <w:tr w:rsidR="00B03672" w:rsidRPr="007647EB" w14:paraId="128AC3E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AF6E020" w14:textId="5D9FF17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C011C64" w14:textId="77777777" w:rsidR="00B03672" w:rsidRPr="007647EB" w:rsidRDefault="00B03672" w:rsidP="008123FC">
            <w:pPr>
              <w:pStyle w:val="Normal-pool-Table"/>
              <w:rPr>
                <w:szCs w:val="18"/>
              </w:rPr>
            </w:pPr>
            <w:r w:rsidRPr="007647EB">
              <w:rPr>
                <w:color w:val="000000"/>
              </w:rPr>
              <w:t>Tchéquie</w:t>
            </w:r>
          </w:p>
        </w:tc>
        <w:tc>
          <w:tcPr>
            <w:tcW w:w="1395" w:type="dxa"/>
            <w:tcBorders>
              <w:top w:val="nil"/>
              <w:left w:val="nil"/>
              <w:bottom w:val="single" w:sz="4" w:space="0" w:color="auto"/>
              <w:right w:val="single" w:sz="4" w:space="0" w:color="auto"/>
            </w:tcBorders>
            <w:noWrap/>
            <w:hideMark/>
          </w:tcPr>
          <w:p w14:paraId="61AB1054" w14:textId="77777777" w:rsidR="00B03672" w:rsidRPr="007647EB" w:rsidRDefault="00B03672" w:rsidP="008123FC">
            <w:pPr>
              <w:pStyle w:val="Normal-pool-Table"/>
              <w:jc w:val="right"/>
              <w:rPr>
                <w:szCs w:val="18"/>
              </w:rPr>
            </w:pPr>
            <w:r w:rsidRPr="007647EB">
              <w:rPr>
                <w:color w:val="000000"/>
              </w:rPr>
              <w:t>0,344</w:t>
            </w:r>
          </w:p>
        </w:tc>
        <w:tc>
          <w:tcPr>
            <w:tcW w:w="1134" w:type="dxa"/>
            <w:tcBorders>
              <w:top w:val="nil"/>
              <w:left w:val="nil"/>
              <w:bottom w:val="single" w:sz="4" w:space="0" w:color="auto"/>
              <w:right w:val="single" w:sz="4" w:space="0" w:color="auto"/>
            </w:tcBorders>
            <w:noWrap/>
            <w:hideMark/>
          </w:tcPr>
          <w:p w14:paraId="7A9E44D9" w14:textId="77777777" w:rsidR="00B03672" w:rsidRPr="007647EB" w:rsidRDefault="00B03672" w:rsidP="008123FC">
            <w:pPr>
              <w:pStyle w:val="Normal-pool-Table"/>
              <w:jc w:val="right"/>
              <w:rPr>
                <w:szCs w:val="18"/>
              </w:rPr>
            </w:pPr>
            <w:r w:rsidRPr="007647EB">
              <w:rPr>
                <w:color w:val="000000"/>
              </w:rPr>
              <w:t>0,3472</w:t>
            </w:r>
          </w:p>
        </w:tc>
        <w:tc>
          <w:tcPr>
            <w:tcW w:w="1276" w:type="dxa"/>
            <w:tcBorders>
              <w:top w:val="nil"/>
              <w:left w:val="nil"/>
              <w:bottom w:val="single" w:sz="4" w:space="0" w:color="auto"/>
              <w:right w:val="single" w:sz="4" w:space="0" w:color="auto"/>
            </w:tcBorders>
            <w:noWrap/>
            <w:hideMark/>
          </w:tcPr>
          <w:p w14:paraId="24C42CF9" w14:textId="77777777" w:rsidR="00B03672" w:rsidRPr="007647EB" w:rsidRDefault="00B03672" w:rsidP="008123FC">
            <w:pPr>
              <w:pStyle w:val="Normal-pool-Table"/>
              <w:jc w:val="right"/>
              <w:rPr>
                <w:szCs w:val="18"/>
              </w:rPr>
            </w:pPr>
            <w:r w:rsidRPr="007647EB">
              <w:rPr>
                <w:color w:val="000000"/>
              </w:rPr>
              <w:t>10 705</w:t>
            </w:r>
          </w:p>
        </w:tc>
        <w:tc>
          <w:tcPr>
            <w:tcW w:w="1276" w:type="dxa"/>
            <w:tcBorders>
              <w:top w:val="nil"/>
              <w:left w:val="nil"/>
              <w:bottom w:val="single" w:sz="4" w:space="0" w:color="auto"/>
              <w:right w:val="single" w:sz="4" w:space="0" w:color="auto"/>
            </w:tcBorders>
            <w:noWrap/>
            <w:hideMark/>
          </w:tcPr>
          <w:p w14:paraId="14FE14EA" w14:textId="77777777" w:rsidR="00B03672" w:rsidRPr="007647EB" w:rsidRDefault="00B03672" w:rsidP="008123FC">
            <w:pPr>
              <w:pStyle w:val="Normal-pool-Table"/>
              <w:jc w:val="right"/>
              <w:rPr>
                <w:szCs w:val="18"/>
              </w:rPr>
            </w:pPr>
            <w:r w:rsidRPr="007647EB">
              <w:rPr>
                <w:color w:val="000000"/>
              </w:rPr>
              <w:t>14 129</w:t>
            </w:r>
          </w:p>
        </w:tc>
        <w:tc>
          <w:tcPr>
            <w:tcW w:w="1291" w:type="dxa"/>
            <w:tcBorders>
              <w:top w:val="nil"/>
              <w:left w:val="nil"/>
              <w:bottom w:val="single" w:sz="4" w:space="0" w:color="auto"/>
              <w:right w:val="single" w:sz="4" w:space="0" w:color="auto"/>
            </w:tcBorders>
            <w:noWrap/>
            <w:hideMark/>
          </w:tcPr>
          <w:p w14:paraId="72752148" w14:textId="77777777" w:rsidR="00B03672" w:rsidRPr="007647EB" w:rsidRDefault="00B03672" w:rsidP="008123FC">
            <w:pPr>
              <w:pStyle w:val="Normal-pool-Table"/>
              <w:jc w:val="right"/>
              <w:rPr>
                <w:szCs w:val="18"/>
              </w:rPr>
            </w:pPr>
            <w:r w:rsidRPr="007647EB">
              <w:rPr>
                <w:color w:val="000000"/>
              </w:rPr>
              <w:t>24 834</w:t>
            </w:r>
          </w:p>
        </w:tc>
      </w:tr>
      <w:tr w:rsidR="00B03672" w:rsidRPr="007647EB" w14:paraId="0CE2278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08AAC1D" w14:textId="5BFE936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2F9D903" w14:textId="77777777" w:rsidR="00B03672" w:rsidRPr="007647EB" w:rsidRDefault="00B03672" w:rsidP="008123FC">
            <w:pPr>
              <w:pStyle w:val="Normal-pool-Table"/>
              <w:rPr>
                <w:szCs w:val="18"/>
              </w:rPr>
            </w:pPr>
            <w:r w:rsidRPr="007647EB">
              <w:rPr>
                <w:color w:val="000000"/>
              </w:rPr>
              <w:t>Ukraine</w:t>
            </w:r>
          </w:p>
        </w:tc>
        <w:tc>
          <w:tcPr>
            <w:tcW w:w="1395" w:type="dxa"/>
            <w:tcBorders>
              <w:top w:val="nil"/>
              <w:left w:val="nil"/>
              <w:bottom w:val="single" w:sz="4" w:space="0" w:color="auto"/>
              <w:right w:val="single" w:sz="4" w:space="0" w:color="auto"/>
            </w:tcBorders>
            <w:noWrap/>
            <w:hideMark/>
          </w:tcPr>
          <w:p w14:paraId="160700F7" w14:textId="77777777" w:rsidR="00B03672" w:rsidRPr="007647EB" w:rsidRDefault="00B03672" w:rsidP="008123FC">
            <w:pPr>
              <w:pStyle w:val="Normal-pool-Table"/>
              <w:jc w:val="right"/>
              <w:rPr>
                <w:szCs w:val="18"/>
              </w:rPr>
            </w:pPr>
            <w:r w:rsidRPr="007647EB">
              <w:rPr>
                <w:color w:val="000000"/>
              </w:rPr>
              <w:t>0,074</w:t>
            </w:r>
          </w:p>
        </w:tc>
        <w:tc>
          <w:tcPr>
            <w:tcW w:w="1134" w:type="dxa"/>
            <w:tcBorders>
              <w:top w:val="nil"/>
              <w:left w:val="nil"/>
              <w:bottom w:val="single" w:sz="4" w:space="0" w:color="auto"/>
              <w:right w:val="single" w:sz="4" w:space="0" w:color="auto"/>
            </w:tcBorders>
            <w:noWrap/>
            <w:hideMark/>
          </w:tcPr>
          <w:p w14:paraId="25BCB20A" w14:textId="77777777" w:rsidR="00B03672" w:rsidRPr="007647EB" w:rsidRDefault="00B03672" w:rsidP="008123FC">
            <w:pPr>
              <w:pStyle w:val="Normal-pool-Table"/>
              <w:jc w:val="right"/>
              <w:rPr>
                <w:szCs w:val="18"/>
              </w:rPr>
            </w:pPr>
            <w:r w:rsidRPr="007647EB">
              <w:rPr>
                <w:color w:val="000000"/>
              </w:rPr>
              <w:t>0,0747</w:t>
            </w:r>
          </w:p>
        </w:tc>
        <w:tc>
          <w:tcPr>
            <w:tcW w:w="1276" w:type="dxa"/>
            <w:tcBorders>
              <w:top w:val="nil"/>
              <w:left w:val="nil"/>
              <w:bottom w:val="single" w:sz="4" w:space="0" w:color="auto"/>
              <w:right w:val="single" w:sz="4" w:space="0" w:color="auto"/>
            </w:tcBorders>
            <w:noWrap/>
            <w:hideMark/>
          </w:tcPr>
          <w:p w14:paraId="5306E6D9" w14:textId="77777777" w:rsidR="00B03672" w:rsidRPr="007647EB" w:rsidRDefault="00B03672" w:rsidP="008123FC">
            <w:pPr>
              <w:pStyle w:val="Normal-pool-Table"/>
              <w:jc w:val="right"/>
              <w:rPr>
                <w:szCs w:val="18"/>
              </w:rPr>
            </w:pPr>
            <w:r w:rsidRPr="007647EB">
              <w:rPr>
                <w:color w:val="000000"/>
              </w:rPr>
              <w:t>2 303</w:t>
            </w:r>
          </w:p>
        </w:tc>
        <w:tc>
          <w:tcPr>
            <w:tcW w:w="1276" w:type="dxa"/>
            <w:tcBorders>
              <w:top w:val="nil"/>
              <w:left w:val="nil"/>
              <w:bottom w:val="single" w:sz="4" w:space="0" w:color="auto"/>
              <w:right w:val="single" w:sz="4" w:space="0" w:color="auto"/>
            </w:tcBorders>
            <w:noWrap/>
            <w:hideMark/>
          </w:tcPr>
          <w:p w14:paraId="4AD2FC08" w14:textId="77777777" w:rsidR="00B03672" w:rsidRPr="007647EB" w:rsidRDefault="00B03672" w:rsidP="008123FC">
            <w:pPr>
              <w:pStyle w:val="Normal-pool-Table"/>
              <w:jc w:val="right"/>
              <w:rPr>
                <w:szCs w:val="18"/>
              </w:rPr>
            </w:pPr>
            <w:r w:rsidRPr="007647EB">
              <w:rPr>
                <w:color w:val="000000"/>
              </w:rPr>
              <w:t>3 039</w:t>
            </w:r>
          </w:p>
        </w:tc>
        <w:tc>
          <w:tcPr>
            <w:tcW w:w="1291" w:type="dxa"/>
            <w:tcBorders>
              <w:top w:val="nil"/>
              <w:left w:val="nil"/>
              <w:bottom w:val="single" w:sz="4" w:space="0" w:color="auto"/>
              <w:right w:val="single" w:sz="4" w:space="0" w:color="auto"/>
            </w:tcBorders>
            <w:noWrap/>
            <w:hideMark/>
          </w:tcPr>
          <w:p w14:paraId="1B1B99A6" w14:textId="77777777" w:rsidR="00B03672" w:rsidRPr="007647EB" w:rsidRDefault="00B03672" w:rsidP="008123FC">
            <w:pPr>
              <w:pStyle w:val="Normal-pool-Table"/>
              <w:jc w:val="right"/>
              <w:rPr>
                <w:szCs w:val="18"/>
              </w:rPr>
            </w:pPr>
            <w:r w:rsidRPr="007647EB">
              <w:rPr>
                <w:color w:val="000000"/>
              </w:rPr>
              <w:t>5 342</w:t>
            </w:r>
          </w:p>
        </w:tc>
      </w:tr>
      <w:tr w:rsidR="002B2CBE" w:rsidRPr="007647EB" w14:paraId="3D421783"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7B45BBC9" w14:textId="2F972196"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Amérique latine et des Caraïbes (26)</w:t>
            </w:r>
          </w:p>
        </w:tc>
      </w:tr>
      <w:tr w:rsidR="00B03672" w:rsidRPr="007647EB" w14:paraId="7BA22CC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716CF19" w14:textId="5069D35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113E6E5" w14:textId="77777777" w:rsidR="00B03672" w:rsidRPr="007647EB" w:rsidRDefault="00B03672" w:rsidP="008123FC">
            <w:pPr>
              <w:pStyle w:val="Normal-pool-Table"/>
              <w:rPr>
                <w:szCs w:val="18"/>
              </w:rPr>
            </w:pPr>
            <w:r w:rsidRPr="007647EB">
              <w:rPr>
                <w:color w:val="000000"/>
              </w:rPr>
              <w:t>Antigua-et-Barbuda</w:t>
            </w:r>
          </w:p>
        </w:tc>
        <w:tc>
          <w:tcPr>
            <w:tcW w:w="1395" w:type="dxa"/>
            <w:tcBorders>
              <w:top w:val="nil"/>
              <w:left w:val="nil"/>
              <w:bottom w:val="single" w:sz="4" w:space="0" w:color="auto"/>
              <w:right w:val="single" w:sz="4" w:space="0" w:color="auto"/>
            </w:tcBorders>
            <w:noWrap/>
            <w:hideMark/>
          </w:tcPr>
          <w:p w14:paraId="338DBFED" w14:textId="77777777" w:rsidR="00B03672" w:rsidRPr="007647EB" w:rsidRDefault="00B03672"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6008ADAE"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47FBCA19"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2184EB6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347FC2E" w14:textId="77777777" w:rsidR="00B03672" w:rsidRPr="007647EB" w:rsidRDefault="00B03672" w:rsidP="008123FC">
            <w:pPr>
              <w:pStyle w:val="Normal-pool-Table"/>
              <w:jc w:val="right"/>
              <w:rPr>
                <w:szCs w:val="18"/>
              </w:rPr>
            </w:pPr>
            <w:r w:rsidRPr="007647EB">
              <w:rPr>
                <w:color w:val="000000"/>
              </w:rPr>
              <w:t>715</w:t>
            </w:r>
          </w:p>
        </w:tc>
      </w:tr>
      <w:tr w:rsidR="00B03672" w:rsidRPr="007647EB" w14:paraId="712600F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79DA83E" w14:textId="06DCE92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64C0EFE" w14:textId="77777777" w:rsidR="00B03672" w:rsidRPr="007647EB" w:rsidRDefault="00B03672" w:rsidP="008123FC">
            <w:pPr>
              <w:pStyle w:val="Normal-pool-Table"/>
              <w:rPr>
                <w:szCs w:val="18"/>
              </w:rPr>
            </w:pPr>
            <w:r w:rsidRPr="007647EB">
              <w:rPr>
                <w:color w:val="000000"/>
              </w:rPr>
              <w:t>Argentine</w:t>
            </w:r>
          </w:p>
        </w:tc>
        <w:tc>
          <w:tcPr>
            <w:tcW w:w="1395" w:type="dxa"/>
            <w:tcBorders>
              <w:top w:val="nil"/>
              <w:left w:val="nil"/>
              <w:bottom w:val="single" w:sz="4" w:space="0" w:color="auto"/>
              <w:right w:val="single" w:sz="4" w:space="0" w:color="auto"/>
            </w:tcBorders>
            <w:noWrap/>
            <w:hideMark/>
          </w:tcPr>
          <w:p w14:paraId="7EE7F026" w14:textId="77777777" w:rsidR="00B03672" w:rsidRPr="007647EB" w:rsidRDefault="00B03672" w:rsidP="008123FC">
            <w:pPr>
              <w:pStyle w:val="Normal-pool-Table"/>
              <w:jc w:val="right"/>
              <w:rPr>
                <w:szCs w:val="18"/>
              </w:rPr>
            </w:pPr>
            <w:r w:rsidRPr="007647EB">
              <w:rPr>
                <w:color w:val="000000"/>
              </w:rPr>
              <w:t>0,49</w:t>
            </w:r>
          </w:p>
        </w:tc>
        <w:tc>
          <w:tcPr>
            <w:tcW w:w="1134" w:type="dxa"/>
            <w:tcBorders>
              <w:top w:val="nil"/>
              <w:left w:val="nil"/>
              <w:bottom w:val="single" w:sz="4" w:space="0" w:color="auto"/>
              <w:right w:val="single" w:sz="4" w:space="0" w:color="auto"/>
            </w:tcBorders>
            <w:noWrap/>
            <w:hideMark/>
          </w:tcPr>
          <w:p w14:paraId="22F4E5C1" w14:textId="77777777" w:rsidR="00B03672" w:rsidRPr="007647EB" w:rsidRDefault="00B03672" w:rsidP="008123FC">
            <w:pPr>
              <w:pStyle w:val="Normal-pool-Table"/>
              <w:jc w:val="right"/>
              <w:rPr>
                <w:szCs w:val="18"/>
              </w:rPr>
            </w:pPr>
            <w:r w:rsidRPr="007647EB">
              <w:rPr>
                <w:color w:val="000000"/>
              </w:rPr>
              <w:t>0,4946</w:t>
            </w:r>
          </w:p>
        </w:tc>
        <w:tc>
          <w:tcPr>
            <w:tcW w:w="1276" w:type="dxa"/>
            <w:tcBorders>
              <w:top w:val="nil"/>
              <w:left w:val="nil"/>
              <w:bottom w:val="single" w:sz="4" w:space="0" w:color="auto"/>
              <w:right w:val="single" w:sz="4" w:space="0" w:color="auto"/>
            </w:tcBorders>
            <w:noWrap/>
            <w:hideMark/>
          </w:tcPr>
          <w:p w14:paraId="281EF202" w14:textId="77777777" w:rsidR="00B03672" w:rsidRPr="007647EB" w:rsidRDefault="00B03672" w:rsidP="008123FC">
            <w:pPr>
              <w:pStyle w:val="Normal-pool-Table"/>
              <w:jc w:val="right"/>
              <w:rPr>
                <w:szCs w:val="18"/>
              </w:rPr>
            </w:pPr>
            <w:r w:rsidRPr="007647EB">
              <w:rPr>
                <w:color w:val="000000"/>
              </w:rPr>
              <w:t>15 249</w:t>
            </w:r>
          </w:p>
        </w:tc>
        <w:tc>
          <w:tcPr>
            <w:tcW w:w="1276" w:type="dxa"/>
            <w:tcBorders>
              <w:top w:val="nil"/>
              <w:left w:val="nil"/>
              <w:bottom w:val="single" w:sz="4" w:space="0" w:color="auto"/>
              <w:right w:val="single" w:sz="4" w:space="0" w:color="auto"/>
            </w:tcBorders>
            <w:noWrap/>
            <w:hideMark/>
          </w:tcPr>
          <w:p w14:paraId="463708D9" w14:textId="77777777" w:rsidR="00B03672" w:rsidRPr="007647EB" w:rsidRDefault="00B03672" w:rsidP="008123FC">
            <w:pPr>
              <w:pStyle w:val="Normal-pool-Table"/>
              <w:jc w:val="right"/>
              <w:rPr>
                <w:szCs w:val="18"/>
              </w:rPr>
            </w:pPr>
            <w:r w:rsidRPr="007647EB">
              <w:rPr>
                <w:color w:val="000000"/>
              </w:rPr>
              <w:t>20 125</w:t>
            </w:r>
          </w:p>
        </w:tc>
        <w:tc>
          <w:tcPr>
            <w:tcW w:w="1291" w:type="dxa"/>
            <w:tcBorders>
              <w:top w:val="nil"/>
              <w:left w:val="nil"/>
              <w:bottom w:val="single" w:sz="4" w:space="0" w:color="auto"/>
              <w:right w:val="single" w:sz="4" w:space="0" w:color="auto"/>
            </w:tcBorders>
            <w:noWrap/>
            <w:hideMark/>
          </w:tcPr>
          <w:p w14:paraId="485B49AB" w14:textId="77777777" w:rsidR="00B03672" w:rsidRPr="007647EB" w:rsidRDefault="00B03672" w:rsidP="008123FC">
            <w:pPr>
              <w:pStyle w:val="Normal-pool-Table"/>
              <w:jc w:val="right"/>
              <w:rPr>
                <w:szCs w:val="18"/>
              </w:rPr>
            </w:pPr>
            <w:r w:rsidRPr="007647EB">
              <w:rPr>
                <w:color w:val="000000"/>
              </w:rPr>
              <w:t>35 374</w:t>
            </w:r>
          </w:p>
        </w:tc>
      </w:tr>
      <w:tr w:rsidR="00B03672" w:rsidRPr="007647EB" w14:paraId="207989B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A00918C" w14:textId="63E83F86"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2DC8525" w14:textId="77777777" w:rsidR="00B03672" w:rsidRPr="007647EB" w:rsidRDefault="00B03672" w:rsidP="008123FC">
            <w:pPr>
              <w:pStyle w:val="Normal-pool-Table"/>
              <w:rPr>
                <w:szCs w:val="18"/>
              </w:rPr>
            </w:pPr>
            <w:r w:rsidRPr="007647EB">
              <w:rPr>
                <w:color w:val="000000"/>
              </w:rPr>
              <w:t>Bahamas (Les)</w:t>
            </w:r>
          </w:p>
        </w:tc>
        <w:tc>
          <w:tcPr>
            <w:tcW w:w="1395" w:type="dxa"/>
            <w:tcBorders>
              <w:top w:val="nil"/>
              <w:left w:val="nil"/>
              <w:bottom w:val="single" w:sz="4" w:space="0" w:color="auto"/>
              <w:right w:val="single" w:sz="4" w:space="0" w:color="auto"/>
            </w:tcBorders>
            <w:noWrap/>
            <w:hideMark/>
          </w:tcPr>
          <w:p w14:paraId="40ECBBC0" w14:textId="77777777" w:rsidR="00B03672" w:rsidRPr="007647EB" w:rsidRDefault="00B03672" w:rsidP="008123FC">
            <w:pPr>
              <w:pStyle w:val="Normal-pool-Table"/>
              <w:jc w:val="right"/>
              <w:rPr>
                <w:szCs w:val="18"/>
              </w:rPr>
            </w:pPr>
            <w:r w:rsidRPr="007647EB">
              <w:rPr>
                <w:color w:val="000000"/>
              </w:rPr>
              <w:t>0,015</w:t>
            </w:r>
          </w:p>
        </w:tc>
        <w:tc>
          <w:tcPr>
            <w:tcW w:w="1134" w:type="dxa"/>
            <w:tcBorders>
              <w:top w:val="nil"/>
              <w:left w:val="nil"/>
              <w:bottom w:val="single" w:sz="4" w:space="0" w:color="auto"/>
              <w:right w:val="single" w:sz="4" w:space="0" w:color="auto"/>
            </w:tcBorders>
            <w:noWrap/>
            <w:hideMark/>
          </w:tcPr>
          <w:p w14:paraId="54EB9063" w14:textId="77777777" w:rsidR="00B03672" w:rsidRPr="007647EB" w:rsidRDefault="00B03672" w:rsidP="008123FC">
            <w:pPr>
              <w:pStyle w:val="Normal-pool-Table"/>
              <w:jc w:val="right"/>
              <w:rPr>
                <w:szCs w:val="18"/>
              </w:rPr>
            </w:pPr>
            <w:r w:rsidRPr="007647EB">
              <w:rPr>
                <w:color w:val="000000"/>
              </w:rPr>
              <w:t>0,0151</w:t>
            </w:r>
          </w:p>
        </w:tc>
        <w:tc>
          <w:tcPr>
            <w:tcW w:w="1276" w:type="dxa"/>
            <w:tcBorders>
              <w:top w:val="nil"/>
              <w:left w:val="nil"/>
              <w:bottom w:val="single" w:sz="4" w:space="0" w:color="auto"/>
              <w:right w:val="single" w:sz="4" w:space="0" w:color="auto"/>
            </w:tcBorders>
            <w:noWrap/>
            <w:hideMark/>
          </w:tcPr>
          <w:p w14:paraId="6C0F056C" w14:textId="77777777" w:rsidR="00B03672" w:rsidRPr="007647EB" w:rsidRDefault="00B03672" w:rsidP="008123FC">
            <w:pPr>
              <w:pStyle w:val="Normal-pool-Table"/>
              <w:jc w:val="right"/>
              <w:rPr>
                <w:szCs w:val="18"/>
              </w:rPr>
            </w:pPr>
            <w:r w:rsidRPr="007647EB">
              <w:rPr>
                <w:color w:val="000000"/>
              </w:rPr>
              <w:t>467</w:t>
            </w:r>
          </w:p>
        </w:tc>
        <w:tc>
          <w:tcPr>
            <w:tcW w:w="1276" w:type="dxa"/>
            <w:tcBorders>
              <w:top w:val="nil"/>
              <w:left w:val="nil"/>
              <w:bottom w:val="single" w:sz="4" w:space="0" w:color="auto"/>
              <w:right w:val="single" w:sz="4" w:space="0" w:color="auto"/>
            </w:tcBorders>
            <w:noWrap/>
            <w:hideMark/>
          </w:tcPr>
          <w:p w14:paraId="174FE9D0" w14:textId="77777777" w:rsidR="00B03672" w:rsidRPr="007647EB" w:rsidRDefault="00B03672" w:rsidP="008123FC">
            <w:pPr>
              <w:pStyle w:val="Normal-pool-Table"/>
              <w:jc w:val="right"/>
              <w:rPr>
                <w:szCs w:val="18"/>
              </w:rPr>
            </w:pPr>
            <w:r w:rsidRPr="007647EB">
              <w:rPr>
                <w:color w:val="000000"/>
              </w:rPr>
              <w:t>616</w:t>
            </w:r>
          </w:p>
        </w:tc>
        <w:tc>
          <w:tcPr>
            <w:tcW w:w="1291" w:type="dxa"/>
            <w:tcBorders>
              <w:top w:val="nil"/>
              <w:left w:val="nil"/>
              <w:bottom w:val="single" w:sz="4" w:space="0" w:color="auto"/>
              <w:right w:val="single" w:sz="4" w:space="0" w:color="auto"/>
            </w:tcBorders>
            <w:noWrap/>
            <w:hideMark/>
          </w:tcPr>
          <w:p w14:paraId="6FC9817D" w14:textId="77777777" w:rsidR="00B03672" w:rsidRPr="007647EB" w:rsidRDefault="00B03672" w:rsidP="008123FC">
            <w:pPr>
              <w:pStyle w:val="Normal-pool-Table"/>
              <w:jc w:val="right"/>
              <w:rPr>
                <w:szCs w:val="18"/>
              </w:rPr>
            </w:pPr>
            <w:r w:rsidRPr="007647EB">
              <w:rPr>
                <w:color w:val="000000"/>
              </w:rPr>
              <w:t>1 083</w:t>
            </w:r>
          </w:p>
        </w:tc>
      </w:tr>
      <w:tr w:rsidR="00B03672" w:rsidRPr="007647EB" w14:paraId="28E5938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1A48A71" w14:textId="5FD9DBC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05FF8E7" w14:textId="77777777" w:rsidR="00B03672" w:rsidRPr="007647EB" w:rsidRDefault="00B03672" w:rsidP="008123FC">
            <w:pPr>
              <w:pStyle w:val="Normal-pool-Table"/>
              <w:rPr>
                <w:szCs w:val="18"/>
              </w:rPr>
            </w:pPr>
            <w:r w:rsidRPr="007647EB">
              <w:rPr>
                <w:color w:val="000000"/>
              </w:rPr>
              <w:t>Belize</w:t>
            </w:r>
          </w:p>
        </w:tc>
        <w:tc>
          <w:tcPr>
            <w:tcW w:w="1395" w:type="dxa"/>
            <w:tcBorders>
              <w:top w:val="nil"/>
              <w:left w:val="nil"/>
              <w:bottom w:val="single" w:sz="4" w:space="0" w:color="auto"/>
              <w:right w:val="single" w:sz="4" w:space="0" w:color="auto"/>
            </w:tcBorders>
            <w:noWrap/>
            <w:hideMark/>
          </w:tcPr>
          <w:p w14:paraId="0CDC8678"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031F6730"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6C65BC0"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2BAC13F"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31947F54" w14:textId="77777777" w:rsidR="00B03672" w:rsidRPr="007647EB" w:rsidRDefault="00B03672" w:rsidP="008123FC">
            <w:pPr>
              <w:pStyle w:val="Normal-pool-Table"/>
              <w:jc w:val="right"/>
              <w:rPr>
                <w:szCs w:val="18"/>
              </w:rPr>
            </w:pPr>
            <w:r w:rsidRPr="007647EB">
              <w:rPr>
                <w:color w:val="000000"/>
              </w:rPr>
              <w:t>715</w:t>
            </w:r>
          </w:p>
        </w:tc>
      </w:tr>
      <w:tr w:rsidR="00B03672" w:rsidRPr="007647EB" w14:paraId="4B1E044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A589B7A" w14:textId="43D17B4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451421C" w14:textId="77777777" w:rsidR="00B03672" w:rsidRPr="007647EB" w:rsidRDefault="00B03672" w:rsidP="008123FC">
            <w:pPr>
              <w:pStyle w:val="Normal-pool-Table"/>
              <w:rPr>
                <w:szCs w:val="18"/>
              </w:rPr>
            </w:pPr>
            <w:r w:rsidRPr="007647EB">
              <w:rPr>
                <w:color w:val="000000"/>
              </w:rPr>
              <w:t>Bolivie (État plurinational de)</w:t>
            </w:r>
          </w:p>
        </w:tc>
        <w:tc>
          <w:tcPr>
            <w:tcW w:w="1395" w:type="dxa"/>
            <w:tcBorders>
              <w:top w:val="nil"/>
              <w:left w:val="nil"/>
              <w:bottom w:val="single" w:sz="4" w:space="0" w:color="auto"/>
              <w:right w:val="single" w:sz="4" w:space="0" w:color="auto"/>
            </w:tcBorders>
            <w:noWrap/>
            <w:hideMark/>
          </w:tcPr>
          <w:p w14:paraId="3C61D4C9" w14:textId="77777777" w:rsidR="00B03672" w:rsidRPr="007647EB" w:rsidRDefault="00B03672" w:rsidP="008123FC">
            <w:pPr>
              <w:pStyle w:val="Normal-pool-Table"/>
              <w:jc w:val="right"/>
              <w:rPr>
                <w:szCs w:val="18"/>
              </w:rPr>
            </w:pPr>
            <w:r w:rsidRPr="007647EB">
              <w:rPr>
                <w:color w:val="000000"/>
              </w:rPr>
              <w:t>0,018</w:t>
            </w:r>
          </w:p>
        </w:tc>
        <w:tc>
          <w:tcPr>
            <w:tcW w:w="1134" w:type="dxa"/>
            <w:tcBorders>
              <w:top w:val="nil"/>
              <w:left w:val="nil"/>
              <w:bottom w:val="single" w:sz="4" w:space="0" w:color="auto"/>
              <w:right w:val="single" w:sz="4" w:space="0" w:color="auto"/>
            </w:tcBorders>
            <w:noWrap/>
            <w:hideMark/>
          </w:tcPr>
          <w:p w14:paraId="102CE7BB" w14:textId="77777777" w:rsidR="00B03672" w:rsidRPr="007647EB" w:rsidRDefault="00B03672" w:rsidP="008123FC">
            <w:pPr>
              <w:pStyle w:val="Normal-pool-Table"/>
              <w:jc w:val="right"/>
              <w:rPr>
                <w:szCs w:val="18"/>
              </w:rPr>
            </w:pPr>
            <w:r w:rsidRPr="007647EB">
              <w:rPr>
                <w:color w:val="000000"/>
              </w:rPr>
              <w:t>0,0182</w:t>
            </w:r>
          </w:p>
        </w:tc>
        <w:tc>
          <w:tcPr>
            <w:tcW w:w="1276" w:type="dxa"/>
            <w:tcBorders>
              <w:top w:val="nil"/>
              <w:left w:val="nil"/>
              <w:bottom w:val="single" w:sz="4" w:space="0" w:color="auto"/>
              <w:right w:val="single" w:sz="4" w:space="0" w:color="auto"/>
            </w:tcBorders>
            <w:noWrap/>
            <w:hideMark/>
          </w:tcPr>
          <w:p w14:paraId="25C2BA11" w14:textId="77777777" w:rsidR="00B03672" w:rsidRPr="007647EB" w:rsidRDefault="00B03672" w:rsidP="008123FC">
            <w:pPr>
              <w:pStyle w:val="Normal-pool-Table"/>
              <w:jc w:val="right"/>
              <w:rPr>
                <w:szCs w:val="18"/>
              </w:rPr>
            </w:pPr>
            <w:r w:rsidRPr="007647EB">
              <w:rPr>
                <w:color w:val="000000"/>
              </w:rPr>
              <w:t>560</w:t>
            </w:r>
          </w:p>
        </w:tc>
        <w:tc>
          <w:tcPr>
            <w:tcW w:w="1276" w:type="dxa"/>
            <w:tcBorders>
              <w:top w:val="nil"/>
              <w:left w:val="nil"/>
              <w:bottom w:val="single" w:sz="4" w:space="0" w:color="auto"/>
              <w:right w:val="single" w:sz="4" w:space="0" w:color="auto"/>
            </w:tcBorders>
            <w:noWrap/>
            <w:hideMark/>
          </w:tcPr>
          <w:p w14:paraId="3A68DC71" w14:textId="77777777" w:rsidR="00B03672" w:rsidRPr="007647EB" w:rsidRDefault="00B03672" w:rsidP="008123FC">
            <w:pPr>
              <w:pStyle w:val="Normal-pool-Table"/>
              <w:jc w:val="right"/>
              <w:rPr>
                <w:szCs w:val="18"/>
              </w:rPr>
            </w:pPr>
            <w:r w:rsidRPr="007647EB">
              <w:rPr>
                <w:color w:val="000000"/>
              </w:rPr>
              <w:t>739</w:t>
            </w:r>
          </w:p>
        </w:tc>
        <w:tc>
          <w:tcPr>
            <w:tcW w:w="1291" w:type="dxa"/>
            <w:tcBorders>
              <w:top w:val="nil"/>
              <w:left w:val="nil"/>
              <w:bottom w:val="single" w:sz="4" w:space="0" w:color="auto"/>
              <w:right w:val="single" w:sz="4" w:space="0" w:color="auto"/>
            </w:tcBorders>
            <w:noWrap/>
            <w:hideMark/>
          </w:tcPr>
          <w:p w14:paraId="63DDB2B7" w14:textId="77777777" w:rsidR="00B03672" w:rsidRPr="007647EB" w:rsidRDefault="00B03672" w:rsidP="008123FC">
            <w:pPr>
              <w:pStyle w:val="Normal-pool-Table"/>
              <w:jc w:val="right"/>
              <w:rPr>
                <w:szCs w:val="18"/>
              </w:rPr>
            </w:pPr>
            <w:r w:rsidRPr="007647EB">
              <w:rPr>
                <w:color w:val="000000"/>
              </w:rPr>
              <w:t>1 299</w:t>
            </w:r>
          </w:p>
        </w:tc>
      </w:tr>
      <w:tr w:rsidR="00B03672" w:rsidRPr="007647EB" w14:paraId="39ACDE5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5995E90F" w14:textId="5672EA5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71ACE2C" w14:textId="77777777" w:rsidR="00B03672" w:rsidRPr="007647EB" w:rsidRDefault="00B03672" w:rsidP="008123FC">
            <w:pPr>
              <w:pStyle w:val="Normal-pool-Table"/>
              <w:rPr>
                <w:szCs w:val="18"/>
              </w:rPr>
            </w:pPr>
            <w:r w:rsidRPr="007647EB">
              <w:rPr>
                <w:color w:val="000000"/>
              </w:rPr>
              <w:t>Brésil</w:t>
            </w:r>
          </w:p>
        </w:tc>
        <w:tc>
          <w:tcPr>
            <w:tcW w:w="1395" w:type="dxa"/>
            <w:tcBorders>
              <w:top w:val="nil"/>
              <w:left w:val="nil"/>
              <w:bottom w:val="single" w:sz="4" w:space="0" w:color="auto"/>
              <w:right w:val="single" w:sz="4" w:space="0" w:color="auto"/>
            </w:tcBorders>
            <w:noWrap/>
            <w:hideMark/>
          </w:tcPr>
          <w:p w14:paraId="0A645324" w14:textId="77777777" w:rsidR="00B03672" w:rsidRPr="007647EB" w:rsidRDefault="00B03672" w:rsidP="008123FC">
            <w:pPr>
              <w:pStyle w:val="Normal-pool-Table"/>
              <w:jc w:val="right"/>
              <w:rPr>
                <w:szCs w:val="18"/>
              </w:rPr>
            </w:pPr>
            <w:r w:rsidRPr="007647EB">
              <w:rPr>
                <w:color w:val="000000"/>
              </w:rPr>
              <w:t>1,411</w:t>
            </w:r>
          </w:p>
        </w:tc>
        <w:tc>
          <w:tcPr>
            <w:tcW w:w="1134" w:type="dxa"/>
            <w:tcBorders>
              <w:top w:val="nil"/>
              <w:left w:val="nil"/>
              <w:bottom w:val="single" w:sz="4" w:space="0" w:color="auto"/>
              <w:right w:val="single" w:sz="4" w:space="0" w:color="auto"/>
            </w:tcBorders>
            <w:noWrap/>
            <w:hideMark/>
          </w:tcPr>
          <w:p w14:paraId="45D647CC" w14:textId="77777777" w:rsidR="00B03672" w:rsidRPr="007647EB" w:rsidRDefault="00B03672" w:rsidP="008123FC">
            <w:pPr>
              <w:pStyle w:val="Normal-pool-Table"/>
              <w:jc w:val="right"/>
              <w:rPr>
                <w:szCs w:val="18"/>
              </w:rPr>
            </w:pPr>
            <w:r w:rsidRPr="007647EB">
              <w:rPr>
                <w:color w:val="000000"/>
              </w:rPr>
              <w:t>1,4241</w:t>
            </w:r>
          </w:p>
        </w:tc>
        <w:tc>
          <w:tcPr>
            <w:tcW w:w="1276" w:type="dxa"/>
            <w:tcBorders>
              <w:top w:val="nil"/>
              <w:left w:val="nil"/>
              <w:bottom w:val="single" w:sz="4" w:space="0" w:color="auto"/>
              <w:right w:val="single" w:sz="4" w:space="0" w:color="auto"/>
            </w:tcBorders>
            <w:noWrap/>
            <w:hideMark/>
          </w:tcPr>
          <w:p w14:paraId="488D2E08" w14:textId="77777777" w:rsidR="00B03672" w:rsidRPr="007647EB" w:rsidRDefault="00B03672" w:rsidP="008123FC">
            <w:pPr>
              <w:pStyle w:val="Normal-pool-Table"/>
              <w:jc w:val="right"/>
              <w:rPr>
                <w:szCs w:val="18"/>
              </w:rPr>
            </w:pPr>
            <w:r w:rsidRPr="007647EB">
              <w:rPr>
                <w:color w:val="000000"/>
              </w:rPr>
              <w:t>43 911</w:t>
            </w:r>
          </w:p>
        </w:tc>
        <w:tc>
          <w:tcPr>
            <w:tcW w:w="1276" w:type="dxa"/>
            <w:tcBorders>
              <w:top w:val="nil"/>
              <w:left w:val="nil"/>
              <w:bottom w:val="single" w:sz="4" w:space="0" w:color="auto"/>
              <w:right w:val="single" w:sz="4" w:space="0" w:color="auto"/>
            </w:tcBorders>
            <w:noWrap/>
            <w:hideMark/>
          </w:tcPr>
          <w:p w14:paraId="6B2BC956" w14:textId="77777777" w:rsidR="00B03672" w:rsidRPr="007647EB" w:rsidRDefault="00B03672" w:rsidP="008123FC">
            <w:pPr>
              <w:pStyle w:val="Normal-pool-Table"/>
              <w:jc w:val="right"/>
              <w:rPr>
                <w:szCs w:val="18"/>
              </w:rPr>
            </w:pPr>
            <w:r w:rsidRPr="007647EB">
              <w:rPr>
                <w:color w:val="000000"/>
              </w:rPr>
              <w:t>57 952</w:t>
            </w:r>
          </w:p>
        </w:tc>
        <w:tc>
          <w:tcPr>
            <w:tcW w:w="1291" w:type="dxa"/>
            <w:tcBorders>
              <w:top w:val="nil"/>
              <w:left w:val="nil"/>
              <w:bottom w:val="single" w:sz="4" w:space="0" w:color="auto"/>
              <w:right w:val="single" w:sz="4" w:space="0" w:color="auto"/>
            </w:tcBorders>
            <w:noWrap/>
            <w:hideMark/>
          </w:tcPr>
          <w:p w14:paraId="09D7DFAE" w14:textId="77777777" w:rsidR="00B03672" w:rsidRPr="007647EB" w:rsidRDefault="00B03672" w:rsidP="008123FC">
            <w:pPr>
              <w:pStyle w:val="Normal-pool-Table"/>
              <w:jc w:val="right"/>
              <w:rPr>
                <w:szCs w:val="18"/>
              </w:rPr>
            </w:pPr>
            <w:r w:rsidRPr="007647EB">
              <w:rPr>
                <w:color w:val="000000"/>
              </w:rPr>
              <w:t>101 863</w:t>
            </w:r>
          </w:p>
        </w:tc>
      </w:tr>
      <w:tr w:rsidR="00B03672" w:rsidRPr="007647EB" w14:paraId="21CF765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DB92EB" w14:textId="119426F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DA001E2" w14:textId="77777777" w:rsidR="00B03672" w:rsidRPr="007647EB" w:rsidRDefault="00B03672" w:rsidP="008123FC">
            <w:pPr>
              <w:pStyle w:val="Normal-pool-Table"/>
              <w:rPr>
                <w:szCs w:val="18"/>
              </w:rPr>
            </w:pPr>
            <w:r w:rsidRPr="007647EB">
              <w:rPr>
                <w:color w:val="000000"/>
              </w:rPr>
              <w:t>Chili</w:t>
            </w:r>
          </w:p>
        </w:tc>
        <w:tc>
          <w:tcPr>
            <w:tcW w:w="1395" w:type="dxa"/>
            <w:tcBorders>
              <w:top w:val="nil"/>
              <w:left w:val="nil"/>
              <w:bottom w:val="single" w:sz="4" w:space="0" w:color="auto"/>
              <w:right w:val="single" w:sz="4" w:space="0" w:color="auto"/>
            </w:tcBorders>
            <w:noWrap/>
            <w:hideMark/>
          </w:tcPr>
          <w:p w14:paraId="7E7523FF" w14:textId="77777777" w:rsidR="00B03672" w:rsidRPr="007647EB" w:rsidRDefault="00B03672" w:rsidP="008123FC">
            <w:pPr>
              <w:pStyle w:val="Normal-pool-Table"/>
              <w:jc w:val="right"/>
              <w:rPr>
                <w:szCs w:val="18"/>
              </w:rPr>
            </w:pPr>
            <w:r w:rsidRPr="007647EB">
              <w:rPr>
                <w:color w:val="000000"/>
              </w:rPr>
              <w:t>0,374</w:t>
            </w:r>
          </w:p>
        </w:tc>
        <w:tc>
          <w:tcPr>
            <w:tcW w:w="1134" w:type="dxa"/>
            <w:tcBorders>
              <w:top w:val="nil"/>
              <w:left w:val="nil"/>
              <w:bottom w:val="single" w:sz="4" w:space="0" w:color="auto"/>
              <w:right w:val="single" w:sz="4" w:space="0" w:color="auto"/>
            </w:tcBorders>
            <w:noWrap/>
            <w:hideMark/>
          </w:tcPr>
          <w:p w14:paraId="6EF2F93A" w14:textId="77777777" w:rsidR="00B03672" w:rsidRPr="007647EB" w:rsidRDefault="00B03672" w:rsidP="008123FC">
            <w:pPr>
              <w:pStyle w:val="Normal-pool-Table"/>
              <w:jc w:val="right"/>
              <w:rPr>
                <w:szCs w:val="18"/>
              </w:rPr>
            </w:pPr>
            <w:r w:rsidRPr="007647EB">
              <w:rPr>
                <w:color w:val="000000"/>
              </w:rPr>
              <w:t>0,3775</w:t>
            </w:r>
          </w:p>
        </w:tc>
        <w:tc>
          <w:tcPr>
            <w:tcW w:w="1276" w:type="dxa"/>
            <w:tcBorders>
              <w:top w:val="nil"/>
              <w:left w:val="nil"/>
              <w:bottom w:val="single" w:sz="4" w:space="0" w:color="auto"/>
              <w:right w:val="single" w:sz="4" w:space="0" w:color="auto"/>
            </w:tcBorders>
            <w:noWrap/>
            <w:hideMark/>
          </w:tcPr>
          <w:p w14:paraId="7A500F31" w14:textId="77777777" w:rsidR="00B03672" w:rsidRPr="007647EB" w:rsidRDefault="00B03672" w:rsidP="008123FC">
            <w:pPr>
              <w:pStyle w:val="Normal-pool-Table"/>
              <w:jc w:val="right"/>
              <w:rPr>
                <w:szCs w:val="18"/>
              </w:rPr>
            </w:pPr>
            <w:r w:rsidRPr="007647EB">
              <w:rPr>
                <w:color w:val="000000"/>
              </w:rPr>
              <w:t>11 639</w:t>
            </w:r>
          </w:p>
        </w:tc>
        <w:tc>
          <w:tcPr>
            <w:tcW w:w="1276" w:type="dxa"/>
            <w:tcBorders>
              <w:top w:val="nil"/>
              <w:left w:val="nil"/>
              <w:bottom w:val="single" w:sz="4" w:space="0" w:color="auto"/>
              <w:right w:val="single" w:sz="4" w:space="0" w:color="auto"/>
            </w:tcBorders>
            <w:noWrap/>
            <w:hideMark/>
          </w:tcPr>
          <w:p w14:paraId="6C63C502" w14:textId="77777777" w:rsidR="00B03672" w:rsidRPr="007647EB" w:rsidRDefault="00B03672" w:rsidP="008123FC">
            <w:pPr>
              <w:pStyle w:val="Normal-pool-Table"/>
              <w:jc w:val="right"/>
              <w:rPr>
                <w:szCs w:val="18"/>
              </w:rPr>
            </w:pPr>
            <w:r w:rsidRPr="007647EB">
              <w:rPr>
                <w:color w:val="000000"/>
              </w:rPr>
              <w:t>15 361</w:t>
            </w:r>
          </w:p>
        </w:tc>
        <w:tc>
          <w:tcPr>
            <w:tcW w:w="1291" w:type="dxa"/>
            <w:tcBorders>
              <w:top w:val="nil"/>
              <w:left w:val="nil"/>
              <w:bottom w:val="single" w:sz="4" w:space="0" w:color="auto"/>
              <w:right w:val="single" w:sz="4" w:space="0" w:color="auto"/>
            </w:tcBorders>
            <w:noWrap/>
            <w:hideMark/>
          </w:tcPr>
          <w:p w14:paraId="4A89C175" w14:textId="77777777" w:rsidR="00B03672" w:rsidRPr="007647EB" w:rsidRDefault="00B03672" w:rsidP="008123FC">
            <w:pPr>
              <w:pStyle w:val="Normal-pool-Table"/>
              <w:jc w:val="right"/>
              <w:rPr>
                <w:szCs w:val="18"/>
              </w:rPr>
            </w:pPr>
            <w:r w:rsidRPr="007647EB">
              <w:rPr>
                <w:color w:val="000000"/>
              </w:rPr>
              <w:t>27 000</w:t>
            </w:r>
          </w:p>
        </w:tc>
      </w:tr>
      <w:tr w:rsidR="00B03672" w:rsidRPr="007647EB" w14:paraId="23954DD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EFC3429" w14:textId="7BA820D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C69DE17" w14:textId="77777777" w:rsidR="00B03672" w:rsidRPr="007647EB" w:rsidRDefault="00B03672" w:rsidP="008123FC">
            <w:pPr>
              <w:pStyle w:val="Normal-pool-Table"/>
              <w:rPr>
                <w:szCs w:val="18"/>
              </w:rPr>
            </w:pPr>
            <w:r w:rsidRPr="007647EB">
              <w:rPr>
                <w:color w:val="000000"/>
              </w:rPr>
              <w:t>Colombie</w:t>
            </w:r>
          </w:p>
        </w:tc>
        <w:tc>
          <w:tcPr>
            <w:tcW w:w="1395" w:type="dxa"/>
            <w:tcBorders>
              <w:top w:val="nil"/>
              <w:left w:val="nil"/>
              <w:bottom w:val="single" w:sz="4" w:space="0" w:color="auto"/>
              <w:right w:val="single" w:sz="4" w:space="0" w:color="auto"/>
            </w:tcBorders>
            <w:noWrap/>
            <w:hideMark/>
          </w:tcPr>
          <w:p w14:paraId="2479DFFD" w14:textId="77777777" w:rsidR="00B03672" w:rsidRPr="007647EB" w:rsidRDefault="00B03672" w:rsidP="008123FC">
            <w:pPr>
              <w:pStyle w:val="Normal-pool-Table"/>
              <w:jc w:val="right"/>
              <w:rPr>
                <w:szCs w:val="18"/>
              </w:rPr>
            </w:pPr>
            <w:r w:rsidRPr="007647EB">
              <w:rPr>
                <w:color w:val="000000"/>
              </w:rPr>
              <w:t>0,197</w:t>
            </w:r>
          </w:p>
        </w:tc>
        <w:tc>
          <w:tcPr>
            <w:tcW w:w="1134" w:type="dxa"/>
            <w:tcBorders>
              <w:top w:val="nil"/>
              <w:left w:val="nil"/>
              <w:bottom w:val="single" w:sz="4" w:space="0" w:color="auto"/>
              <w:right w:val="single" w:sz="4" w:space="0" w:color="auto"/>
            </w:tcBorders>
            <w:noWrap/>
            <w:hideMark/>
          </w:tcPr>
          <w:p w14:paraId="7292B942" w14:textId="77777777" w:rsidR="00B03672" w:rsidRPr="007647EB" w:rsidRDefault="00B03672" w:rsidP="008123FC">
            <w:pPr>
              <w:pStyle w:val="Normal-pool-Table"/>
              <w:jc w:val="right"/>
              <w:rPr>
                <w:szCs w:val="18"/>
              </w:rPr>
            </w:pPr>
            <w:r w:rsidRPr="007647EB">
              <w:rPr>
                <w:color w:val="000000"/>
              </w:rPr>
              <w:t>0,1988</w:t>
            </w:r>
          </w:p>
        </w:tc>
        <w:tc>
          <w:tcPr>
            <w:tcW w:w="1276" w:type="dxa"/>
            <w:tcBorders>
              <w:top w:val="nil"/>
              <w:left w:val="nil"/>
              <w:bottom w:val="single" w:sz="4" w:space="0" w:color="auto"/>
              <w:right w:val="single" w:sz="4" w:space="0" w:color="auto"/>
            </w:tcBorders>
            <w:noWrap/>
            <w:hideMark/>
          </w:tcPr>
          <w:p w14:paraId="01DA1CB4" w14:textId="77777777" w:rsidR="00B03672" w:rsidRPr="007647EB" w:rsidRDefault="00B03672" w:rsidP="008123FC">
            <w:pPr>
              <w:pStyle w:val="Normal-pool-Table"/>
              <w:jc w:val="right"/>
              <w:rPr>
                <w:szCs w:val="18"/>
              </w:rPr>
            </w:pPr>
            <w:r w:rsidRPr="007647EB">
              <w:rPr>
                <w:color w:val="000000"/>
              </w:rPr>
              <w:t>6 131</w:t>
            </w:r>
          </w:p>
        </w:tc>
        <w:tc>
          <w:tcPr>
            <w:tcW w:w="1276" w:type="dxa"/>
            <w:tcBorders>
              <w:top w:val="nil"/>
              <w:left w:val="nil"/>
              <w:bottom w:val="single" w:sz="4" w:space="0" w:color="auto"/>
              <w:right w:val="single" w:sz="4" w:space="0" w:color="auto"/>
            </w:tcBorders>
            <w:noWrap/>
            <w:hideMark/>
          </w:tcPr>
          <w:p w14:paraId="278BE575" w14:textId="77777777" w:rsidR="00B03672" w:rsidRPr="007647EB" w:rsidRDefault="00B03672" w:rsidP="008123FC">
            <w:pPr>
              <w:pStyle w:val="Normal-pool-Table"/>
              <w:jc w:val="right"/>
              <w:rPr>
                <w:szCs w:val="18"/>
              </w:rPr>
            </w:pPr>
            <w:r w:rsidRPr="007647EB">
              <w:rPr>
                <w:color w:val="000000"/>
              </w:rPr>
              <w:t>8 091</w:t>
            </w:r>
          </w:p>
        </w:tc>
        <w:tc>
          <w:tcPr>
            <w:tcW w:w="1291" w:type="dxa"/>
            <w:tcBorders>
              <w:top w:val="nil"/>
              <w:left w:val="nil"/>
              <w:bottom w:val="single" w:sz="4" w:space="0" w:color="auto"/>
              <w:right w:val="single" w:sz="4" w:space="0" w:color="auto"/>
            </w:tcBorders>
            <w:noWrap/>
            <w:hideMark/>
          </w:tcPr>
          <w:p w14:paraId="3CEE7899" w14:textId="77777777" w:rsidR="00B03672" w:rsidRPr="007647EB" w:rsidRDefault="00B03672" w:rsidP="008123FC">
            <w:pPr>
              <w:pStyle w:val="Normal-pool-Table"/>
              <w:jc w:val="right"/>
              <w:rPr>
                <w:szCs w:val="18"/>
              </w:rPr>
            </w:pPr>
            <w:r w:rsidRPr="007647EB">
              <w:rPr>
                <w:color w:val="000000"/>
              </w:rPr>
              <w:t>14 222</w:t>
            </w:r>
          </w:p>
        </w:tc>
      </w:tr>
      <w:tr w:rsidR="00B03672" w:rsidRPr="007647EB" w14:paraId="290A5EC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1D7024D" w14:textId="7C00675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080005E" w14:textId="77777777" w:rsidR="00B03672" w:rsidRPr="007647EB" w:rsidRDefault="00B03672" w:rsidP="008123FC">
            <w:pPr>
              <w:pStyle w:val="Normal-pool-Table"/>
              <w:rPr>
                <w:szCs w:val="18"/>
              </w:rPr>
            </w:pPr>
            <w:r w:rsidRPr="007647EB">
              <w:rPr>
                <w:color w:val="000000"/>
              </w:rPr>
              <w:t>Costa Rica</w:t>
            </w:r>
          </w:p>
        </w:tc>
        <w:tc>
          <w:tcPr>
            <w:tcW w:w="1395" w:type="dxa"/>
            <w:tcBorders>
              <w:top w:val="nil"/>
              <w:left w:val="nil"/>
              <w:bottom w:val="single" w:sz="4" w:space="0" w:color="auto"/>
              <w:right w:val="single" w:sz="4" w:space="0" w:color="auto"/>
            </w:tcBorders>
            <w:noWrap/>
            <w:hideMark/>
          </w:tcPr>
          <w:p w14:paraId="699AD90F" w14:textId="77777777" w:rsidR="00B03672" w:rsidRPr="007647EB" w:rsidRDefault="00B03672" w:rsidP="008123FC">
            <w:pPr>
              <w:pStyle w:val="Normal-pool-Table"/>
              <w:jc w:val="right"/>
              <w:rPr>
                <w:szCs w:val="18"/>
              </w:rPr>
            </w:pPr>
            <w:r w:rsidRPr="007647EB">
              <w:rPr>
                <w:color w:val="000000"/>
              </w:rPr>
              <w:t>0,063</w:t>
            </w:r>
          </w:p>
        </w:tc>
        <w:tc>
          <w:tcPr>
            <w:tcW w:w="1134" w:type="dxa"/>
            <w:tcBorders>
              <w:top w:val="nil"/>
              <w:left w:val="nil"/>
              <w:bottom w:val="single" w:sz="4" w:space="0" w:color="auto"/>
              <w:right w:val="single" w:sz="4" w:space="0" w:color="auto"/>
            </w:tcBorders>
            <w:noWrap/>
            <w:hideMark/>
          </w:tcPr>
          <w:p w14:paraId="7485F627" w14:textId="77777777" w:rsidR="00B03672" w:rsidRPr="007647EB" w:rsidRDefault="00B03672" w:rsidP="008123FC">
            <w:pPr>
              <w:pStyle w:val="Normal-pool-Table"/>
              <w:jc w:val="right"/>
              <w:rPr>
                <w:szCs w:val="18"/>
              </w:rPr>
            </w:pPr>
            <w:r w:rsidRPr="007647EB">
              <w:rPr>
                <w:color w:val="000000"/>
              </w:rPr>
              <w:t>0,0636</w:t>
            </w:r>
          </w:p>
        </w:tc>
        <w:tc>
          <w:tcPr>
            <w:tcW w:w="1276" w:type="dxa"/>
            <w:tcBorders>
              <w:top w:val="nil"/>
              <w:left w:val="nil"/>
              <w:bottom w:val="single" w:sz="4" w:space="0" w:color="auto"/>
              <w:right w:val="single" w:sz="4" w:space="0" w:color="auto"/>
            </w:tcBorders>
            <w:noWrap/>
            <w:hideMark/>
          </w:tcPr>
          <w:p w14:paraId="524130FA" w14:textId="77777777" w:rsidR="00B03672" w:rsidRPr="007647EB" w:rsidRDefault="00B03672" w:rsidP="008123FC">
            <w:pPr>
              <w:pStyle w:val="Normal-pool-Table"/>
              <w:jc w:val="right"/>
              <w:rPr>
                <w:szCs w:val="18"/>
              </w:rPr>
            </w:pPr>
            <w:r w:rsidRPr="007647EB">
              <w:rPr>
                <w:color w:val="000000"/>
              </w:rPr>
              <w:t>1 961</w:t>
            </w:r>
          </w:p>
        </w:tc>
        <w:tc>
          <w:tcPr>
            <w:tcW w:w="1276" w:type="dxa"/>
            <w:tcBorders>
              <w:top w:val="nil"/>
              <w:left w:val="nil"/>
              <w:bottom w:val="single" w:sz="4" w:space="0" w:color="auto"/>
              <w:right w:val="single" w:sz="4" w:space="0" w:color="auto"/>
            </w:tcBorders>
            <w:noWrap/>
            <w:hideMark/>
          </w:tcPr>
          <w:p w14:paraId="2A00B592" w14:textId="77777777" w:rsidR="00B03672" w:rsidRPr="007647EB" w:rsidRDefault="00B03672" w:rsidP="008123FC">
            <w:pPr>
              <w:pStyle w:val="Normal-pool-Table"/>
              <w:jc w:val="right"/>
              <w:rPr>
                <w:szCs w:val="18"/>
              </w:rPr>
            </w:pPr>
            <w:r w:rsidRPr="007647EB">
              <w:rPr>
                <w:color w:val="000000"/>
              </w:rPr>
              <w:t>2 588</w:t>
            </w:r>
          </w:p>
        </w:tc>
        <w:tc>
          <w:tcPr>
            <w:tcW w:w="1291" w:type="dxa"/>
            <w:tcBorders>
              <w:top w:val="nil"/>
              <w:left w:val="nil"/>
              <w:bottom w:val="single" w:sz="4" w:space="0" w:color="auto"/>
              <w:right w:val="single" w:sz="4" w:space="0" w:color="auto"/>
            </w:tcBorders>
            <w:noWrap/>
            <w:hideMark/>
          </w:tcPr>
          <w:p w14:paraId="78427834" w14:textId="77777777" w:rsidR="00B03672" w:rsidRPr="007647EB" w:rsidRDefault="00B03672" w:rsidP="008123FC">
            <w:pPr>
              <w:pStyle w:val="Normal-pool-Table"/>
              <w:jc w:val="right"/>
              <w:rPr>
                <w:szCs w:val="18"/>
              </w:rPr>
            </w:pPr>
            <w:r w:rsidRPr="007647EB">
              <w:rPr>
                <w:color w:val="000000"/>
              </w:rPr>
              <w:t>4 548</w:t>
            </w:r>
          </w:p>
        </w:tc>
      </w:tr>
      <w:tr w:rsidR="00B03672" w:rsidRPr="007647EB" w14:paraId="24442F51"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DE1A8F8" w14:textId="3688637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51BF4EF" w14:textId="77777777" w:rsidR="00B03672" w:rsidRPr="007647EB" w:rsidRDefault="00B03672" w:rsidP="008123FC">
            <w:pPr>
              <w:pStyle w:val="Normal-pool-Table"/>
              <w:rPr>
                <w:szCs w:val="18"/>
              </w:rPr>
            </w:pPr>
            <w:r w:rsidRPr="007647EB">
              <w:rPr>
                <w:color w:val="000000"/>
              </w:rPr>
              <w:t>Cuba</w:t>
            </w:r>
          </w:p>
        </w:tc>
        <w:tc>
          <w:tcPr>
            <w:tcW w:w="1395" w:type="dxa"/>
            <w:tcBorders>
              <w:top w:val="nil"/>
              <w:left w:val="nil"/>
              <w:bottom w:val="single" w:sz="4" w:space="0" w:color="auto"/>
              <w:right w:val="single" w:sz="4" w:space="0" w:color="auto"/>
            </w:tcBorders>
            <w:noWrap/>
            <w:hideMark/>
          </w:tcPr>
          <w:p w14:paraId="3C902933" w14:textId="77777777" w:rsidR="00B03672" w:rsidRPr="007647EB" w:rsidRDefault="00B03672" w:rsidP="008123FC">
            <w:pPr>
              <w:pStyle w:val="Normal-pool-Table"/>
              <w:jc w:val="right"/>
              <w:rPr>
                <w:szCs w:val="18"/>
              </w:rPr>
            </w:pPr>
            <w:r w:rsidRPr="007647EB">
              <w:rPr>
                <w:color w:val="000000"/>
              </w:rPr>
              <w:t>0,122</w:t>
            </w:r>
          </w:p>
        </w:tc>
        <w:tc>
          <w:tcPr>
            <w:tcW w:w="1134" w:type="dxa"/>
            <w:tcBorders>
              <w:top w:val="nil"/>
              <w:left w:val="nil"/>
              <w:bottom w:val="single" w:sz="4" w:space="0" w:color="auto"/>
              <w:right w:val="single" w:sz="4" w:space="0" w:color="auto"/>
            </w:tcBorders>
            <w:noWrap/>
            <w:hideMark/>
          </w:tcPr>
          <w:p w14:paraId="01896219" w14:textId="77777777" w:rsidR="00B03672" w:rsidRPr="007647EB" w:rsidRDefault="00B03672" w:rsidP="008123FC">
            <w:pPr>
              <w:pStyle w:val="Normal-pool-Table"/>
              <w:jc w:val="right"/>
              <w:rPr>
                <w:szCs w:val="18"/>
              </w:rPr>
            </w:pPr>
            <w:r w:rsidRPr="007647EB">
              <w:rPr>
                <w:color w:val="000000"/>
              </w:rPr>
              <w:t>0,1231</w:t>
            </w:r>
          </w:p>
        </w:tc>
        <w:tc>
          <w:tcPr>
            <w:tcW w:w="1276" w:type="dxa"/>
            <w:tcBorders>
              <w:top w:val="nil"/>
              <w:left w:val="nil"/>
              <w:bottom w:val="single" w:sz="4" w:space="0" w:color="auto"/>
              <w:right w:val="single" w:sz="4" w:space="0" w:color="auto"/>
            </w:tcBorders>
            <w:noWrap/>
            <w:hideMark/>
          </w:tcPr>
          <w:p w14:paraId="0E850106" w14:textId="77777777" w:rsidR="00B03672" w:rsidRPr="007647EB" w:rsidRDefault="00B03672" w:rsidP="008123FC">
            <w:pPr>
              <w:pStyle w:val="Normal-pool-Table"/>
              <w:jc w:val="right"/>
              <w:rPr>
                <w:szCs w:val="18"/>
              </w:rPr>
            </w:pPr>
            <w:r w:rsidRPr="007647EB">
              <w:rPr>
                <w:color w:val="000000"/>
              </w:rPr>
              <w:t>3 797</w:t>
            </w:r>
          </w:p>
        </w:tc>
        <w:tc>
          <w:tcPr>
            <w:tcW w:w="1276" w:type="dxa"/>
            <w:tcBorders>
              <w:top w:val="nil"/>
              <w:left w:val="nil"/>
              <w:bottom w:val="single" w:sz="4" w:space="0" w:color="auto"/>
              <w:right w:val="single" w:sz="4" w:space="0" w:color="auto"/>
            </w:tcBorders>
            <w:noWrap/>
            <w:hideMark/>
          </w:tcPr>
          <w:p w14:paraId="1F84EF8A" w14:textId="77777777" w:rsidR="00B03672" w:rsidRPr="007647EB" w:rsidRDefault="00B03672" w:rsidP="008123FC">
            <w:pPr>
              <w:pStyle w:val="Normal-pool-Table"/>
              <w:jc w:val="right"/>
              <w:rPr>
                <w:szCs w:val="18"/>
              </w:rPr>
            </w:pPr>
            <w:r w:rsidRPr="007647EB">
              <w:rPr>
                <w:color w:val="000000"/>
              </w:rPr>
              <w:t>5 011</w:t>
            </w:r>
          </w:p>
        </w:tc>
        <w:tc>
          <w:tcPr>
            <w:tcW w:w="1291" w:type="dxa"/>
            <w:tcBorders>
              <w:top w:val="nil"/>
              <w:left w:val="nil"/>
              <w:bottom w:val="single" w:sz="4" w:space="0" w:color="auto"/>
              <w:right w:val="single" w:sz="4" w:space="0" w:color="auto"/>
            </w:tcBorders>
            <w:noWrap/>
            <w:hideMark/>
          </w:tcPr>
          <w:p w14:paraId="49E6547E" w14:textId="77777777" w:rsidR="00B03672" w:rsidRPr="007647EB" w:rsidRDefault="00B03672" w:rsidP="008123FC">
            <w:pPr>
              <w:pStyle w:val="Normal-pool-Table"/>
              <w:jc w:val="right"/>
              <w:rPr>
                <w:szCs w:val="18"/>
              </w:rPr>
            </w:pPr>
            <w:r w:rsidRPr="007647EB">
              <w:rPr>
                <w:color w:val="000000"/>
              </w:rPr>
              <w:t>8 807</w:t>
            </w:r>
          </w:p>
        </w:tc>
      </w:tr>
      <w:tr w:rsidR="00B03672" w:rsidRPr="007647EB" w14:paraId="5AC32AA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D807CC" w14:textId="295CD2BA"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8B000FE" w14:textId="77777777" w:rsidR="00B03672" w:rsidRPr="007647EB" w:rsidRDefault="00B03672" w:rsidP="008123FC">
            <w:pPr>
              <w:pStyle w:val="Normal-pool-Table"/>
              <w:rPr>
                <w:szCs w:val="18"/>
              </w:rPr>
            </w:pPr>
            <w:r w:rsidRPr="007647EB">
              <w:rPr>
                <w:color w:val="000000"/>
              </w:rPr>
              <w:t>El Salvador</w:t>
            </w:r>
          </w:p>
        </w:tc>
        <w:tc>
          <w:tcPr>
            <w:tcW w:w="1395" w:type="dxa"/>
            <w:tcBorders>
              <w:top w:val="nil"/>
              <w:left w:val="nil"/>
              <w:bottom w:val="single" w:sz="4" w:space="0" w:color="auto"/>
              <w:right w:val="single" w:sz="4" w:space="0" w:color="auto"/>
            </w:tcBorders>
            <w:noWrap/>
            <w:hideMark/>
          </w:tcPr>
          <w:p w14:paraId="6322C89E" w14:textId="77777777" w:rsidR="00B03672" w:rsidRPr="007647EB" w:rsidRDefault="00B03672" w:rsidP="008123FC">
            <w:pPr>
              <w:pStyle w:val="Normal-pool-Table"/>
              <w:jc w:val="right"/>
              <w:rPr>
                <w:szCs w:val="18"/>
              </w:rPr>
            </w:pPr>
            <w:r w:rsidRPr="007647EB">
              <w:rPr>
                <w:color w:val="000000"/>
              </w:rPr>
              <w:t>0,013</w:t>
            </w:r>
          </w:p>
        </w:tc>
        <w:tc>
          <w:tcPr>
            <w:tcW w:w="1134" w:type="dxa"/>
            <w:tcBorders>
              <w:top w:val="nil"/>
              <w:left w:val="nil"/>
              <w:bottom w:val="single" w:sz="4" w:space="0" w:color="auto"/>
              <w:right w:val="single" w:sz="4" w:space="0" w:color="auto"/>
            </w:tcBorders>
            <w:noWrap/>
            <w:hideMark/>
          </w:tcPr>
          <w:p w14:paraId="48774604" w14:textId="77777777" w:rsidR="00B03672" w:rsidRPr="007647EB" w:rsidRDefault="00B03672" w:rsidP="008123FC">
            <w:pPr>
              <w:pStyle w:val="Normal-pool-Table"/>
              <w:jc w:val="right"/>
              <w:rPr>
                <w:szCs w:val="18"/>
              </w:rPr>
            </w:pPr>
            <w:r w:rsidRPr="007647EB">
              <w:rPr>
                <w:color w:val="000000"/>
              </w:rPr>
              <w:t>0,0131</w:t>
            </w:r>
          </w:p>
        </w:tc>
        <w:tc>
          <w:tcPr>
            <w:tcW w:w="1276" w:type="dxa"/>
            <w:tcBorders>
              <w:top w:val="nil"/>
              <w:left w:val="nil"/>
              <w:bottom w:val="single" w:sz="4" w:space="0" w:color="auto"/>
              <w:right w:val="single" w:sz="4" w:space="0" w:color="auto"/>
            </w:tcBorders>
            <w:noWrap/>
            <w:hideMark/>
          </w:tcPr>
          <w:p w14:paraId="22C5E185" w14:textId="77777777" w:rsidR="00B03672" w:rsidRPr="007647EB" w:rsidRDefault="00B03672" w:rsidP="008123FC">
            <w:pPr>
              <w:pStyle w:val="Normal-pool-Table"/>
              <w:jc w:val="right"/>
              <w:rPr>
                <w:szCs w:val="18"/>
              </w:rPr>
            </w:pPr>
            <w:r w:rsidRPr="007647EB">
              <w:rPr>
                <w:color w:val="000000"/>
              </w:rPr>
              <w:t>405</w:t>
            </w:r>
          </w:p>
        </w:tc>
        <w:tc>
          <w:tcPr>
            <w:tcW w:w="1276" w:type="dxa"/>
            <w:tcBorders>
              <w:top w:val="nil"/>
              <w:left w:val="nil"/>
              <w:bottom w:val="single" w:sz="4" w:space="0" w:color="auto"/>
              <w:right w:val="single" w:sz="4" w:space="0" w:color="auto"/>
            </w:tcBorders>
            <w:noWrap/>
            <w:hideMark/>
          </w:tcPr>
          <w:p w14:paraId="1C696B88" w14:textId="77777777" w:rsidR="00B03672" w:rsidRPr="007647EB" w:rsidRDefault="00B03672" w:rsidP="008123FC">
            <w:pPr>
              <w:pStyle w:val="Normal-pool-Table"/>
              <w:jc w:val="right"/>
              <w:rPr>
                <w:szCs w:val="18"/>
              </w:rPr>
            </w:pPr>
            <w:r w:rsidRPr="007647EB">
              <w:rPr>
                <w:color w:val="000000"/>
              </w:rPr>
              <w:t>534</w:t>
            </w:r>
          </w:p>
        </w:tc>
        <w:tc>
          <w:tcPr>
            <w:tcW w:w="1291" w:type="dxa"/>
            <w:tcBorders>
              <w:top w:val="nil"/>
              <w:left w:val="nil"/>
              <w:bottom w:val="single" w:sz="4" w:space="0" w:color="auto"/>
              <w:right w:val="single" w:sz="4" w:space="0" w:color="auto"/>
            </w:tcBorders>
            <w:noWrap/>
            <w:hideMark/>
          </w:tcPr>
          <w:p w14:paraId="134F0D70" w14:textId="77777777" w:rsidR="00B03672" w:rsidRPr="007647EB" w:rsidRDefault="00B03672" w:rsidP="008123FC">
            <w:pPr>
              <w:pStyle w:val="Normal-pool-Table"/>
              <w:jc w:val="right"/>
              <w:rPr>
                <w:szCs w:val="18"/>
              </w:rPr>
            </w:pPr>
            <w:r w:rsidRPr="007647EB">
              <w:rPr>
                <w:color w:val="000000"/>
              </w:rPr>
              <w:t>938</w:t>
            </w:r>
          </w:p>
        </w:tc>
      </w:tr>
      <w:tr w:rsidR="00B03672" w:rsidRPr="007647EB" w14:paraId="7679D81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C48F00A" w14:textId="690D052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2D6428" w14:textId="77777777" w:rsidR="00B03672" w:rsidRPr="007647EB" w:rsidRDefault="00B03672" w:rsidP="008123FC">
            <w:pPr>
              <w:pStyle w:val="Normal-pool-Table"/>
              <w:rPr>
                <w:szCs w:val="18"/>
              </w:rPr>
            </w:pPr>
            <w:r w:rsidRPr="007647EB">
              <w:rPr>
                <w:color w:val="000000"/>
              </w:rPr>
              <w:t>Équateur</w:t>
            </w:r>
          </w:p>
        </w:tc>
        <w:tc>
          <w:tcPr>
            <w:tcW w:w="1395" w:type="dxa"/>
            <w:tcBorders>
              <w:top w:val="nil"/>
              <w:left w:val="nil"/>
              <w:bottom w:val="single" w:sz="4" w:space="0" w:color="auto"/>
              <w:right w:val="single" w:sz="4" w:space="0" w:color="auto"/>
            </w:tcBorders>
            <w:noWrap/>
            <w:hideMark/>
          </w:tcPr>
          <w:p w14:paraId="19683909" w14:textId="77777777" w:rsidR="00B03672" w:rsidRPr="007647EB" w:rsidRDefault="00B03672" w:rsidP="008123FC">
            <w:pPr>
              <w:pStyle w:val="Normal-pool-Table"/>
              <w:jc w:val="right"/>
              <w:rPr>
                <w:szCs w:val="18"/>
              </w:rPr>
            </w:pPr>
            <w:r w:rsidRPr="007647EB">
              <w:rPr>
                <w:color w:val="000000"/>
              </w:rPr>
              <w:t>0,065</w:t>
            </w:r>
          </w:p>
        </w:tc>
        <w:tc>
          <w:tcPr>
            <w:tcW w:w="1134" w:type="dxa"/>
            <w:tcBorders>
              <w:top w:val="nil"/>
              <w:left w:val="nil"/>
              <w:bottom w:val="single" w:sz="4" w:space="0" w:color="auto"/>
              <w:right w:val="single" w:sz="4" w:space="0" w:color="auto"/>
            </w:tcBorders>
            <w:noWrap/>
            <w:hideMark/>
          </w:tcPr>
          <w:p w14:paraId="4E60D454" w14:textId="77777777" w:rsidR="00B03672" w:rsidRPr="007647EB" w:rsidRDefault="00B03672" w:rsidP="008123FC">
            <w:pPr>
              <w:pStyle w:val="Normal-pool-Table"/>
              <w:jc w:val="right"/>
              <w:rPr>
                <w:szCs w:val="18"/>
              </w:rPr>
            </w:pPr>
            <w:r w:rsidRPr="007647EB">
              <w:rPr>
                <w:color w:val="000000"/>
              </w:rPr>
              <w:t>0,0656</w:t>
            </w:r>
          </w:p>
        </w:tc>
        <w:tc>
          <w:tcPr>
            <w:tcW w:w="1276" w:type="dxa"/>
            <w:tcBorders>
              <w:top w:val="nil"/>
              <w:left w:val="nil"/>
              <w:bottom w:val="single" w:sz="4" w:space="0" w:color="auto"/>
              <w:right w:val="single" w:sz="4" w:space="0" w:color="auto"/>
            </w:tcBorders>
            <w:noWrap/>
            <w:hideMark/>
          </w:tcPr>
          <w:p w14:paraId="73BE6DFC" w14:textId="77777777" w:rsidR="00B03672" w:rsidRPr="007647EB" w:rsidRDefault="00B03672" w:rsidP="008123FC">
            <w:pPr>
              <w:pStyle w:val="Normal-pool-Table"/>
              <w:jc w:val="right"/>
              <w:rPr>
                <w:szCs w:val="18"/>
              </w:rPr>
            </w:pPr>
            <w:r w:rsidRPr="007647EB">
              <w:rPr>
                <w:color w:val="000000"/>
              </w:rPr>
              <w:t>2 023</w:t>
            </w:r>
          </w:p>
        </w:tc>
        <w:tc>
          <w:tcPr>
            <w:tcW w:w="1276" w:type="dxa"/>
            <w:tcBorders>
              <w:top w:val="nil"/>
              <w:left w:val="nil"/>
              <w:bottom w:val="single" w:sz="4" w:space="0" w:color="auto"/>
              <w:right w:val="single" w:sz="4" w:space="0" w:color="auto"/>
            </w:tcBorders>
            <w:noWrap/>
            <w:hideMark/>
          </w:tcPr>
          <w:p w14:paraId="6B8E43B9" w14:textId="77777777" w:rsidR="00B03672" w:rsidRPr="007647EB" w:rsidRDefault="00B03672" w:rsidP="008123FC">
            <w:pPr>
              <w:pStyle w:val="Normal-pool-Table"/>
              <w:jc w:val="right"/>
              <w:rPr>
                <w:szCs w:val="18"/>
              </w:rPr>
            </w:pPr>
            <w:r w:rsidRPr="007647EB">
              <w:rPr>
                <w:color w:val="000000"/>
              </w:rPr>
              <w:t>2 670</w:t>
            </w:r>
          </w:p>
        </w:tc>
        <w:tc>
          <w:tcPr>
            <w:tcW w:w="1291" w:type="dxa"/>
            <w:tcBorders>
              <w:top w:val="nil"/>
              <w:left w:val="nil"/>
              <w:bottom w:val="single" w:sz="4" w:space="0" w:color="auto"/>
              <w:right w:val="single" w:sz="4" w:space="0" w:color="auto"/>
            </w:tcBorders>
            <w:noWrap/>
            <w:hideMark/>
          </w:tcPr>
          <w:p w14:paraId="4BC8EEB1" w14:textId="77777777" w:rsidR="00B03672" w:rsidRPr="007647EB" w:rsidRDefault="00B03672" w:rsidP="008123FC">
            <w:pPr>
              <w:pStyle w:val="Normal-pool-Table"/>
              <w:jc w:val="right"/>
              <w:rPr>
                <w:szCs w:val="18"/>
              </w:rPr>
            </w:pPr>
            <w:r w:rsidRPr="007647EB">
              <w:rPr>
                <w:color w:val="000000"/>
              </w:rPr>
              <w:t>4 692</w:t>
            </w:r>
          </w:p>
        </w:tc>
      </w:tr>
      <w:tr w:rsidR="00B03672" w:rsidRPr="007647EB" w14:paraId="128DD68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B63B163" w14:textId="338AC1D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A99044B" w14:textId="77777777" w:rsidR="00B03672" w:rsidRPr="007647EB" w:rsidRDefault="00B03672" w:rsidP="008123FC">
            <w:pPr>
              <w:pStyle w:val="Normal-pool-Table"/>
              <w:rPr>
                <w:szCs w:val="18"/>
              </w:rPr>
            </w:pPr>
            <w:r w:rsidRPr="007647EB">
              <w:rPr>
                <w:color w:val="000000"/>
              </w:rPr>
              <w:t>Guyana</w:t>
            </w:r>
          </w:p>
        </w:tc>
        <w:tc>
          <w:tcPr>
            <w:tcW w:w="1395" w:type="dxa"/>
            <w:tcBorders>
              <w:top w:val="nil"/>
              <w:left w:val="nil"/>
              <w:bottom w:val="single" w:sz="4" w:space="0" w:color="auto"/>
              <w:right w:val="single" w:sz="4" w:space="0" w:color="auto"/>
            </w:tcBorders>
            <w:noWrap/>
            <w:hideMark/>
          </w:tcPr>
          <w:p w14:paraId="5B46AF93" w14:textId="77777777" w:rsidR="00B03672" w:rsidRPr="007647EB" w:rsidRDefault="00B03672"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41CA7DD5" w14:textId="77777777" w:rsidR="00B03672" w:rsidRPr="007647EB" w:rsidRDefault="00B03672"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104A2FA5" w14:textId="77777777" w:rsidR="00B03672" w:rsidRPr="007647EB" w:rsidRDefault="00B03672"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09128990" w14:textId="77777777" w:rsidR="00B03672" w:rsidRPr="007647EB" w:rsidRDefault="00B03672"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27340AC4" w14:textId="77777777" w:rsidR="00B03672" w:rsidRPr="007647EB" w:rsidRDefault="00B03672" w:rsidP="008123FC">
            <w:pPr>
              <w:pStyle w:val="Normal-pool-Table"/>
              <w:jc w:val="right"/>
              <w:rPr>
                <w:szCs w:val="18"/>
              </w:rPr>
            </w:pPr>
            <w:r w:rsidRPr="007647EB">
              <w:rPr>
                <w:color w:val="000000"/>
              </w:rPr>
              <w:t>794</w:t>
            </w:r>
          </w:p>
        </w:tc>
      </w:tr>
      <w:tr w:rsidR="00B03672" w:rsidRPr="007647EB" w14:paraId="1022D26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6C8E6D" w14:textId="6D3B42C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DA0D611" w14:textId="77777777" w:rsidR="00B03672" w:rsidRPr="007647EB" w:rsidRDefault="00B03672" w:rsidP="008123FC">
            <w:pPr>
              <w:pStyle w:val="Normal-pool-Table"/>
              <w:rPr>
                <w:szCs w:val="18"/>
              </w:rPr>
            </w:pPr>
            <w:r w:rsidRPr="007647EB">
              <w:rPr>
                <w:color w:val="000000"/>
              </w:rPr>
              <w:t>Honduras</w:t>
            </w:r>
          </w:p>
        </w:tc>
        <w:tc>
          <w:tcPr>
            <w:tcW w:w="1395" w:type="dxa"/>
            <w:tcBorders>
              <w:top w:val="nil"/>
              <w:left w:val="nil"/>
              <w:bottom w:val="single" w:sz="4" w:space="0" w:color="auto"/>
              <w:right w:val="single" w:sz="4" w:space="0" w:color="auto"/>
            </w:tcBorders>
            <w:noWrap/>
            <w:hideMark/>
          </w:tcPr>
          <w:p w14:paraId="4E414EA6" w14:textId="77777777" w:rsidR="00B03672" w:rsidRPr="007647EB" w:rsidRDefault="00B03672" w:rsidP="008123FC">
            <w:pPr>
              <w:pStyle w:val="Normal-pool-Table"/>
              <w:jc w:val="right"/>
              <w:rPr>
                <w:szCs w:val="18"/>
              </w:rPr>
            </w:pPr>
            <w:r w:rsidRPr="007647EB">
              <w:rPr>
                <w:color w:val="000000"/>
              </w:rPr>
              <w:t>0,01</w:t>
            </w:r>
          </w:p>
        </w:tc>
        <w:tc>
          <w:tcPr>
            <w:tcW w:w="1134" w:type="dxa"/>
            <w:tcBorders>
              <w:top w:val="nil"/>
              <w:left w:val="nil"/>
              <w:bottom w:val="single" w:sz="4" w:space="0" w:color="auto"/>
              <w:right w:val="single" w:sz="4" w:space="0" w:color="auto"/>
            </w:tcBorders>
            <w:noWrap/>
            <w:hideMark/>
          </w:tcPr>
          <w:p w14:paraId="3A73158A" w14:textId="77777777" w:rsidR="00B03672" w:rsidRPr="007647EB" w:rsidRDefault="00B03672" w:rsidP="008123FC">
            <w:pPr>
              <w:pStyle w:val="Normal-pool-Table"/>
              <w:jc w:val="right"/>
              <w:rPr>
                <w:szCs w:val="18"/>
              </w:rPr>
            </w:pPr>
            <w:r w:rsidRPr="007647EB">
              <w:rPr>
                <w:color w:val="000000"/>
              </w:rPr>
              <w:t>0,0101</w:t>
            </w:r>
          </w:p>
        </w:tc>
        <w:tc>
          <w:tcPr>
            <w:tcW w:w="1276" w:type="dxa"/>
            <w:tcBorders>
              <w:top w:val="nil"/>
              <w:left w:val="nil"/>
              <w:bottom w:val="single" w:sz="4" w:space="0" w:color="auto"/>
              <w:right w:val="single" w:sz="4" w:space="0" w:color="auto"/>
            </w:tcBorders>
            <w:noWrap/>
            <w:hideMark/>
          </w:tcPr>
          <w:p w14:paraId="6C0E23CD" w14:textId="77777777" w:rsidR="00B03672" w:rsidRPr="007647EB" w:rsidRDefault="00B03672" w:rsidP="008123FC">
            <w:pPr>
              <w:pStyle w:val="Normal-pool-Table"/>
              <w:jc w:val="right"/>
              <w:rPr>
                <w:szCs w:val="18"/>
              </w:rPr>
            </w:pPr>
            <w:r w:rsidRPr="007647EB">
              <w:rPr>
                <w:color w:val="000000"/>
              </w:rPr>
              <w:t>311</w:t>
            </w:r>
          </w:p>
        </w:tc>
        <w:tc>
          <w:tcPr>
            <w:tcW w:w="1276" w:type="dxa"/>
            <w:tcBorders>
              <w:top w:val="nil"/>
              <w:left w:val="nil"/>
              <w:bottom w:val="single" w:sz="4" w:space="0" w:color="auto"/>
              <w:right w:val="single" w:sz="4" w:space="0" w:color="auto"/>
            </w:tcBorders>
            <w:noWrap/>
            <w:hideMark/>
          </w:tcPr>
          <w:p w14:paraId="7580530D" w14:textId="77777777" w:rsidR="00B03672" w:rsidRPr="007647EB" w:rsidRDefault="00B03672" w:rsidP="008123FC">
            <w:pPr>
              <w:pStyle w:val="Normal-pool-Table"/>
              <w:jc w:val="right"/>
              <w:rPr>
                <w:szCs w:val="18"/>
              </w:rPr>
            </w:pPr>
            <w:r w:rsidRPr="007647EB">
              <w:rPr>
                <w:color w:val="000000"/>
              </w:rPr>
              <w:t>411</w:t>
            </w:r>
          </w:p>
        </w:tc>
        <w:tc>
          <w:tcPr>
            <w:tcW w:w="1291" w:type="dxa"/>
            <w:tcBorders>
              <w:top w:val="nil"/>
              <w:left w:val="nil"/>
              <w:bottom w:val="single" w:sz="4" w:space="0" w:color="auto"/>
              <w:right w:val="single" w:sz="4" w:space="0" w:color="auto"/>
            </w:tcBorders>
            <w:noWrap/>
            <w:hideMark/>
          </w:tcPr>
          <w:p w14:paraId="56FF02FF" w14:textId="77777777" w:rsidR="00B03672" w:rsidRPr="007647EB" w:rsidRDefault="00B03672" w:rsidP="008123FC">
            <w:pPr>
              <w:pStyle w:val="Normal-pool-Table"/>
              <w:jc w:val="right"/>
              <w:rPr>
                <w:szCs w:val="18"/>
              </w:rPr>
            </w:pPr>
            <w:r w:rsidRPr="007647EB">
              <w:rPr>
                <w:color w:val="000000"/>
              </w:rPr>
              <w:t>722</w:t>
            </w:r>
          </w:p>
        </w:tc>
      </w:tr>
      <w:tr w:rsidR="00B03672" w:rsidRPr="007647EB" w14:paraId="2FA7119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2EF2E49" w14:textId="157E895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CCF7113" w14:textId="77777777" w:rsidR="00B03672" w:rsidRPr="007647EB" w:rsidRDefault="00B03672" w:rsidP="008123FC">
            <w:pPr>
              <w:pStyle w:val="Normal-pool-Table"/>
              <w:rPr>
                <w:szCs w:val="18"/>
              </w:rPr>
            </w:pPr>
            <w:r w:rsidRPr="007647EB">
              <w:rPr>
                <w:color w:val="000000"/>
              </w:rPr>
              <w:t>Jamaïque</w:t>
            </w:r>
          </w:p>
        </w:tc>
        <w:tc>
          <w:tcPr>
            <w:tcW w:w="1395" w:type="dxa"/>
            <w:tcBorders>
              <w:top w:val="nil"/>
              <w:left w:val="nil"/>
              <w:bottom w:val="single" w:sz="4" w:space="0" w:color="auto"/>
              <w:right w:val="single" w:sz="4" w:space="0" w:color="auto"/>
            </w:tcBorders>
            <w:noWrap/>
            <w:hideMark/>
          </w:tcPr>
          <w:p w14:paraId="4D31B57A" w14:textId="77777777" w:rsidR="00B03672" w:rsidRPr="007647EB" w:rsidRDefault="00B03672" w:rsidP="008123FC">
            <w:pPr>
              <w:pStyle w:val="Normal-pool-Table"/>
              <w:jc w:val="right"/>
              <w:rPr>
                <w:szCs w:val="18"/>
              </w:rPr>
            </w:pPr>
            <w:r w:rsidRPr="007647EB">
              <w:rPr>
                <w:color w:val="000000"/>
              </w:rPr>
              <w:t>0,007</w:t>
            </w:r>
          </w:p>
        </w:tc>
        <w:tc>
          <w:tcPr>
            <w:tcW w:w="1134" w:type="dxa"/>
            <w:tcBorders>
              <w:top w:val="nil"/>
              <w:left w:val="nil"/>
              <w:bottom w:val="single" w:sz="4" w:space="0" w:color="auto"/>
              <w:right w:val="single" w:sz="4" w:space="0" w:color="auto"/>
            </w:tcBorders>
            <w:noWrap/>
            <w:hideMark/>
          </w:tcPr>
          <w:p w14:paraId="070BDF6B"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D86B408"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63B57E88"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44C40956" w14:textId="77777777" w:rsidR="00B03672" w:rsidRPr="007647EB" w:rsidRDefault="00B03672" w:rsidP="008123FC">
            <w:pPr>
              <w:pStyle w:val="Normal-pool-Table"/>
              <w:jc w:val="right"/>
              <w:rPr>
                <w:szCs w:val="18"/>
              </w:rPr>
            </w:pPr>
            <w:r w:rsidRPr="007647EB">
              <w:rPr>
                <w:color w:val="000000"/>
              </w:rPr>
              <w:t>715</w:t>
            </w:r>
          </w:p>
        </w:tc>
      </w:tr>
      <w:tr w:rsidR="00B03672" w:rsidRPr="007647EB" w14:paraId="473F9BC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5AB688" w14:textId="3266AFF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E194FBB" w14:textId="77777777" w:rsidR="00B03672" w:rsidRPr="007647EB" w:rsidRDefault="00B03672" w:rsidP="008123FC">
            <w:pPr>
              <w:pStyle w:val="Normal-pool-Table"/>
              <w:rPr>
                <w:szCs w:val="18"/>
              </w:rPr>
            </w:pPr>
            <w:r w:rsidRPr="007647EB">
              <w:rPr>
                <w:color w:val="000000"/>
              </w:rPr>
              <w:t>Mexique</w:t>
            </w:r>
          </w:p>
        </w:tc>
        <w:tc>
          <w:tcPr>
            <w:tcW w:w="1395" w:type="dxa"/>
            <w:tcBorders>
              <w:top w:val="nil"/>
              <w:left w:val="nil"/>
              <w:bottom w:val="single" w:sz="4" w:space="0" w:color="auto"/>
              <w:right w:val="single" w:sz="4" w:space="0" w:color="auto"/>
            </w:tcBorders>
            <w:noWrap/>
            <w:hideMark/>
          </w:tcPr>
          <w:p w14:paraId="1C1487FC" w14:textId="77777777" w:rsidR="00B03672" w:rsidRPr="007647EB" w:rsidRDefault="00B03672" w:rsidP="008123FC">
            <w:pPr>
              <w:pStyle w:val="Normal-pool-Table"/>
              <w:jc w:val="right"/>
              <w:rPr>
                <w:szCs w:val="18"/>
              </w:rPr>
            </w:pPr>
            <w:r w:rsidRPr="007647EB">
              <w:rPr>
                <w:color w:val="000000"/>
              </w:rPr>
              <w:t>1,137</w:t>
            </w:r>
          </w:p>
        </w:tc>
        <w:tc>
          <w:tcPr>
            <w:tcW w:w="1134" w:type="dxa"/>
            <w:tcBorders>
              <w:top w:val="nil"/>
              <w:left w:val="nil"/>
              <w:bottom w:val="single" w:sz="4" w:space="0" w:color="auto"/>
              <w:right w:val="single" w:sz="4" w:space="0" w:color="auto"/>
            </w:tcBorders>
            <w:noWrap/>
            <w:hideMark/>
          </w:tcPr>
          <w:p w14:paraId="5AB19A39" w14:textId="77777777" w:rsidR="00B03672" w:rsidRPr="007647EB" w:rsidRDefault="00B03672" w:rsidP="008123FC">
            <w:pPr>
              <w:pStyle w:val="Normal-pool-Table"/>
              <w:jc w:val="right"/>
              <w:rPr>
                <w:szCs w:val="18"/>
              </w:rPr>
            </w:pPr>
            <w:r w:rsidRPr="007647EB">
              <w:rPr>
                <w:color w:val="000000"/>
              </w:rPr>
              <w:t>1,1476</w:t>
            </w:r>
          </w:p>
        </w:tc>
        <w:tc>
          <w:tcPr>
            <w:tcW w:w="1276" w:type="dxa"/>
            <w:tcBorders>
              <w:top w:val="nil"/>
              <w:left w:val="nil"/>
              <w:bottom w:val="single" w:sz="4" w:space="0" w:color="auto"/>
              <w:right w:val="single" w:sz="4" w:space="0" w:color="auto"/>
            </w:tcBorders>
            <w:noWrap/>
            <w:hideMark/>
          </w:tcPr>
          <w:p w14:paraId="6A766814" w14:textId="77777777" w:rsidR="00B03672" w:rsidRPr="007647EB" w:rsidRDefault="00B03672" w:rsidP="008123FC">
            <w:pPr>
              <w:pStyle w:val="Normal-pool-Table"/>
              <w:jc w:val="right"/>
              <w:rPr>
                <w:szCs w:val="18"/>
              </w:rPr>
            </w:pPr>
            <w:r w:rsidRPr="007647EB">
              <w:rPr>
                <w:color w:val="000000"/>
              </w:rPr>
              <w:t>35 384</w:t>
            </w:r>
          </w:p>
        </w:tc>
        <w:tc>
          <w:tcPr>
            <w:tcW w:w="1276" w:type="dxa"/>
            <w:tcBorders>
              <w:top w:val="nil"/>
              <w:left w:val="nil"/>
              <w:bottom w:val="single" w:sz="4" w:space="0" w:color="auto"/>
              <w:right w:val="single" w:sz="4" w:space="0" w:color="auto"/>
            </w:tcBorders>
            <w:noWrap/>
            <w:hideMark/>
          </w:tcPr>
          <w:p w14:paraId="5B83AC45" w14:textId="77777777" w:rsidR="00B03672" w:rsidRPr="007647EB" w:rsidRDefault="00B03672" w:rsidP="008123FC">
            <w:pPr>
              <w:pStyle w:val="Normal-pool-Table"/>
              <w:jc w:val="right"/>
              <w:rPr>
                <w:szCs w:val="18"/>
              </w:rPr>
            </w:pPr>
            <w:r w:rsidRPr="007647EB">
              <w:rPr>
                <w:color w:val="000000"/>
              </w:rPr>
              <w:t>46 698</w:t>
            </w:r>
          </w:p>
        </w:tc>
        <w:tc>
          <w:tcPr>
            <w:tcW w:w="1291" w:type="dxa"/>
            <w:tcBorders>
              <w:top w:val="nil"/>
              <w:left w:val="nil"/>
              <w:bottom w:val="single" w:sz="4" w:space="0" w:color="auto"/>
              <w:right w:val="single" w:sz="4" w:space="0" w:color="auto"/>
            </w:tcBorders>
            <w:noWrap/>
            <w:hideMark/>
          </w:tcPr>
          <w:p w14:paraId="6574A735" w14:textId="77777777" w:rsidR="00B03672" w:rsidRPr="007647EB" w:rsidRDefault="00B03672" w:rsidP="008123FC">
            <w:pPr>
              <w:pStyle w:val="Normal-pool-Table"/>
              <w:jc w:val="right"/>
              <w:rPr>
                <w:szCs w:val="18"/>
              </w:rPr>
            </w:pPr>
            <w:r w:rsidRPr="007647EB">
              <w:rPr>
                <w:color w:val="000000"/>
              </w:rPr>
              <w:t>82 082</w:t>
            </w:r>
          </w:p>
        </w:tc>
      </w:tr>
      <w:tr w:rsidR="00B03672" w:rsidRPr="007647EB" w14:paraId="1D77CDD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E482756" w14:textId="287A1BE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11A0CB8" w14:textId="77777777" w:rsidR="00B03672" w:rsidRPr="007647EB" w:rsidRDefault="00B03672" w:rsidP="008123FC">
            <w:pPr>
              <w:pStyle w:val="Normal-pool-Table"/>
              <w:rPr>
                <w:szCs w:val="18"/>
              </w:rPr>
            </w:pPr>
            <w:r w:rsidRPr="007647EB">
              <w:rPr>
                <w:color w:val="000000"/>
              </w:rPr>
              <w:t>Nicaragua</w:t>
            </w:r>
          </w:p>
        </w:tc>
        <w:tc>
          <w:tcPr>
            <w:tcW w:w="1395" w:type="dxa"/>
            <w:tcBorders>
              <w:top w:val="nil"/>
              <w:left w:val="nil"/>
              <w:bottom w:val="single" w:sz="4" w:space="0" w:color="auto"/>
              <w:right w:val="single" w:sz="4" w:space="0" w:color="auto"/>
            </w:tcBorders>
            <w:noWrap/>
            <w:hideMark/>
          </w:tcPr>
          <w:p w14:paraId="3F66E010" w14:textId="77777777" w:rsidR="00B03672" w:rsidRPr="007647EB" w:rsidRDefault="00B03672" w:rsidP="008123FC">
            <w:pPr>
              <w:pStyle w:val="Normal-pool-Table"/>
              <w:jc w:val="right"/>
              <w:rPr>
                <w:szCs w:val="18"/>
              </w:rPr>
            </w:pPr>
            <w:r w:rsidRPr="007647EB">
              <w:rPr>
                <w:color w:val="000000"/>
              </w:rPr>
              <w:t>0,004</w:t>
            </w:r>
          </w:p>
        </w:tc>
        <w:tc>
          <w:tcPr>
            <w:tcW w:w="1134" w:type="dxa"/>
            <w:tcBorders>
              <w:top w:val="nil"/>
              <w:left w:val="nil"/>
              <w:bottom w:val="single" w:sz="4" w:space="0" w:color="auto"/>
              <w:right w:val="single" w:sz="4" w:space="0" w:color="auto"/>
            </w:tcBorders>
            <w:noWrap/>
            <w:hideMark/>
          </w:tcPr>
          <w:p w14:paraId="68AE8AE5"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0B135F2B"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01369E49"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76309B3" w14:textId="77777777" w:rsidR="00B03672" w:rsidRPr="007647EB" w:rsidRDefault="00B03672" w:rsidP="008123FC">
            <w:pPr>
              <w:pStyle w:val="Normal-pool-Table"/>
              <w:jc w:val="right"/>
              <w:rPr>
                <w:szCs w:val="18"/>
              </w:rPr>
            </w:pPr>
            <w:r w:rsidRPr="007647EB">
              <w:rPr>
                <w:color w:val="000000"/>
              </w:rPr>
              <w:t>715</w:t>
            </w:r>
          </w:p>
        </w:tc>
      </w:tr>
      <w:tr w:rsidR="00B03672" w:rsidRPr="007647EB" w14:paraId="5C7253C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8200D08" w14:textId="6F8E5AF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0A0A0EC" w14:textId="77777777" w:rsidR="00B03672" w:rsidRPr="007647EB" w:rsidRDefault="00B03672" w:rsidP="008123FC">
            <w:pPr>
              <w:pStyle w:val="Normal-pool-Table"/>
              <w:rPr>
                <w:szCs w:val="18"/>
              </w:rPr>
            </w:pPr>
            <w:r w:rsidRPr="007647EB">
              <w:rPr>
                <w:color w:val="000000"/>
              </w:rPr>
              <w:t>Panama</w:t>
            </w:r>
          </w:p>
        </w:tc>
        <w:tc>
          <w:tcPr>
            <w:tcW w:w="1395" w:type="dxa"/>
            <w:tcBorders>
              <w:top w:val="nil"/>
              <w:left w:val="nil"/>
              <w:bottom w:val="single" w:sz="4" w:space="0" w:color="auto"/>
              <w:right w:val="single" w:sz="4" w:space="0" w:color="auto"/>
            </w:tcBorders>
            <w:noWrap/>
            <w:hideMark/>
          </w:tcPr>
          <w:p w14:paraId="4D4A319F" w14:textId="77777777" w:rsidR="00B03672" w:rsidRPr="007647EB" w:rsidRDefault="00B03672" w:rsidP="008123FC">
            <w:pPr>
              <w:pStyle w:val="Normal-pool-Table"/>
              <w:jc w:val="right"/>
              <w:rPr>
                <w:szCs w:val="18"/>
              </w:rPr>
            </w:pPr>
            <w:r w:rsidRPr="007647EB">
              <w:rPr>
                <w:color w:val="000000"/>
              </w:rPr>
              <w:t>0,086</w:t>
            </w:r>
          </w:p>
        </w:tc>
        <w:tc>
          <w:tcPr>
            <w:tcW w:w="1134" w:type="dxa"/>
            <w:tcBorders>
              <w:top w:val="nil"/>
              <w:left w:val="nil"/>
              <w:bottom w:val="single" w:sz="4" w:space="0" w:color="auto"/>
              <w:right w:val="single" w:sz="4" w:space="0" w:color="auto"/>
            </w:tcBorders>
            <w:noWrap/>
            <w:hideMark/>
          </w:tcPr>
          <w:p w14:paraId="325E8594" w14:textId="77777777" w:rsidR="00B03672" w:rsidRPr="007647EB" w:rsidRDefault="00B03672" w:rsidP="008123FC">
            <w:pPr>
              <w:pStyle w:val="Normal-pool-Table"/>
              <w:jc w:val="right"/>
              <w:rPr>
                <w:szCs w:val="18"/>
              </w:rPr>
            </w:pPr>
            <w:r w:rsidRPr="007647EB">
              <w:rPr>
                <w:color w:val="000000"/>
              </w:rPr>
              <w:t>0,0868</w:t>
            </w:r>
          </w:p>
        </w:tc>
        <w:tc>
          <w:tcPr>
            <w:tcW w:w="1276" w:type="dxa"/>
            <w:tcBorders>
              <w:top w:val="nil"/>
              <w:left w:val="nil"/>
              <w:bottom w:val="single" w:sz="4" w:space="0" w:color="auto"/>
              <w:right w:val="single" w:sz="4" w:space="0" w:color="auto"/>
            </w:tcBorders>
            <w:noWrap/>
            <w:hideMark/>
          </w:tcPr>
          <w:p w14:paraId="6F3754A2" w14:textId="77777777" w:rsidR="00B03672" w:rsidRPr="007647EB" w:rsidRDefault="00B03672" w:rsidP="008123FC">
            <w:pPr>
              <w:pStyle w:val="Normal-pool-Table"/>
              <w:jc w:val="right"/>
              <w:rPr>
                <w:szCs w:val="18"/>
              </w:rPr>
            </w:pPr>
            <w:r w:rsidRPr="007647EB">
              <w:rPr>
                <w:color w:val="000000"/>
              </w:rPr>
              <w:t>2 676</w:t>
            </w:r>
          </w:p>
        </w:tc>
        <w:tc>
          <w:tcPr>
            <w:tcW w:w="1276" w:type="dxa"/>
            <w:tcBorders>
              <w:top w:val="nil"/>
              <w:left w:val="nil"/>
              <w:bottom w:val="single" w:sz="4" w:space="0" w:color="auto"/>
              <w:right w:val="single" w:sz="4" w:space="0" w:color="auto"/>
            </w:tcBorders>
            <w:noWrap/>
            <w:hideMark/>
          </w:tcPr>
          <w:p w14:paraId="38B6AAD6" w14:textId="77777777" w:rsidR="00B03672" w:rsidRPr="007647EB" w:rsidRDefault="00B03672" w:rsidP="008123FC">
            <w:pPr>
              <w:pStyle w:val="Normal-pool-Table"/>
              <w:jc w:val="right"/>
              <w:rPr>
                <w:szCs w:val="18"/>
              </w:rPr>
            </w:pPr>
            <w:r w:rsidRPr="007647EB">
              <w:rPr>
                <w:color w:val="000000"/>
              </w:rPr>
              <w:t>3 532</w:t>
            </w:r>
          </w:p>
        </w:tc>
        <w:tc>
          <w:tcPr>
            <w:tcW w:w="1291" w:type="dxa"/>
            <w:tcBorders>
              <w:top w:val="nil"/>
              <w:left w:val="nil"/>
              <w:bottom w:val="single" w:sz="4" w:space="0" w:color="auto"/>
              <w:right w:val="single" w:sz="4" w:space="0" w:color="auto"/>
            </w:tcBorders>
            <w:noWrap/>
            <w:hideMark/>
          </w:tcPr>
          <w:p w14:paraId="52C4A171" w14:textId="77777777" w:rsidR="00B03672" w:rsidRPr="007647EB" w:rsidRDefault="00B03672" w:rsidP="008123FC">
            <w:pPr>
              <w:pStyle w:val="Normal-pool-Table"/>
              <w:jc w:val="right"/>
              <w:rPr>
                <w:szCs w:val="18"/>
              </w:rPr>
            </w:pPr>
            <w:r w:rsidRPr="007647EB">
              <w:rPr>
                <w:color w:val="000000"/>
              </w:rPr>
              <w:t>6 209</w:t>
            </w:r>
          </w:p>
        </w:tc>
      </w:tr>
      <w:tr w:rsidR="00B03672" w:rsidRPr="007647EB" w14:paraId="6E8D937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903D594" w14:textId="4343B57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32546AA" w14:textId="77777777" w:rsidR="00B03672" w:rsidRPr="007647EB" w:rsidRDefault="00B03672" w:rsidP="008123FC">
            <w:pPr>
              <w:pStyle w:val="Normal-pool-Table"/>
              <w:rPr>
                <w:szCs w:val="18"/>
              </w:rPr>
            </w:pPr>
            <w:r w:rsidRPr="007647EB">
              <w:rPr>
                <w:color w:val="000000"/>
              </w:rPr>
              <w:t>Paraguay</w:t>
            </w:r>
          </w:p>
        </w:tc>
        <w:tc>
          <w:tcPr>
            <w:tcW w:w="1395" w:type="dxa"/>
            <w:tcBorders>
              <w:top w:val="nil"/>
              <w:left w:val="nil"/>
              <w:bottom w:val="single" w:sz="4" w:space="0" w:color="auto"/>
              <w:right w:val="single" w:sz="4" w:space="0" w:color="auto"/>
            </w:tcBorders>
            <w:noWrap/>
            <w:hideMark/>
          </w:tcPr>
          <w:p w14:paraId="1814AE91" w14:textId="77777777" w:rsidR="00B03672" w:rsidRPr="007647EB" w:rsidRDefault="00B03672" w:rsidP="008123FC">
            <w:pPr>
              <w:pStyle w:val="Normal-pool-Table"/>
              <w:jc w:val="right"/>
              <w:rPr>
                <w:szCs w:val="18"/>
              </w:rPr>
            </w:pPr>
            <w:r w:rsidRPr="007647EB">
              <w:rPr>
                <w:color w:val="000000"/>
              </w:rPr>
              <w:t>0,023</w:t>
            </w:r>
          </w:p>
        </w:tc>
        <w:tc>
          <w:tcPr>
            <w:tcW w:w="1134" w:type="dxa"/>
            <w:tcBorders>
              <w:top w:val="nil"/>
              <w:left w:val="nil"/>
              <w:bottom w:val="single" w:sz="4" w:space="0" w:color="auto"/>
              <w:right w:val="single" w:sz="4" w:space="0" w:color="auto"/>
            </w:tcBorders>
            <w:noWrap/>
            <w:hideMark/>
          </w:tcPr>
          <w:p w14:paraId="6C79BD1A" w14:textId="77777777" w:rsidR="00B03672" w:rsidRPr="007647EB" w:rsidRDefault="00B03672" w:rsidP="008123FC">
            <w:pPr>
              <w:pStyle w:val="Normal-pool-Table"/>
              <w:jc w:val="right"/>
              <w:rPr>
                <w:szCs w:val="18"/>
              </w:rPr>
            </w:pPr>
            <w:r w:rsidRPr="007647EB">
              <w:rPr>
                <w:color w:val="000000"/>
              </w:rPr>
              <w:t>0,0232</w:t>
            </w:r>
          </w:p>
        </w:tc>
        <w:tc>
          <w:tcPr>
            <w:tcW w:w="1276" w:type="dxa"/>
            <w:tcBorders>
              <w:top w:val="nil"/>
              <w:left w:val="nil"/>
              <w:bottom w:val="single" w:sz="4" w:space="0" w:color="auto"/>
              <w:right w:val="single" w:sz="4" w:space="0" w:color="auto"/>
            </w:tcBorders>
            <w:noWrap/>
            <w:hideMark/>
          </w:tcPr>
          <w:p w14:paraId="155872C7" w14:textId="77777777" w:rsidR="00B03672" w:rsidRPr="007647EB" w:rsidRDefault="00B03672" w:rsidP="008123FC">
            <w:pPr>
              <w:pStyle w:val="Normal-pool-Table"/>
              <w:jc w:val="right"/>
              <w:rPr>
                <w:szCs w:val="18"/>
              </w:rPr>
            </w:pPr>
            <w:r w:rsidRPr="007647EB">
              <w:rPr>
                <w:color w:val="000000"/>
              </w:rPr>
              <w:t>716</w:t>
            </w:r>
          </w:p>
        </w:tc>
        <w:tc>
          <w:tcPr>
            <w:tcW w:w="1276" w:type="dxa"/>
            <w:tcBorders>
              <w:top w:val="nil"/>
              <w:left w:val="nil"/>
              <w:bottom w:val="single" w:sz="4" w:space="0" w:color="auto"/>
              <w:right w:val="single" w:sz="4" w:space="0" w:color="auto"/>
            </w:tcBorders>
            <w:noWrap/>
            <w:hideMark/>
          </w:tcPr>
          <w:p w14:paraId="7D37F828" w14:textId="77777777" w:rsidR="00B03672" w:rsidRPr="007647EB" w:rsidRDefault="00B03672" w:rsidP="008123FC">
            <w:pPr>
              <w:pStyle w:val="Normal-pool-Table"/>
              <w:jc w:val="right"/>
              <w:rPr>
                <w:szCs w:val="18"/>
              </w:rPr>
            </w:pPr>
            <w:r w:rsidRPr="007647EB">
              <w:rPr>
                <w:color w:val="000000"/>
              </w:rPr>
              <w:t>945</w:t>
            </w:r>
          </w:p>
        </w:tc>
        <w:tc>
          <w:tcPr>
            <w:tcW w:w="1291" w:type="dxa"/>
            <w:tcBorders>
              <w:top w:val="nil"/>
              <w:left w:val="nil"/>
              <w:bottom w:val="single" w:sz="4" w:space="0" w:color="auto"/>
              <w:right w:val="single" w:sz="4" w:space="0" w:color="auto"/>
            </w:tcBorders>
            <w:noWrap/>
            <w:hideMark/>
          </w:tcPr>
          <w:p w14:paraId="67381BC0" w14:textId="77777777" w:rsidR="00B03672" w:rsidRPr="007647EB" w:rsidRDefault="00B03672" w:rsidP="008123FC">
            <w:pPr>
              <w:pStyle w:val="Normal-pool-Table"/>
              <w:jc w:val="right"/>
              <w:rPr>
                <w:szCs w:val="18"/>
              </w:rPr>
            </w:pPr>
            <w:r w:rsidRPr="007647EB">
              <w:rPr>
                <w:color w:val="000000"/>
              </w:rPr>
              <w:t>1 660</w:t>
            </w:r>
          </w:p>
        </w:tc>
      </w:tr>
      <w:tr w:rsidR="00B03672" w:rsidRPr="007647EB" w14:paraId="5BC08CF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85EA8E6" w14:textId="1794FE2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2825EC9" w14:textId="77777777" w:rsidR="00B03672" w:rsidRPr="007647EB" w:rsidRDefault="00B03672" w:rsidP="008123FC">
            <w:pPr>
              <w:pStyle w:val="Normal-pool-Table"/>
              <w:rPr>
                <w:szCs w:val="18"/>
              </w:rPr>
            </w:pPr>
            <w:r w:rsidRPr="007647EB">
              <w:rPr>
                <w:color w:val="000000"/>
              </w:rPr>
              <w:t>Pérou</w:t>
            </w:r>
          </w:p>
        </w:tc>
        <w:tc>
          <w:tcPr>
            <w:tcW w:w="1395" w:type="dxa"/>
            <w:tcBorders>
              <w:top w:val="nil"/>
              <w:left w:val="nil"/>
              <w:bottom w:val="single" w:sz="4" w:space="0" w:color="auto"/>
              <w:right w:val="single" w:sz="4" w:space="0" w:color="auto"/>
            </w:tcBorders>
            <w:noWrap/>
            <w:hideMark/>
          </w:tcPr>
          <w:p w14:paraId="0E7B400E" w14:textId="77777777" w:rsidR="00B03672" w:rsidRPr="007647EB" w:rsidRDefault="00B03672" w:rsidP="008123FC">
            <w:pPr>
              <w:pStyle w:val="Normal-pool-Table"/>
              <w:jc w:val="right"/>
              <w:rPr>
                <w:szCs w:val="18"/>
              </w:rPr>
            </w:pPr>
            <w:r w:rsidRPr="007647EB">
              <w:rPr>
                <w:color w:val="000000"/>
              </w:rPr>
              <w:t>0,145</w:t>
            </w:r>
          </w:p>
        </w:tc>
        <w:tc>
          <w:tcPr>
            <w:tcW w:w="1134" w:type="dxa"/>
            <w:tcBorders>
              <w:top w:val="nil"/>
              <w:left w:val="nil"/>
              <w:bottom w:val="single" w:sz="4" w:space="0" w:color="auto"/>
              <w:right w:val="single" w:sz="4" w:space="0" w:color="auto"/>
            </w:tcBorders>
            <w:noWrap/>
            <w:hideMark/>
          </w:tcPr>
          <w:p w14:paraId="29551674" w14:textId="77777777" w:rsidR="00B03672" w:rsidRPr="007647EB" w:rsidRDefault="00B03672" w:rsidP="008123FC">
            <w:pPr>
              <w:pStyle w:val="Normal-pool-Table"/>
              <w:jc w:val="right"/>
              <w:rPr>
                <w:szCs w:val="18"/>
              </w:rPr>
            </w:pPr>
            <w:r w:rsidRPr="007647EB">
              <w:rPr>
                <w:color w:val="000000"/>
              </w:rPr>
              <w:t>0,1463</w:t>
            </w:r>
          </w:p>
        </w:tc>
        <w:tc>
          <w:tcPr>
            <w:tcW w:w="1276" w:type="dxa"/>
            <w:tcBorders>
              <w:top w:val="nil"/>
              <w:left w:val="nil"/>
              <w:bottom w:val="single" w:sz="4" w:space="0" w:color="auto"/>
              <w:right w:val="single" w:sz="4" w:space="0" w:color="auto"/>
            </w:tcBorders>
            <w:noWrap/>
            <w:hideMark/>
          </w:tcPr>
          <w:p w14:paraId="404B30EA" w14:textId="77777777" w:rsidR="00B03672" w:rsidRPr="007647EB" w:rsidRDefault="00B03672" w:rsidP="008123FC">
            <w:pPr>
              <w:pStyle w:val="Normal-pool-Table"/>
              <w:jc w:val="right"/>
              <w:rPr>
                <w:szCs w:val="18"/>
              </w:rPr>
            </w:pPr>
            <w:r w:rsidRPr="007647EB">
              <w:rPr>
                <w:color w:val="000000"/>
              </w:rPr>
              <w:t>4 512</w:t>
            </w:r>
          </w:p>
        </w:tc>
        <w:tc>
          <w:tcPr>
            <w:tcW w:w="1276" w:type="dxa"/>
            <w:tcBorders>
              <w:top w:val="nil"/>
              <w:left w:val="nil"/>
              <w:bottom w:val="single" w:sz="4" w:space="0" w:color="auto"/>
              <w:right w:val="single" w:sz="4" w:space="0" w:color="auto"/>
            </w:tcBorders>
            <w:noWrap/>
            <w:hideMark/>
          </w:tcPr>
          <w:p w14:paraId="1FA05382" w14:textId="77777777" w:rsidR="00B03672" w:rsidRPr="007647EB" w:rsidRDefault="00B03672" w:rsidP="008123FC">
            <w:pPr>
              <w:pStyle w:val="Normal-pool-Table"/>
              <w:jc w:val="right"/>
              <w:rPr>
                <w:szCs w:val="18"/>
              </w:rPr>
            </w:pPr>
            <w:r w:rsidRPr="007647EB">
              <w:rPr>
                <w:color w:val="000000"/>
              </w:rPr>
              <w:t>5 955</w:t>
            </w:r>
          </w:p>
        </w:tc>
        <w:tc>
          <w:tcPr>
            <w:tcW w:w="1291" w:type="dxa"/>
            <w:tcBorders>
              <w:top w:val="nil"/>
              <w:left w:val="nil"/>
              <w:bottom w:val="single" w:sz="4" w:space="0" w:color="auto"/>
              <w:right w:val="single" w:sz="4" w:space="0" w:color="auto"/>
            </w:tcBorders>
            <w:noWrap/>
            <w:hideMark/>
          </w:tcPr>
          <w:p w14:paraId="64B0552D" w14:textId="77777777" w:rsidR="00B03672" w:rsidRPr="007647EB" w:rsidRDefault="00B03672" w:rsidP="008123FC">
            <w:pPr>
              <w:pStyle w:val="Normal-pool-Table"/>
              <w:jc w:val="right"/>
              <w:rPr>
                <w:szCs w:val="18"/>
              </w:rPr>
            </w:pPr>
            <w:r w:rsidRPr="007647EB">
              <w:rPr>
                <w:color w:val="000000"/>
              </w:rPr>
              <w:t>10 468</w:t>
            </w:r>
          </w:p>
        </w:tc>
      </w:tr>
      <w:tr w:rsidR="00B03672" w:rsidRPr="007647EB" w14:paraId="19D4763E"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4ECD5F9" w14:textId="49E7F8C9"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CD956B3" w14:textId="77777777" w:rsidR="00B03672" w:rsidRPr="007647EB" w:rsidRDefault="00B03672" w:rsidP="008123FC">
            <w:pPr>
              <w:pStyle w:val="Normal-pool-Table"/>
              <w:rPr>
                <w:szCs w:val="18"/>
              </w:rPr>
            </w:pPr>
            <w:r w:rsidRPr="007647EB">
              <w:rPr>
                <w:color w:val="000000"/>
              </w:rPr>
              <w:t>République dominicaine</w:t>
            </w:r>
          </w:p>
        </w:tc>
        <w:tc>
          <w:tcPr>
            <w:tcW w:w="1395" w:type="dxa"/>
            <w:tcBorders>
              <w:top w:val="nil"/>
              <w:left w:val="nil"/>
              <w:bottom w:val="single" w:sz="4" w:space="0" w:color="auto"/>
              <w:right w:val="single" w:sz="4" w:space="0" w:color="auto"/>
            </w:tcBorders>
            <w:noWrap/>
            <w:hideMark/>
          </w:tcPr>
          <w:p w14:paraId="08DFCF12" w14:textId="77777777" w:rsidR="00B03672" w:rsidRPr="007647EB" w:rsidRDefault="00B03672" w:rsidP="008123FC">
            <w:pPr>
              <w:pStyle w:val="Normal-pool-Table"/>
              <w:jc w:val="right"/>
              <w:rPr>
                <w:szCs w:val="18"/>
              </w:rPr>
            </w:pPr>
            <w:r w:rsidRPr="007647EB">
              <w:rPr>
                <w:color w:val="000000"/>
              </w:rPr>
              <w:t>0,069</w:t>
            </w:r>
          </w:p>
        </w:tc>
        <w:tc>
          <w:tcPr>
            <w:tcW w:w="1134" w:type="dxa"/>
            <w:tcBorders>
              <w:top w:val="nil"/>
              <w:left w:val="nil"/>
              <w:bottom w:val="single" w:sz="4" w:space="0" w:color="auto"/>
              <w:right w:val="single" w:sz="4" w:space="0" w:color="auto"/>
            </w:tcBorders>
            <w:noWrap/>
            <w:hideMark/>
          </w:tcPr>
          <w:p w14:paraId="0D17A84E" w14:textId="77777777" w:rsidR="00B03672" w:rsidRPr="007647EB" w:rsidRDefault="00B03672" w:rsidP="008123FC">
            <w:pPr>
              <w:pStyle w:val="Normal-pool-Table"/>
              <w:jc w:val="right"/>
              <w:rPr>
                <w:szCs w:val="18"/>
              </w:rPr>
            </w:pPr>
            <w:r w:rsidRPr="007647EB">
              <w:rPr>
                <w:color w:val="000000"/>
              </w:rPr>
              <w:t>0,0696</w:t>
            </w:r>
          </w:p>
        </w:tc>
        <w:tc>
          <w:tcPr>
            <w:tcW w:w="1276" w:type="dxa"/>
            <w:tcBorders>
              <w:top w:val="nil"/>
              <w:left w:val="nil"/>
              <w:bottom w:val="single" w:sz="4" w:space="0" w:color="auto"/>
              <w:right w:val="single" w:sz="4" w:space="0" w:color="auto"/>
            </w:tcBorders>
            <w:noWrap/>
            <w:hideMark/>
          </w:tcPr>
          <w:p w14:paraId="5FA065BE" w14:textId="77777777" w:rsidR="00B03672" w:rsidRPr="007647EB" w:rsidRDefault="00B03672" w:rsidP="008123FC">
            <w:pPr>
              <w:pStyle w:val="Normal-pool-Table"/>
              <w:jc w:val="right"/>
              <w:rPr>
                <w:szCs w:val="18"/>
              </w:rPr>
            </w:pPr>
            <w:r w:rsidRPr="007647EB">
              <w:rPr>
                <w:color w:val="000000"/>
              </w:rPr>
              <w:t>2 147</w:t>
            </w:r>
          </w:p>
        </w:tc>
        <w:tc>
          <w:tcPr>
            <w:tcW w:w="1276" w:type="dxa"/>
            <w:tcBorders>
              <w:top w:val="nil"/>
              <w:left w:val="nil"/>
              <w:bottom w:val="single" w:sz="4" w:space="0" w:color="auto"/>
              <w:right w:val="single" w:sz="4" w:space="0" w:color="auto"/>
            </w:tcBorders>
            <w:noWrap/>
            <w:hideMark/>
          </w:tcPr>
          <w:p w14:paraId="276C06B6" w14:textId="77777777" w:rsidR="00B03672" w:rsidRPr="007647EB" w:rsidRDefault="00B03672" w:rsidP="008123FC">
            <w:pPr>
              <w:pStyle w:val="Normal-pool-Table"/>
              <w:jc w:val="right"/>
              <w:rPr>
                <w:szCs w:val="18"/>
              </w:rPr>
            </w:pPr>
            <w:r w:rsidRPr="007647EB">
              <w:rPr>
                <w:color w:val="000000"/>
              </w:rPr>
              <w:t>2 834</w:t>
            </w:r>
          </w:p>
        </w:tc>
        <w:tc>
          <w:tcPr>
            <w:tcW w:w="1291" w:type="dxa"/>
            <w:tcBorders>
              <w:top w:val="nil"/>
              <w:left w:val="nil"/>
              <w:bottom w:val="single" w:sz="4" w:space="0" w:color="auto"/>
              <w:right w:val="single" w:sz="4" w:space="0" w:color="auto"/>
            </w:tcBorders>
            <w:noWrap/>
            <w:hideMark/>
          </w:tcPr>
          <w:p w14:paraId="764A420A" w14:textId="77777777" w:rsidR="00B03672" w:rsidRPr="007647EB" w:rsidRDefault="00B03672" w:rsidP="008123FC">
            <w:pPr>
              <w:pStyle w:val="Normal-pool-Table"/>
              <w:jc w:val="right"/>
              <w:rPr>
                <w:szCs w:val="18"/>
              </w:rPr>
            </w:pPr>
            <w:r w:rsidRPr="007647EB">
              <w:rPr>
                <w:color w:val="000000"/>
              </w:rPr>
              <w:t>4 981</w:t>
            </w:r>
          </w:p>
        </w:tc>
      </w:tr>
      <w:tr w:rsidR="00B03672" w:rsidRPr="007647EB" w14:paraId="72828AA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6C8DEB3" w14:textId="63401B3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3143904" w14:textId="77777777" w:rsidR="00B03672" w:rsidRPr="007647EB" w:rsidRDefault="00B03672" w:rsidP="008123FC">
            <w:pPr>
              <w:pStyle w:val="Normal-pool-Table"/>
              <w:rPr>
                <w:szCs w:val="18"/>
              </w:rPr>
            </w:pPr>
            <w:r w:rsidRPr="007647EB">
              <w:rPr>
                <w:color w:val="000000"/>
              </w:rPr>
              <w:t>Sainte-Lucie</w:t>
            </w:r>
          </w:p>
        </w:tc>
        <w:tc>
          <w:tcPr>
            <w:tcW w:w="1395" w:type="dxa"/>
            <w:tcBorders>
              <w:top w:val="nil"/>
              <w:left w:val="nil"/>
              <w:bottom w:val="single" w:sz="4" w:space="0" w:color="auto"/>
              <w:right w:val="single" w:sz="4" w:space="0" w:color="auto"/>
            </w:tcBorders>
            <w:noWrap/>
            <w:hideMark/>
          </w:tcPr>
          <w:p w14:paraId="19DC2CF1" w14:textId="77777777" w:rsidR="00B03672" w:rsidRPr="007647EB" w:rsidRDefault="00B03672"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2EB4CEE7"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97233FB"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D4109A3"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231B89CF" w14:textId="77777777" w:rsidR="00B03672" w:rsidRPr="007647EB" w:rsidRDefault="00B03672" w:rsidP="008123FC">
            <w:pPr>
              <w:pStyle w:val="Normal-pool-Table"/>
              <w:jc w:val="right"/>
              <w:rPr>
                <w:szCs w:val="18"/>
              </w:rPr>
            </w:pPr>
            <w:r w:rsidRPr="007647EB">
              <w:rPr>
                <w:color w:val="000000"/>
              </w:rPr>
              <w:t>715</w:t>
            </w:r>
          </w:p>
        </w:tc>
      </w:tr>
      <w:tr w:rsidR="00B03672" w:rsidRPr="007647EB" w14:paraId="2573219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50D7126" w14:textId="2D6047C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FBA81DE" w14:textId="77777777" w:rsidR="00B03672" w:rsidRPr="007647EB" w:rsidRDefault="00B03672" w:rsidP="008123FC">
            <w:pPr>
              <w:pStyle w:val="Normal-pool-Table"/>
              <w:rPr>
                <w:szCs w:val="18"/>
              </w:rPr>
            </w:pPr>
            <w:r w:rsidRPr="007647EB">
              <w:rPr>
                <w:color w:val="000000"/>
              </w:rPr>
              <w:t>Saint-Kitts-et-Nevis</w:t>
            </w:r>
          </w:p>
        </w:tc>
        <w:tc>
          <w:tcPr>
            <w:tcW w:w="1395" w:type="dxa"/>
            <w:tcBorders>
              <w:top w:val="nil"/>
              <w:left w:val="nil"/>
              <w:bottom w:val="single" w:sz="4" w:space="0" w:color="auto"/>
              <w:right w:val="single" w:sz="4" w:space="0" w:color="auto"/>
            </w:tcBorders>
            <w:noWrap/>
            <w:hideMark/>
          </w:tcPr>
          <w:p w14:paraId="7114EAED"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hideMark/>
          </w:tcPr>
          <w:p w14:paraId="4A8578A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7D72E141"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B38701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7F316816" w14:textId="77777777" w:rsidR="00B03672" w:rsidRPr="007647EB" w:rsidRDefault="00B03672" w:rsidP="008123FC">
            <w:pPr>
              <w:pStyle w:val="Normal-pool-Table"/>
              <w:jc w:val="right"/>
              <w:rPr>
                <w:szCs w:val="18"/>
              </w:rPr>
            </w:pPr>
            <w:r w:rsidRPr="007647EB">
              <w:rPr>
                <w:color w:val="000000"/>
              </w:rPr>
              <w:t>715</w:t>
            </w:r>
          </w:p>
        </w:tc>
      </w:tr>
      <w:tr w:rsidR="00B03672" w:rsidRPr="007647EB" w14:paraId="3531196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CDD1CD6" w14:textId="61AD4A8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9A81C4D" w14:textId="77777777" w:rsidR="00B03672" w:rsidRPr="007647EB" w:rsidRDefault="00B03672" w:rsidP="008123FC">
            <w:pPr>
              <w:pStyle w:val="Normal-pool-Table"/>
              <w:rPr>
                <w:szCs w:val="18"/>
              </w:rPr>
            </w:pPr>
            <w:hyperlink r:id="rId20" w:history="1">
              <w:r w:rsidRPr="007647EB">
                <w:rPr>
                  <w:color w:val="000000"/>
                </w:rPr>
                <w:t>Saint-Vincent-et-les Grenadines</w:t>
              </w:r>
            </w:hyperlink>
          </w:p>
        </w:tc>
        <w:tc>
          <w:tcPr>
            <w:tcW w:w="1395" w:type="dxa"/>
            <w:tcBorders>
              <w:top w:val="nil"/>
              <w:left w:val="nil"/>
              <w:bottom w:val="single" w:sz="4" w:space="0" w:color="auto"/>
              <w:right w:val="single" w:sz="4" w:space="0" w:color="auto"/>
            </w:tcBorders>
            <w:noWrap/>
            <w:vAlign w:val="bottom"/>
            <w:hideMark/>
          </w:tcPr>
          <w:p w14:paraId="215298A8" w14:textId="77777777" w:rsidR="00B03672" w:rsidRPr="007647EB" w:rsidRDefault="00B03672" w:rsidP="008123FC">
            <w:pPr>
              <w:pStyle w:val="Normal-pool-Table"/>
              <w:jc w:val="right"/>
              <w:rPr>
                <w:szCs w:val="18"/>
              </w:rPr>
            </w:pPr>
            <w:r w:rsidRPr="007647EB">
              <w:rPr>
                <w:color w:val="000000"/>
              </w:rPr>
              <w:t>0,001</w:t>
            </w:r>
          </w:p>
        </w:tc>
        <w:tc>
          <w:tcPr>
            <w:tcW w:w="1134" w:type="dxa"/>
            <w:tcBorders>
              <w:top w:val="nil"/>
              <w:left w:val="nil"/>
              <w:bottom w:val="single" w:sz="4" w:space="0" w:color="auto"/>
              <w:right w:val="single" w:sz="4" w:space="0" w:color="auto"/>
            </w:tcBorders>
            <w:noWrap/>
            <w:vAlign w:val="bottom"/>
            <w:hideMark/>
          </w:tcPr>
          <w:p w14:paraId="78B720F9"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vAlign w:val="bottom"/>
            <w:hideMark/>
          </w:tcPr>
          <w:p w14:paraId="2478D649"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vAlign w:val="bottom"/>
            <w:hideMark/>
          </w:tcPr>
          <w:p w14:paraId="4AC182AA"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vAlign w:val="bottom"/>
            <w:hideMark/>
          </w:tcPr>
          <w:p w14:paraId="7CBE8CEB" w14:textId="77777777" w:rsidR="00B03672" w:rsidRPr="007647EB" w:rsidRDefault="00B03672" w:rsidP="008123FC">
            <w:pPr>
              <w:pStyle w:val="Normal-pool-Table"/>
              <w:jc w:val="right"/>
              <w:rPr>
                <w:szCs w:val="18"/>
              </w:rPr>
            </w:pPr>
            <w:r w:rsidRPr="007647EB">
              <w:rPr>
                <w:color w:val="000000"/>
              </w:rPr>
              <w:t>715</w:t>
            </w:r>
          </w:p>
        </w:tc>
      </w:tr>
      <w:tr w:rsidR="00B03672" w:rsidRPr="007647EB" w14:paraId="1CE4CD08"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7A8F610" w14:textId="5010ABE1"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7F495A2" w14:textId="77777777" w:rsidR="00B03672" w:rsidRPr="007647EB" w:rsidRDefault="00B03672" w:rsidP="008123FC">
            <w:pPr>
              <w:pStyle w:val="Normal-pool-Table"/>
              <w:rPr>
                <w:szCs w:val="18"/>
              </w:rPr>
            </w:pPr>
            <w:r w:rsidRPr="007647EB">
              <w:rPr>
                <w:color w:val="000000"/>
              </w:rPr>
              <w:t>Suriname</w:t>
            </w:r>
          </w:p>
        </w:tc>
        <w:tc>
          <w:tcPr>
            <w:tcW w:w="1395" w:type="dxa"/>
            <w:tcBorders>
              <w:top w:val="nil"/>
              <w:left w:val="nil"/>
              <w:bottom w:val="single" w:sz="4" w:space="0" w:color="auto"/>
              <w:right w:val="single" w:sz="4" w:space="0" w:color="auto"/>
            </w:tcBorders>
            <w:noWrap/>
            <w:hideMark/>
          </w:tcPr>
          <w:p w14:paraId="2D1D4F2E" w14:textId="77777777" w:rsidR="00B03672" w:rsidRPr="007647EB" w:rsidRDefault="00B03672" w:rsidP="008123FC">
            <w:pPr>
              <w:pStyle w:val="Normal-pool-Table"/>
              <w:jc w:val="right"/>
              <w:rPr>
                <w:szCs w:val="18"/>
              </w:rPr>
            </w:pPr>
            <w:r w:rsidRPr="007647EB">
              <w:rPr>
                <w:color w:val="000000"/>
              </w:rPr>
              <w:t>0,002</w:t>
            </w:r>
          </w:p>
        </w:tc>
        <w:tc>
          <w:tcPr>
            <w:tcW w:w="1134" w:type="dxa"/>
            <w:tcBorders>
              <w:top w:val="nil"/>
              <w:left w:val="nil"/>
              <w:bottom w:val="single" w:sz="4" w:space="0" w:color="auto"/>
              <w:right w:val="single" w:sz="4" w:space="0" w:color="auto"/>
            </w:tcBorders>
            <w:noWrap/>
            <w:hideMark/>
          </w:tcPr>
          <w:p w14:paraId="58735DB1"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5CDE422A"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559D308E"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0A5C95A0" w14:textId="77777777" w:rsidR="00B03672" w:rsidRPr="007647EB" w:rsidRDefault="00B03672" w:rsidP="008123FC">
            <w:pPr>
              <w:pStyle w:val="Normal-pool-Table"/>
              <w:jc w:val="right"/>
              <w:rPr>
                <w:szCs w:val="18"/>
              </w:rPr>
            </w:pPr>
            <w:r w:rsidRPr="007647EB">
              <w:rPr>
                <w:color w:val="000000"/>
              </w:rPr>
              <w:t>715</w:t>
            </w:r>
          </w:p>
        </w:tc>
      </w:tr>
      <w:tr w:rsidR="00B03672" w:rsidRPr="007647EB" w14:paraId="222DC98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09A5E56" w14:textId="2A9EAF3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21C616" w14:textId="77777777" w:rsidR="00B03672" w:rsidRPr="007647EB" w:rsidRDefault="00B03672" w:rsidP="008123FC">
            <w:pPr>
              <w:pStyle w:val="Normal-pool-Table"/>
              <w:rPr>
                <w:szCs w:val="18"/>
              </w:rPr>
            </w:pPr>
            <w:r w:rsidRPr="007647EB">
              <w:rPr>
                <w:color w:val="000000"/>
              </w:rPr>
              <w:t>Uruguay</w:t>
            </w:r>
          </w:p>
        </w:tc>
        <w:tc>
          <w:tcPr>
            <w:tcW w:w="1395" w:type="dxa"/>
            <w:tcBorders>
              <w:top w:val="nil"/>
              <w:left w:val="nil"/>
              <w:bottom w:val="single" w:sz="4" w:space="0" w:color="auto"/>
              <w:right w:val="single" w:sz="4" w:space="0" w:color="auto"/>
            </w:tcBorders>
            <w:noWrap/>
            <w:hideMark/>
          </w:tcPr>
          <w:p w14:paraId="63B90059" w14:textId="77777777" w:rsidR="00B03672" w:rsidRPr="007647EB" w:rsidRDefault="00B03672" w:rsidP="008123FC">
            <w:pPr>
              <w:pStyle w:val="Normal-pool-Table"/>
              <w:jc w:val="right"/>
              <w:rPr>
                <w:szCs w:val="18"/>
              </w:rPr>
            </w:pPr>
            <w:r w:rsidRPr="007647EB">
              <w:rPr>
                <w:color w:val="000000"/>
              </w:rPr>
              <w:t>0,079</w:t>
            </w:r>
          </w:p>
        </w:tc>
        <w:tc>
          <w:tcPr>
            <w:tcW w:w="1134" w:type="dxa"/>
            <w:tcBorders>
              <w:top w:val="nil"/>
              <w:left w:val="nil"/>
              <w:bottom w:val="single" w:sz="4" w:space="0" w:color="auto"/>
              <w:right w:val="single" w:sz="4" w:space="0" w:color="auto"/>
            </w:tcBorders>
            <w:noWrap/>
            <w:hideMark/>
          </w:tcPr>
          <w:p w14:paraId="4B4F45AD" w14:textId="77777777" w:rsidR="00B03672" w:rsidRPr="007647EB" w:rsidRDefault="00B03672" w:rsidP="008123FC">
            <w:pPr>
              <w:pStyle w:val="Normal-pool-Table"/>
              <w:jc w:val="right"/>
              <w:rPr>
                <w:szCs w:val="18"/>
              </w:rPr>
            </w:pPr>
            <w:r w:rsidRPr="007647EB">
              <w:rPr>
                <w:color w:val="000000"/>
              </w:rPr>
              <w:t>0,0797</w:t>
            </w:r>
          </w:p>
        </w:tc>
        <w:tc>
          <w:tcPr>
            <w:tcW w:w="1276" w:type="dxa"/>
            <w:tcBorders>
              <w:top w:val="nil"/>
              <w:left w:val="nil"/>
              <w:bottom w:val="single" w:sz="4" w:space="0" w:color="auto"/>
              <w:right w:val="single" w:sz="4" w:space="0" w:color="auto"/>
            </w:tcBorders>
            <w:noWrap/>
            <w:hideMark/>
          </w:tcPr>
          <w:p w14:paraId="3B30D48A" w14:textId="77777777" w:rsidR="00B03672" w:rsidRPr="007647EB" w:rsidRDefault="00B03672" w:rsidP="008123FC">
            <w:pPr>
              <w:pStyle w:val="Normal-pool-Table"/>
              <w:jc w:val="right"/>
              <w:rPr>
                <w:szCs w:val="18"/>
              </w:rPr>
            </w:pPr>
            <w:r w:rsidRPr="007647EB">
              <w:rPr>
                <w:color w:val="000000"/>
              </w:rPr>
              <w:t>2 459</w:t>
            </w:r>
          </w:p>
        </w:tc>
        <w:tc>
          <w:tcPr>
            <w:tcW w:w="1276" w:type="dxa"/>
            <w:tcBorders>
              <w:top w:val="nil"/>
              <w:left w:val="nil"/>
              <w:bottom w:val="single" w:sz="4" w:space="0" w:color="auto"/>
              <w:right w:val="single" w:sz="4" w:space="0" w:color="auto"/>
            </w:tcBorders>
            <w:noWrap/>
            <w:hideMark/>
          </w:tcPr>
          <w:p w14:paraId="5B56920A" w14:textId="77777777" w:rsidR="00B03672" w:rsidRPr="007647EB" w:rsidRDefault="00B03672" w:rsidP="008123FC">
            <w:pPr>
              <w:pStyle w:val="Normal-pool-Table"/>
              <w:jc w:val="right"/>
              <w:rPr>
                <w:szCs w:val="18"/>
              </w:rPr>
            </w:pPr>
            <w:r w:rsidRPr="007647EB">
              <w:rPr>
                <w:color w:val="000000"/>
              </w:rPr>
              <w:t>3 245</w:t>
            </w:r>
          </w:p>
        </w:tc>
        <w:tc>
          <w:tcPr>
            <w:tcW w:w="1291" w:type="dxa"/>
            <w:tcBorders>
              <w:top w:val="nil"/>
              <w:left w:val="nil"/>
              <w:bottom w:val="single" w:sz="4" w:space="0" w:color="auto"/>
              <w:right w:val="single" w:sz="4" w:space="0" w:color="auto"/>
            </w:tcBorders>
            <w:noWrap/>
            <w:hideMark/>
          </w:tcPr>
          <w:p w14:paraId="232D76A8" w14:textId="77777777" w:rsidR="00B03672" w:rsidRPr="007647EB" w:rsidRDefault="00B03672" w:rsidP="008123FC">
            <w:pPr>
              <w:pStyle w:val="Normal-pool-Table"/>
              <w:jc w:val="right"/>
              <w:rPr>
                <w:szCs w:val="18"/>
              </w:rPr>
            </w:pPr>
            <w:r w:rsidRPr="007647EB">
              <w:rPr>
                <w:color w:val="000000"/>
              </w:rPr>
              <w:t>5 703</w:t>
            </w:r>
          </w:p>
        </w:tc>
      </w:tr>
      <w:tr w:rsidR="002B2CBE" w:rsidRPr="007647EB" w14:paraId="12544687" w14:textId="77777777" w:rsidTr="00330D4E">
        <w:trPr>
          <w:trHeight w:val="300"/>
          <w:jc w:val="right"/>
        </w:trPr>
        <w:tc>
          <w:tcPr>
            <w:tcW w:w="9660" w:type="dxa"/>
            <w:gridSpan w:val="8"/>
            <w:tcBorders>
              <w:top w:val="single" w:sz="4" w:space="0" w:color="auto"/>
              <w:left w:val="single" w:sz="4" w:space="0" w:color="auto"/>
              <w:bottom w:val="single" w:sz="4" w:space="0" w:color="auto"/>
              <w:right w:val="single" w:sz="4" w:space="0" w:color="000000"/>
            </w:tcBorders>
            <w:shd w:val="clear" w:color="000000" w:fill="C5D9F1"/>
            <w:noWrap/>
            <w:hideMark/>
          </w:tcPr>
          <w:p w14:paraId="77DDC826" w14:textId="41EF03C5" w:rsidR="002B2CBE" w:rsidRPr="007647EB" w:rsidRDefault="002B2CBE" w:rsidP="008123FC">
            <w:pPr>
              <w:pStyle w:val="Normal-pool-Table"/>
              <w:rPr>
                <w:b/>
                <w:bCs/>
                <w:szCs w:val="18"/>
              </w:rPr>
            </w:pPr>
            <w:r w:rsidRPr="007647EB">
              <w:rPr>
                <w:b/>
                <w:bCs/>
                <w:color w:val="000000"/>
              </w:rPr>
              <w:t>États d</w:t>
            </w:r>
            <w:r w:rsidR="00D82E47" w:rsidRPr="007647EB">
              <w:rPr>
                <w:b/>
                <w:bCs/>
                <w:color w:val="000000"/>
              </w:rPr>
              <w:t>’</w:t>
            </w:r>
            <w:r w:rsidRPr="007647EB">
              <w:rPr>
                <w:b/>
                <w:bCs/>
                <w:color w:val="000000"/>
              </w:rPr>
              <w:t>Europe occidentale et autres États (26)</w:t>
            </w:r>
          </w:p>
        </w:tc>
      </w:tr>
      <w:tr w:rsidR="00B03672" w:rsidRPr="007647EB" w14:paraId="7E8821B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63AFB2A" w14:textId="24B531C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FC23E4B" w14:textId="77777777" w:rsidR="00B03672" w:rsidRPr="007647EB" w:rsidRDefault="00B03672" w:rsidP="008123FC">
            <w:pPr>
              <w:pStyle w:val="Normal-pool-Table"/>
              <w:rPr>
                <w:szCs w:val="18"/>
              </w:rPr>
            </w:pPr>
            <w:r w:rsidRPr="007647EB">
              <w:rPr>
                <w:color w:val="000000"/>
              </w:rPr>
              <w:t>Allemagne</w:t>
            </w:r>
          </w:p>
        </w:tc>
        <w:tc>
          <w:tcPr>
            <w:tcW w:w="1395" w:type="dxa"/>
            <w:tcBorders>
              <w:top w:val="nil"/>
              <w:left w:val="nil"/>
              <w:bottom w:val="single" w:sz="4" w:space="0" w:color="auto"/>
              <w:right w:val="single" w:sz="4" w:space="0" w:color="auto"/>
            </w:tcBorders>
            <w:noWrap/>
            <w:hideMark/>
          </w:tcPr>
          <w:p w14:paraId="19DC9A64" w14:textId="77777777" w:rsidR="00B03672" w:rsidRPr="007647EB" w:rsidRDefault="00B03672" w:rsidP="008123FC">
            <w:pPr>
              <w:pStyle w:val="Normal-pool-Table"/>
              <w:jc w:val="right"/>
              <w:rPr>
                <w:szCs w:val="18"/>
              </w:rPr>
            </w:pPr>
            <w:r w:rsidRPr="007647EB">
              <w:rPr>
                <w:color w:val="000000"/>
              </w:rPr>
              <w:t>5,692</w:t>
            </w:r>
          </w:p>
        </w:tc>
        <w:tc>
          <w:tcPr>
            <w:tcW w:w="1134" w:type="dxa"/>
            <w:tcBorders>
              <w:top w:val="nil"/>
              <w:left w:val="nil"/>
              <w:bottom w:val="single" w:sz="4" w:space="0" w:color="auto"/>
              <w:right w:val="single" w:sz="4" w:space="0" w:color="auto"/>
            </w:tcBorders>
            <w:noWrap/>
            <w:hideMark/>
          </w:tcPr>
          <w:p w14:paraId="3F1BAB52" w14:textId="77777777" w:rsidR="00B03672" w:rsidRPr="007647EB" w:rsidRDefault="00B03672" w:rsidP="008123FC">
            <w:pPr>
              <w:pStyle w:val="Normal-pool-Table"/>
              <w:jc w:val="right"/>
              <w:rPr>
                <w:szCs w:val="18"/>
              </w:rPr>
            </w:pPr>
            <w:r w:rsidRPr="007647EB">
              <w:rPr>
                <w:color w:val="000000"/>
              </w:rPr>
              <w:t>5,7450</w:t>
            </w:r>
          </w:p>
        </w:tc>
        <w:tc>
          <w:tcPr>
            <w:tcW w:w="1276" w:type="dxa"/>
            <w:tcBorders>
              <w:top w:val="nil"/>
              <w:left w:val="nil"/>
              <w:bottom w:val="single" w:sz="4" w:space="0" w:color="auto"/>
              <w:right w:val="single" w:sz="4" w:space="0" w:color="auto"/>
            </w:tcBorders>
            <w:noWrap/>
            <w:hideMark/>
          </w:tcPr>
          <w:p w14:paraId="23883D16" w14:textId="77777777" w:rsidR="00B03672" w:rsidRPr="007647EB" w:rsidRDefault="00B03672" w:rsidP="008123FC">
            <w:pPr>
              <w:pStyle w:val="Normal-pool-Table"/>
              <w:jc w:val="right"/>
              <w:rPr>
                <w:szCs w:val="18"/>
              </w:rPr>
            </w:pPr>
            <w:r w:rsidRPr="007647EB">
              <w:rPr>
                <w:color w:val="000000"/>
              </w:rPr>
              <w:t>177 138</w:t>
            </w:r>
          </w:p>
        </w:tc>
        <w:tc>
          <w:tcPr>
            <w:tcW w:w="1276" w:type="dxa"/>
            <w:tcBorders>
              <w:top w:val="nil"/>
              <w:left w:val="nil"/>
              <w:bottom w:val="single" w:sz="4" w:space="0" w:color="auto"/>
              <w:right w:val="single" w:sz="4" w:space="0" w:color="auto"/>
            </w:tcBorders>
            <w:noWrap/>
            <w:hideMark/>
          </w:tcPr>
          <w:p w14:paraId="3C9C35BB" w14:textId="77777777" w:rsidR="00B03672" w:rsidRPr="007647EB" w:rsidRDefault="00B03672" w:rsidP="008123FC">
            <w:pPr>
              <w:pStyle w:val="Normal-pool-Table"/>
              <w:jc w:val="right"/>
              <w:rPr>
                <w:szCs w:val="18"/>
              </w:rPr>
            </w:pPr>
            <w:r w:rsidRPr="007647EB">
              <w:rPr>
                <w:color w:val="000000"/>
              </w:rPr>
              <w:t>233 779</w:t>
            </w:r>
          </w:p>
        </w:tc>
        <w:tc>
          <w:tcPr>
            <w:tcW w:w="1291" w:type="dxa"/>
            <w:tcBorders>
              <w:top w:val="nil"/>
              <w:left w:val="nil"/>
              <w:bottom w:val="single" w:sz="4" w:space="0" w:color="auto"/>
              <w:right w:val="single" w:sz="4" w:space="0" w:color="auto"/>
            </w:tcBorders>
            <w:noWrap/>
            <w:hideMark/>
          </w:tcPr>
          <w:p w14:paraId="4FC61E60" w14:textId="77777777" w:rsidR="00B03672" w:rsidRPr="007647EB" w:rsidRDefault="00B03672" w:rsidP="008123FC">
            <w:pPr>
              <w:pStyle w:val="Normal-pool-Table"/>
              <w:jc w:val="right"/>
              <w:rPr>
                <w:szCs w:val="18"/>
              </w:rPr>
            </w:pPr>
            <w:r w:rsidRPr="007647EB">
              <w:rPr>
                <w:color w:val="000000"/>
              </w:rPr>
              <w:t>410 917</w:t>
            </w:r>
          </w:p>
        </w:tc>
      </w:tr>
      <w:tr w:rsidR="00B03672" w:rsidRPr="007647EB" w14:paraId="57EF164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78339D5" w14:textId="5643030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04E890F" w14:textId="77777777" w:rsidR="00B03672" w:rsidRPr="007647EB" w:rsidRDefault="00B03672" w:rsidP="008123FC">
            <w:pPr>
              <w:pStyle w:val="Normal-pool-Table"/>
              <w:rPr>
                <w:szCs w:val="18"/>
              </w:rPr>
            </w:pPr>
            <w:r w:rsidRPr="007647EB">
              <w:rPr>
                <w:color w:val="000000"/>
              </w:rPr>
              <w:t>Australie</w:t>
            </w:r>
          </w:p>
        </w:tc>
        <w:tc>
          <w:tcPr>
            <w:tcW w:w="1395" w:type="dxa"/>
            <w:tcBorders>
              <w:top w:val="nil"/>
              <w:left w:val="nil"/>
              <w:bottom w:val="single" w:sz="4" w:space="0" w:color="auto"/>
              <w:right w:val="single" w:sz="4" w:space="0" w:color="auto"/>
            </w:tcBorders>
            <w:noWrap/>
            <w:hideMark/>
          </w:tcPr>
          <w:p w14:paraId="2FECAE69" w14:textId="77777777" w:rsidR="00B03672" w:rsidRPr="007647EB" w:rsidRDefault="00B03672" w:rsidP="008123FC">
            <w:pPr>
              <w:pStyle w:val="Normal-pool-Table"/>
              <w:jc w:val="right"/>
              <w:rPr>
                <w:szCs w:val="18"/>
              </w:rPr>
            </w:pPr>
            <w:r w:rsidRPr="007647EB">
              <w:rPr>
                <w:color w:val="000000"/>
              </w:rPr>
              <w:t>2,04</w:t>
            </w:r>
          </w:p>
        </w:tc>
        <w:tc>
          <w:tcPr>
            <w:tcW w:w="1134" w:type="dxa"/>
            <w:tcBorders>
              <w:top w:val="nil"/>
              <w:left w:val="nil"/>
              <w:bottom w:val="single" w:sz="4" w:space="0" w:color="auto"/>
              <w:right w:val="single" w:sz="4" w:space="0" w:color="auto"/>
            </w:tcBorders>
            <w:noWrap/>
            <w:hideMark/>
          </w:tcPr>
          <w:p w14:paraId="25EBC132" w14:textId="77777777" w:rsidR="00B03672" w:rsidRPr="007647EB" w:rsidRDefault="00B03672" w:rsidP="008123FC">
            <w:pPr>
              <w:pStyle w:val="Normal-pool-Table"/>
              <w:jc w:val="right"/>
              <w:rPr>
                <w:szCs w:val="18"/>
              </w:rPr>
            </w:pPr>
            <w:r w:rsidRPr="007647EB">
              <w:rPr>
                <w:color w:val="000000"/>
              </w:rPr>
              <w:t>2,0590</w:t>
            </w:r>
          </w:p>
        </w:tc>
        <w:tc>
          <w:tcPr>
            <w:tcW w:w="1276" w:type="dxa"/>
            <w:tcBorders>
              <w:top w:val="nil"/>
              <w:left w:val="nil"/>
              <w:bottom w:val="single" w:sz="4" w:space="0" w:color="auto"/>
              <w:right w:val="single" w:sz="4" w:space="0" w:color="auto"/>
            </w:tcBorders>
            <w:noWrap/>
            <w:hideMark/>
          </w:tcPr>
          <w:p w14:paraId="605F66D7" w14:textId="77777777" w:rsidR="00B03672" w:rsidRPr="007647EB" w:rsidRDefault="00B03672" w:rsidP="008123FC">
            <w:pPr>
              <w:pStyle w:val="Normal-pool-Table"/>
              <w:jc w:val="right"/>
              <w:rPr>
                <w:szCs w:val="18"/>
              </w:rPr>
            </w:pPr>
            <w:r w:rsidRPr="007647EB">
              <w:rPr>
                <w:color w:val="000000"/>
              </w:rPr>
              <w:t>63 486</w:t>
            </w:r>
          </w:p>
        </w:tc>
        <w:tc>
          <w:tcPr>
            <w:tcW w:w="1276" w:type="dxa"/>
            <w:tcBorders>
              <w:top w:val="nil"/>
              <w:left w:val="nil"/>
              <w:bottom w:val="single" w:sz="4" w:space="0" w:color="auto"/>
              <w:right w:val="single" w:sz="4" w:space="0" w:color="auto"/>
            </w:tcBorders>
            <w:noWrap/>
            <w:hideMark/>
          </w:tcPr>
          <w:p w14:paraId="46F9317A" w14:textId="77777777" w:rsidR="00B03672" w:rsidRPr="007647EB" w:rsidRDefault="00B03672" w:rsidP="008123FC">
            <w:pPr>
              <w:pStyle w:val="Normal-pool-Table"/>
              <w:jc w:val="right"/>
              <w:rPr>
                <w:szCs w:val="18"/>
              </w:rPr>
            </w:pPr>
            <w:r w:rsidRPr="007647EB">
              <w:rPr>
                <w:color w:val="000000"/>
              </w:rPr>
              <w:t>83 786</w:t>
            </w:r>
          </w:p>
        </w:tc>
        <w:tc>
          <w:tcPr>
            <w:tcW w:w="1291" w:type="dxa"/>
            <w:tcBorders>
              <w:top w:val="nil"/>
              <w:left w:val="nil"/>
              <w:bottom w:val="single" w:sz="4" w:space="0" w:color="auto"/>
              <w:right w:val="single" w:sz="4" w:space="0" w:color="auto"/>
            </w:tcBorders>
            <w:noWrap/>
            <w:hideMark/>
          </w:tcPr>
          <w:p w14:paraId="60EBFA52" w14:textId="77777777" w:rsidR="00B03672" w:rsidRPr="007647EB" w:rsidRDefault="00B03672" w:rsidP="008123FC">
            <w:pPr>
              <w:pStyle w:val="Normal-pool-Table"/>
              <w:jc w:val="right"/>
              <w:rPr>
                <w:szCs w:val="18"/>
              </w:rPr>
            </w:pPr>
            <w:r w:rsidRPr="007647EB">
              <w:rPr>
                <w:color w:val="000000"/>
              </w:rPr>
              <w:t>147 272</w:t>
            </w:r>
          </w:p>
        </w:tc>
      </w:tr>
      <w:tr w:rsidR="00B03672" w:rsidRPr="007647EB" w14:paraId="19504A7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A373AC7" w14:textId="63D8AAD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3D69D9E" w14:textId="77777777" w:rsidR="00B03672" w:rsidRPr="007647EB" w:rsidRDefault="00B03672" w:rsidP="008123FC">
            <w:pPr>
              <w:pStyle w:val="Normal-pool-Table"/>
              <w:rPr>
                <w:szCs w:val="18"/>
              </w:rPr>
            </w:pPr>
            <w:r w:rsidRPr="007647EB">
              <w:rPr>
                <w:color w:val="000000"/>
              </w:rPr>
              <w:t>Autriche</w:t>
            </w:r>
          </w:p>
        </w:tc>
        <w:tc>
          <w:tcPr>
            <w:tcW w:w="1395" w:type="dxa"/>
            <w:tcBorders>
              <w:top w:val="nil"/>
              <w:left w:val="nil"/>
              <w:bottom w:val="single" w:sz="4" w:space="0" w:color="auto"/>
              <w:right w:val="single" w:sz="4" w:space="0" w:color="auto"/>
            </w:tcBorders>
            <w:noWrap/>
            <w:hideMark/>
          </w:tcPr>
          <w:p w14:paraId="5B696826" w14:textId="77777777" w:rsidR="00B03672" w:rsidRPr="007647EB" w:rsidRDefault="00B03672" w:rsidP="008123FC">
            <w:pPr>
              <w:pStyle w:val="Normal-pool-Table"/>
              <w:jc w:val="right"/>
              <w:rPr>
                <w:szCs w:val="18"/>
              </w:rPr>
            </w:pPr>
            <w:r w:rsidRPr="007647EB">
              <w:rPr>
                <w:color w:val="000000"/>
              </w:rPr>
              <w:t>0,626</w:t>
            </w:r>
          </w:p>
        </w:tc>
        <w:tc>
          <w:tcPr>
            <w:tcW w:w="1134" w:type="dxa"/>
            <w:tcBorders>
              <w:top w:val="nil"/>
              <w:left w:val="nil"/>
              <w:bottom w:val="single" w:sz="4" w:space="0" w:color="auto"/>
              <w:right w:val="single" w:sz="4" w:space="0" w:color="auto"/>
            </w:tcBorders>
            <w:noWrap/>
            <w:hideMark/>
          </w:tcPr>
          <w:p w14:paraId="75CD6B05" w14:textId="77777777" w:rsidR="00B03672" w:rsidRPr="007647EB" w:rsidRDefault="00B03672" w:rsidP="008123FC">
            <w:pPr>
              <w:pStyle w:val="Normal-pool-Table"/>
              <w:jc w:val="right"/>
              <w:rPr>
                <w:szCs w:val="18"/>
              </w:rPr>
            </w:pPr>
            <w:r w:rsidRPr="007647EB">
              <w:rPr>
                <w:color w:val="000000"/>
              </w:rPr>
              <w:t>0,6318</w:t>
            </w:r>
          </w:p>
        </w:tc>
        <w:tc>
          <w:tcPr>
            <w:tcW w:w="1276" w:type="dxa"/>
            <w:tcBorders>
              <w:top w:val="nil"/>
              <w:left w:val="nil"/>
              <w:bottom w:val="single" w:sz="4" w:space="0" w:color="auto"/>
              <w:right w:val="single" w:sz="4" w:space="0" w:color="auto"/>
            </w:tcBorders>
            <w:noWrap/>
            <w:hideMark/>
          </w:tcPr>
          <w:p w14:paraId="648F8A43" w14:textId="77777777" w:rsidR="00B03672" w:rsidRPr="007647EB" w:rsidRDefault="00B03672" w:rsidP="008123FC">
            <w:pPr>
              <w:pStyle w:val="Normal-pool-Table"/>
              <w:jc w:val="right"/>
              <w:rPr>
                <w:szCs w:val="18"/>
              </w:rPr>
            </w:pPr>
            <w:r w:rsidRPr="007647EB">
              <w:rPr>
                <w:color w:val="000000"/>
              </w:rPr>
              <w:t>19 481</w:t>
            </w:r>
          </w:p>
        </w:tc>
        <w:tc>
          <w:tcPr>
            <w:tcW w:w="1276" w:type="dxa"/>
            <w:tcBorders>
              <w:top w:val="nil"/>
              <w:left w:val="nil"/>
              <w:bottom w:val="single" w:sz="4" w:space="0" w:color="auto"/>
              <w:right w:val="single" w:sz="4" w:space="0" w:color="auto"/>
            </w:tcBorders>
            <w:noWrap/>
            <w:hideMark/>
          </w:tcPr>
          <w:p w14:paraId="71B81875" w14:textId="77777777" w:rsidR="00B03672" w:rsidRPr="007647EB" w:rsidRDefault="00B03672" w:rsidP="008123FC">
            <w:pPr>
              <w:pStyle w:val="Normal-pool-Table"/>
              <w:jc w:val="right"/>
              <w:rPr>
                <w:szCs w:val="18"/>
              </w:rPr>
            </w:pPr>
            <w:r w:rsidRPr="007647EB">
              <w:rPr>
                <w:color w:val="000000"/>
              </w:rPr>
              <w:t>25 711</w:t>
            </w:r>
          </w:p>
        </w:tc>
        <w:tc>
          <w:tcPr>
            <w:tcW w:w="1291" w:type="dxa"/>
            <w:tcBorders>
              <w:top w:val="nil"/>
              <w:left w:val="nil"/>
              <w:bottom w:val="single" w:sz="4" w:space="0" w:color="auto"/>
              <w:right w:val="single" w:sz="4" w:space="0" w:color="auto"/>
            </w:tcBorders>
            <w:noWrap/>
            <w:hideMark/>
          </w:tcPr>
          <w:p w14:paraId="3E8F44D4" w14:textId="77777777" w:rsidR="00B03672" w:rsidRPr="007647EB" w:rsidRDefault="00B03672" w:rsidP="008123FC">
            <w:pPr>
              <w:pStyle w:val="Normal-pool-Table"/>
              <w:jc w:val="right"/>
              <w:rPr>
                <w:szCs w:val="18"/>
              </w:rPr>
            </w:pPr>
            <w:r w:rsidRPr="007647EB">
              <w:rPr>
                <w:color w:val="000000"/>
              </w:rPr>
              <w:t>45 192</w:t>
            </w:r>
          </w:p>
        </w:tc>
      </w:tr>
      <w:tr w:rsidR="00B03672" w:rsidRPr="007647EB" w14:paraId="49F61EC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8457BB7" w14:textId="0A1EDEE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A7F611" w14:textId="77777777" w:rsidR="00B03672" w:rsidRPr="007647EB" w:rsidRDefault="00B03672" w:rsidP="008123FC">
            <w:pPr>
              <w:pStyle w:val="Normal-pool-Table"/>
              <w:rPr>
                <w:szCs w:val="18"/>
              </w:rPr>
            </w:pPr>
            <w:r w:rsidRPr="007647EB">
              <w:rPr>
                <w:color w:val="000000"/>
              </w:rPr>
              <w:t>Belgique</w:t>
            </w:r>
          </w:p>
        </w:tc>
        <w:tc>
          <w:tcPr>
            <w:tcW w:w="1395" w:type="dxa"/>
            <w:tcBorders>
              <w:top w:val="nil"/>
              <w:left w:val="nil"/>
              <w:bottom w:val="single" w:sz="4" w:space="0" w:color="auto"/>
              <w:right w:val="single" w:sz="4" w:space="0" w:color="auto"/>
            </w:tcBorders>
            <w:noWrap/>
            <w:hideMark/>
          </w:tcPr>
          <w:p w14:paraId="3297DB2B" w14:textId="77777777" w:rsidR="00B03672" w:rsidRPr="007647EB" w:rsidRDefault="00B03672" w:rsidP="008123FC">
            <w:pPr>
              <w:pStyle w:val="Normal-pool-Table"/>
              <w:jc w:val="right"/>
              <w:rPr>
                <w:szCs w:val="18"/>
              </w:rPr>
            </w:pPr>
            <w:r w:rsidRPr="007647EB">
              <w:rPr>
                <w:color w:val="000000"/>
              </w:rPr>
              <w:t>0,773</w:t>
            </w:r>
          </w:p>
        </w:tc>
        <w:tc>
          <w:tcPr>
            <w:tcW w:w="1134" w:type="dxa"/>
            <w:tcBorders>
              <w:top w:val="nil"/>
              <w:left w:val="nil"/>
              <w:bottom w:val="single" w:sz="4" w:space="0" w:color="auto"/>
              <w:right w:val="single" w:sz="4" w:space="0" w:color="auto"/>
            </w:tcBorders>
            <w:noWrap/>
            <w:hideMark/>
          </w:tcPr>
          <w:p w14:paraId="06BFD72B" w14:textId="77777777" w:rsidR="00B03672" w:rsidRPr="007647EB" w:rsidRDefault="00B03672" w:rsidP="008123FC">
            <w:pPr>
              <w:pStyle w:val="Normal-pool-Table"/>
              <w:jc w:val="right"/>
              <w:rPr>
                <w:szCs w:val="18"/>
              </w:rPr>
            </w:pPr>
            <w:r w:rsidRPr="007647EB">
              <w:rPr>
                <w:color w:val="000000"/>
              </w:rPr>
              <w:t>0,7802</w:t>
            </w:r>
          </w:p>
        </w:tc>
        <w:tc>
          <w:tcPr>
            <w:tcW w:w="1276" w:type="dxa"/>
            <w:tcBorders>
              <w:top w:val="nil"/>
              <w:left w:val="nil"/>
              <w:bottom w:val="single" w:sz="4" w:space="0" w:color="auto"/>
              <w:right w:val="single" w:sz="4" w:space="0" w:color="auto"/>
            </w:tcBorders>
            <w:noWrap/>
            <w:hideMark/>
          </w:tcPr>
          <w:p w14:paraId="08AE383C" w14:textId="77777777" w:rsidR="00B03672" w:rsidRPr="007647EB" w:rsidRDefault="00B03672" w:rsidP="008123FC">
            <w:pPr>
              <w:pStyle w:val="Normal-pool-Table"/>
              <w:jc w:val="right"/>
              <w:rPr>
                <w:szCs w:val="18"/>
              </w:rPr>
            </w:pPr>
            <w:r w:rsidRPr="007647EB">
              <w:rPr>
                <w:color w:val="000000"/>
              </w:rPr>
              <w:t>24 056</w:t>
            </w:r>
          </w:p>
        </w:tc>
        <w:tc>
          <w:tcPr>
            <w:tcW w:w="1276" w:type="dxa"/>
            <w:tcBorders>
              <w:top w:val="nil"/>
              <w:left w:val="nil"/>
              <w:bottom w:val="single" w:sz="4" w:space="0" w:color="auto"/>
              <w:right w:val="single" w:sz="4" w:space="0" w:color="auto"/>
            </w:tcBorders>
            <w:noWrap/>
            <w:hideMark/>
          </w:tcPr>
          <w:p w14:paraId="1EAFFE56" w14:textId="77777777" w:rsidR="00B03672" w:rsidRPr="007647EB" w:rsidRDefault="00B03672" w:rsidP="008123FC">
            <w:pPr>
              <w:pStyle w:val="Normal-pool-Table"/>
              <w:jc w:val="right"/>
              <w:rPr>
                <w:szCs w:val="18"/>
              </w:rPr>
            </w:pPr>
            <w:r w:rsidRPr="007647EB">
              <w:rPr>
                <w:color w:val="000000"/>
              </w:rPr>
              <w:t>31 748</w:t>
            </w:r>
          </w:p>
        </w:tc>
        <w:tc>
          <w:tcPr>
            <w:tcW w:w="1291" w:type="dxa"/>
            <w:tcBorders>
              <w:top w:val="nil"/>
              <w:left w:val="nil"/>
              <w:bottom w:val="single" w:sz="4" w:space="0" w:color="auto"/>
              <w:right w:val="single" w:sz="4" w:space="0" w:color="auto"/>
            </w:tcBorders>
            <w:noWrap/>
            <w:hideMark/>
          </w:tcPr>
          <w:p w14:paraId="60BCE6FB" w14:textId="77777777" w:rsidR="00B03672" w:rsidRPr="007647EB" w:rsidRDefault="00B03672" w:rsidP="008123FC">
            <w:pPr>
              <w:pStyle w:val="Normal-pool-Table"/>
              <w:jc w:val="right"/>
              <w:rPr>
                <w:szCs w:val="18"/>
              </w:rPr>
            </w:pPr>
            <w:r w:rsidRPr="007647EB">
              <w:rPr>
                <w:color w:val="000000"/>
              </w:rPr>
              <w:t>55 804</w:t>
            </w:r>
          </w:p>
        </w:tc>
      </w:tr>
      <w:tr w:rsidR="00B03672" w:rsidRPr="007647EB" w14:paraId="2ECE0DE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2085C5E" w14:textId="5D5969B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5CC36FA" w14:textId="77777777" w:rsidR="00B03672" w:rsidRPr="007647EB" w:rsidRDefault="00B03672" w:rsidP="008123FC">
            <w:pPr>
              <w:pStyle w:val="Normal-pool-Table"/>
              <w:rPr>
                <w:szCs w:val="18"/>
              </w:rPr>
            </w:pPr>
            <w:r w:rsidRPr="007647EB">
              <w:rPr>
                <w:color w:val="000000"/>
              </w:rPr>
              <w:t>Canada</w:t>
            </w:r>
          </w:p>
        </w:tc>
        <w:tc>
          <w:tcPr>
            <w:tcW w:w="1395" w:type="dxa"/>
            <w:tcBorders>
              <w:top w:val="nil"/>
              <w:left w:val="nil"/>
              <w:bottom w:val="single" w:sz="4" w:space="0" w:color="auto"/>
              <w:right w:val="single" w:sz="4" w:space="0" w:color="auto"/>
            </w:tcBorders>
            <w:noWrap/>
            <w:hideMark/>
          </w:tcPr>
          <w:p w14:paraId="5665CA78" w14:textId="77777777" w:rsidR="00B03672" w:rsidRPr="007647EB" w:rsidRDefault="00B03672" w:rsidP="008123FC">
            <w:pPr>
              <w:pStyle w:val="Normal-pool-Table"/>
              <w:jc w:val="right"/>
              <w:rPr>
                <w:szCs w:val="18"/>
              </w:rPr>
            </w:pPr>
            <w:r w:rsidRPr="007647EB">
              <w:rPr>
                <w:color w:val="000000"/>
              </w:rPr>
              <w:t>2,543</w:t>
            </w:r>
          </w:p>
        </w:tc>
        <w:tc>
          <w:tcPr>
            <w:tcW w:w="1134" w:type="dxa"/>
            <w:tcBorders>
              <w:top w:val="nil"/>
              <w:left w:val="nil"/>
              <w:bottom w:val="single" w:sz="4" w:space="0" w:color="auto"/>
              <w:right w:val="single" w:sz="4" w:space="0" w:color="auto"/>
            </w:tcBorders>
            <w:noWrap/>
            <w:hideMark/>
          </w:tcPr>
          <w:p w14:paraId="1A155089" w14:textId="77777777" w:rsidR="00B03672" w:rsidRPr="007647EB" w:rsidRDefault="00B03672" w:rsidP="008123FC">
            <w:pPr>
              <w:pStyle w:val="Normal-pool-Table"/>
              <w:jc w:val="right"/>
              <w:rPr>
                <w:szCs w:val="18"/>
              </w:rPr>
            </w:pPr>
            <w:r w:rsidRPr="007647EB">
              <w:rPr>
                <w:color w:val="000000"/>
              </w:rPr>
              <w:t>2,5667</w:t>
            </w:r>
          </w:p>
        </w:tc>
        <w:tc>
          <w:tcPr>
            <w:tcW w:w="1276" w:type="dxa"/>
            <w:tcBorders>
              <w:top w:val="nil"/>
              <w:left w:val="nil"/>
              <w:bottom w:val="single" w:sz="4" w:space="0" w:color="auto"/>
              <w:right w:val="single" w:sz="4" w:space="0" w:color="auto"/>
            </w:tcBorders>
            <w:noWrap/>
            <w:hideMark/>
          </w:tcPr>
          <w:p w14:paraId="3EBF63AC" w14:textId="77777777" w:rsidR="00B03672" w:rsidRPr="007647EB" w:rsidRDefault="00B03672" w:rsidP="008123FC">
            <w:pPr>
              <w:pStyle w:val="Normal-pool-Table"/>
              <w:jc w:val="right"/>
              <w:rPr>
                <w:szCs w:val="18"/>
              </w:rPr>
            </w:pPr>
            <w:r w:rsidRPr="007647EB">
              <w:rPr>
                <w:color w:val="000000"/>
              </w:rPr>
              <w:t>79 140</w:t>
            </w:r>
          </w:p>
        </w:tc>
        <w:tc>
          <w:tcPr>
            <w:tcW w:w="1276" w:type="dxa"/>
            <w:tcBorders>
              <w:top w:val="nil"/>
              <w:left w:val="nil"/>
              <w:bottom w:val="single" w:sz="4" w:space="0" w:color="auto"/>
              <w:right w:val="single" w:sz="4" w:space="0" w:color="auto"/>
            </w:tcBorders>
            <w:noWrap/>
            <w:hideMark/>
          </w:tcPr>
          <w:p w14:paraId="4F5F9766" w14:textId="77777777" w:rsidR="00B03672" w:rsidRPr="007647EB" w:rsidRDefault="00B03672" w:rsidP="008123FC">
            <w:pPr>
              <w:pStyle w:val="Normal-pool-Table"/>
              <w:jc w:val="right"/>
              <w:rPr>
                <w:szCs w:val="18"/>
              </w:rPr>
            </w:pPr>
            <w:r w:rsidRPr="007647EB">
              <w:rPr>
                <w:color w:val="000000"/>
              </w:rPr>
              <w:t>104 445</w:t>
            </w:r>
          </w:p>
        </w:tc>
        <w:tc>
          <w:tcPr>
            <w:tcW w:w="1291" w:type="dxa"/>
            <w:tcBorders>
              <w:top w:val="nil"/>
              <w:left w:val="nil"/>
              <w:bottom w:val="single" w:sz="4" w:space="0" w:color="auto"/>
              <w:right w:val="single" w:sz="4" w:space="0" w:color="auto"/>
            </w:tcBorders>
            <w:noWrap/>
            <w:hideMark/>
          </w:tcPr>
          <w:p w14:paraId="213FFCB2" w14:textId="77777777" w:rsidR="00B03672" w:rsidRPr="007647EB" w:rsidRDefault="00B03672" w:rsidP="008123FC">
            <w:pPr>
              <w:pStyle w:val="Normal-pool-Table"/>
              <w:jc w:val="right"/>
              <w:rPr>
                <w:szCs w:val="18"/>
              </w:rPr>
            </w:pPr>
            <w:r w:rsidRPr="007647EB">
              <w:rPr>
                <w:color w:val="000000"/>
              </w:rPr>
              <w:t>183 584</w:t>
            </w:r>
          </w:p>
        </w:tc>
      </w:tr>
      <w:tr w:rsidR="00B03672" w:rsidRPr="007647EB" w14:paraId="7CF77DE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1F9586D" w14:textId="4A3903E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5C215D4" w14:textId="77777777" w:rsidR="00B03672" w:rsidRPr="007647EB" w:rsidRDefault="00B03672" w:rsidP="008123FC">
            <w:pPr>
              <w:pStyle w:val="Normal-pool-Table"/>
              <w:rPr>
                <w:szCs w:val="18"/>
              </w:rPr>
            </w:pPr>
            <w:r w:rsidRPr="007647EB">
              <w:rPr>
                <w:color w:val="000000"/>
              </w:rPr>
              <w:t>Danemark</w:t>
            </w:r>
          </w:p>
        </w:tc>
        <w:tc>
          <w:tcPr>
            <w:tcW w:w="1395" w:type="dxa"/>
            <w:tcBorders>
              <w:top w:val="nil"/>
              <w:left w:val="nil"/>
              <w:bottom w:val="single" w:sz="4" w:space="0" w:color="auto"/>
              <w:right w:val="single" w:sz="4" w:space="0" w:color="auto"/>
            </w:tcBorders>
            <w:noWrap/>
            <w:hideMark/>
          </w:tcPr>
          <w:p w14:paraId="41CC43C0" w14:textId="77777777" w:rsidR="00B03672" w:rsidRPr="007647EB" w:rsidRDefault="00B03672" w:rsidP="008123FC">
            <w:pPr>
              <w:pStyle w:val="Normal-pool-Table"/>
              <w:jc w:val="right"/>
              <w:rPr>
                <w:szCs w:val="18"/>
              </w:rPr>
            </w:pPr>
            <w:r w:rsidRPr="007647EB">
              <w:rPr>
                <w:color w:val="000000"/>
              </w:rPr>
              <w:t>0,531</w:t>
            </w:r>
          </w:p>
        </w:tc>
        <w:tc>
          <w:tcPr>
            <w:tcW w:w="1134" w:type="dxa"/>
            <w:tcBorders>
              <w:top w:val="nil"/>
              <w:left w:val="nil"/>
              <w:bottom w:val="single" w:sz="4" w:space="0" w:color="auto"/>
              <w:right w:val="single" w:sz="4" w:space="0" w:color="auto"/>
            </w:tcBorders>
            <w:noWrap/>
            <w:hideMark/>
          </w:tcPr>
          <w:p w14:paraId="544FFF81" w14:textId="77777777" w:rsidR="00B03672" w:rsidRPr="007647EB" w:rsidRDefault="00B03672" w:rsidP="008123FC">
            <w:pPr>
              <w:pStyle w:val="Normal-pool-Table"/>
              <w:jc w:val="right"/>
              <w:rPr>
                <w:szCs w:val="18"/>
              </w:rPr>
            </w:pPr>
            <w:r w:rsidRPr="007647EB">
              <w:rPr>
                <w:color w:val="000000"/>
              </w:rPr>
              <w:t>0,5359</w:t>
            </w:r>
          </w:p>
        </w:tc>
        <w:tc>
          <w:tcPr>
            <w:tcW w:w="1276" w:type="dxa"/>
            <w:tcBorders>
              <w:top w:val="nil"/>
              <w:left w:val="nil"/>
              <w:bottom w:val="single" w:sz="4" w:space="0" w:color="auto"/>
              <w:right w:val="single" w:sz="4" w:space="0" w:color="auto"/>
            </w:tcBorders>
            <w:noWrap/>
            <w:hideMark/>
          </w:tcPr>
          <w:p w14:paraId="1C09E124" w14:textId="77777777" w:rsidR="00B03672" w:rsidRPr="007647EB" w:rsidRDefault="00B03672" w:rsidP="008123FC">
            <w:pPr>
              <w:pStyle w:val="Normal-pool-Table"/>
              <w:jc w:val="right"/>
              <w:rPr>
                <w:szCs w:val="18"/>
              </w:rPr>
            </w:pPr>
            <w:r w:rsidRPr="007647EB">
              <w:rPr>
                <w:color w:val="000000"/>
              </w:rPr>
              <w:t>16 525</w:t>
            </w:r>
          </w:p>
        </w:tc>
        <w:tc>
          <w:tcPr>
            <w:tcW w:w="1276" w:type="dxa"/>
            <w:tcBorders>
              <w:top w:val="nil"/>
              <w:left w:val="nil"/>
              <w:bottom w:val="single" w:sz="4" w:space="0" w:color="auto"/>
              <w:right w:val="single" w:sz="4" w:space="0" w:color="auto"/>
            </w:tcBorders>
            <w:noWrap/>
            <w:hideMark/>
          </w:tcPr>
          <w:p w14:paraId="420EDD6C" w14:textId="77777777" w:rsidR="00B03672" w:rsidRPr="007647EB" w:rsidRDefault="00B03672" w:rsidP="008123FC">
            <w:pPr>
              <w:pStyle w:val="Normal-pool-Table"/>
              <w:jc w:val="right"/>
              <w:rPr>
                <w:szCs w:val="18"/>
              </w:rPr>
            </w:pPr>
            <w:r w:rsidRPr="007647EB">
              <w:rPr>
                <w:color w:val="000000"/>
              </w:rPr>
              <w:t>21 809</w:t>
            </w:r>
          </w:p>
        </w:tc>
        <w:tc>
          <w:tcPr>
            <w:tcW w:w="1291" w:type="dxa"/>
            <w:tcBorders>
              <w:top w:val="nil"/>
              <w:left w:val="nil"/>
              <w:bottom w:val="single" w:sz="4" w:space="0" w:color="auto"/>
              <w:right w:val="single" w:sz="4" w:space="0" w:color="auto"/>
            </w:tcBorders>
            <w:noWrap/>
            <w:hideMark/>
          </w:tcPr>
          <w:p w14:paraId="4F514CAE" w14:textId="77777777" w:rsidR="00B03672" w:rsidRPr="007647EB" w:rsidRDefault="00B03672" w:rsidP="008123FC">
            <w:pPr>
              <w:pStyle w:val="Normal-pool-Table"/>
              <w:jc w:val="right"/>
              <w:rPr>
                <w:szCs w:val="18"/>
              </w:rPr>
            </w:pPr>
            <w:r w:rsidRPr="007647EB">
              <w:rPr>
                <w:color w:val="000000"/>
              </w:rPr>
              <w:t>38 334</w:t>
            </w:r>
          </w:p>
        </w:tc>
      </w:tr>
      <w:tr w:rsidR="00B03672" w:rsidRPr="007647EB" w14:paraId="66E2EDE0"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DA53CAA" w14:textId="08582CE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7151F73" w14:textId="77777777" w:rsidR="00B03672" w:rsidRPr="007647EB" w:rsidRDefault="00B03672" w:rsidP="008123FC">
            <w:pPr>
              <w:pStyle w:val="Normal-pool-Table"/>
              <w:rPr>
                <w:szCs w:val="18"/>
              </w:rPr>
            </w:pPr>
            <w:r w:rsidRPr="007647EB">
              <w:rPr>
                <w:color w:val="000000"/>
              </w:rPr>
              <w:t>Espagne</w:t>
            </w:r>
          </w:p>
        </w:tc>
        <w:tc>
          <w:tcPr>
            <w:tcW w:w="1395" w:type="dxa"/>
            <w:tcBorders>
              <w:top w:val="nil"/>
              <w:left w:val="nil"/>
              <w:bottom w:val="single" w:sz="4" w:space="0" w:color="auto"/>
              <w:right w:val="single" w:sz="4" w:space="0" w:color="auto"/>
            </w:tcBorders>
            <w:noWrap/>
            <w:hideMark/>
          </w:tcPr>
          <w:p w14:paraId="50644283" w14:textId="77777777" w:rsidR="00B03672" w:rsidRPr="007647EB" w:rsidRDefault="00B03672" w:rsidP="008123FC">
            <w:pPr>
              <w:pStyle w:val="Normal-pool-Table"/>
              <w:jc w:val="right"/>
              <w:rPr>
                <w:szCs w:val="18"/>
              </w:rPr>
            </w:pPr>
            <w:r w:rsidRPr="007647EB">
              <w:rPr>
                <w:color w:val="000000"/>
              </w:rPr>
              <w:t>1,895</w:t>
            </w:r>
          </w:p>
        </w:tc>
        <w:tc>
          <w:tcPr>
            <w:tcW w:w="1134" w:type="dxa"/>
            <w:tcBorders>
              <w:top w:val="nil"/>
              <w:left w:val="nil"/>
              <w:bottom w:val="single" w:sz="4" w:space="0" w:color="auto"/>
              <w:right w:val="single" w:sz="4" w:space="0" w:color="auto"/>
            </w:tcBorders>
            <w:noWrap/>
            <w:hideMark/>
          </w:tcPr>
          <w:p w14:paraId="31587D39" w14:textId="77777777" w:rsidR="00B03672" w:rsidRPr="007647EB" w:rsidRDefault="00B03672" w:rsidP="008123FC">
            <w:pPr>
              <w:pStyle w:val="Normal-pool-Table"/>
              <w:jc w:val="right"/>
              <w:rPr>
                <w:szCs w:val="18"/>
              </w:rPr>
            </w:pPr>
            <w:r w:rsidRPr="007647EB">
              <w:rPr>
                <w:color w:val="000000"/>
              </w:rPr>
              <w:t>1,9126</w:t>
            </w:r>
          </w:p>
        </w:tc>
        <w:tc>
          <w:tcPr>
            <w:tcW w:w="1276" w:type="dxa"/>
            <w:tcBorders>
              <w:top w:val="nil"/>
              <w:left w:val="nil"/>
              <w:bottom w:val="single" w:sz="4" w:space="0" w:color="auto"/>
              <w:right w:val="single" w:sz="4" w:space="0" w:color="auto"/>
            </w:tcBorders>
            <w:noWrap/>
            <w:hideMark/>
          </w:tcPr>
          <w:p w14:paraId="2AC8C12F" w14:textId="77777777" w:rsidR="00B03672" w:rsidRPr="007647EB" w:rsidRDefault="00B03672" w:rsidP="008123FC">
            <w:pPr>
              <w:pStyle w:val="Normal-pool-Table"/>
              <w:jc w:val="right"/>
              <w:rPr>
                <w:szCs w:val="18"/>
              </w:rPr>
            </w:pPr>
            <w:r w:rsidRPr="007647EB">
              <w:rPr>
                <w:color w:val="000000"/>
              </w:rPr>
              <w:t>58 973</w:t>
            </w:r>
          </w:p>
        </w:tc>
        <w:tc>
          <w:tcPr>
            <w:tcW w:w="1276" w:type="dxa"/>
            <w:tcBorders>
              <w:top w:val="nil"/>
              <w:left w:val="nil"/>
              <w:bottom w:val="single" w:sz="4" w:space="0" w:color="auto"/>
              <w:right w:val="single" w:sz="4" w:space="0" w:color="auto"/>
            </w:tcBorders>
            <w:noWrap/>
            <w:hideMark/>
          </w:tcPr>
          <w:p w14:paraId="72A7FADE" w14:textId="77777777" w:rsidR="00B03672" w:rsidRPr="007647EB" w:rsidRDefault="00B03672" w:rsidP="008123FC">
            <w:pPr>
              <w:pStyle w:val="Normal-pool-Table"/>
              <w:jc w:val="right"/>
              <w:rPr>
                <w:szCs w:val="18"/>
              </w:rPr>
            </w:pPr>
            <w:r w:rsidRPr="007647EB">
              <w:rPr>
                <w:color w:val="000000"/>
              </w:rPr>
              <w:t>77 831</w:t>
            </w:r>
          </w:p>
        </w:tc>
        <w:tc>
          <w:tcPr>
            <w:tcW w:w="1291" w:type="dxa"/>
            <w:tcBorders>
              <w:top w:val="nil"/>
              <w:left w:val="nil"/>
              <w:bottom w:val="single" w:sz="4" w:space="0" w:color="auto"/>
              <w:right w:val="single" w:sz="4" w:space="0" w:color="auto"/>
            </w:tcBorders>
            <w:noWrap/>
            <w:hideMark/>
          </w:tcPr>
          <w:p w14:paraId="31500BD6" w14:textId="77777777" w:rsidR="00B03672" w:rsidRPr="007647EB" w:rsidRDefault="00B03672" w:rsidP="008123FC">
            <w:pPr>
              <w:pStyle w:val="Normal-pool-Table"/>
              <w:jc w:val="right"/>
              <w:rPr>
                <w:szCs w:val="18"/>
              </w:rPr>
            </w:pPr>
            <w:r w:rsidRPr="007647EB">
              <w:rPr>
                <w:color w:val="000000"/>
              </w:rPr>
              <w:t>136 804</w:t>
            </w:r>
          </w:p>
        </w:tc>
      </w:tr>
      <w:tr w:rsidR="00B03672" w:rsidRPr="007647EB" w14:paraId="6175631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2ACCA21D" w14:textId="39C0892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773F00E" w14:textId="3CC2CB33" w:rsidR="00B03672" w:rsidRPr="007647EB" w:rsidRDefault="00B03672" w:rsidP="008123FC">
            <w:pPr>
              <w:pStyle w:val="Normal-pool-Table"/>
              <w:rPr>
                <w:szCs w:val="18"/>
              </w:rPr>
            </w:pPr>
            <w:r w:rsidRPr="007647EB">
              <w:rPr>
                <w:color w:val="000000"/>
              </w:rPr>
              <w:t>États-Unis d</w:t>
            </w:r>
            <w:r w:rsidR="00D82E47" w:rsidRPr="007647EB">
              <w:rPr>
                <w:color w:val="000000"/>
              </w:rPr>
              <w:t>’</w:t>
            </w:r>
            <w:r w:rsidRPr="007647EB">
              <w:rPr>
                <w:color w:val="000000"/>
              </w:rPr>
              <w:t>Amérique</w:t>
            </w:r>
          </w:p>
        </w:tc>
        <w:tc>
          <w:tcPr>
            <w:tcW w:w="1395" w:type="dxa"/>
            <w:tcBorders>
              <w:top w:val="nil"/>
              <w:left w:val="nil"/>
              <w:bottom w:val="single" w:sz="4" w:space="0" w:color="auto"/>
              <w:right w:val="single" w:sz="4" w:space="0" w:color="auto"/>
            </w:tcBorders>
            <w:noWrap/>
            <w:hideMark/>
          </w:tcPr>
          <w:p w14:paraId="05CD0170" w14:textId="77777777" w:rsidR="00B03672" w:rsidRPr="007647EB" w:rsidRDefault="00B03672" w:rsidP="008123FC">
            <w:pPr>
              <w:pStyle w:val="Normal-pool-Table"/>
              <w:jc w:val="right"/>
              <w:rPr>
                <w:szCs w:val="18"/>
              </w:rPr>
            </w:pPr>
            <w:r w:rsidRPr="007647EB">
              <w:rPr>
                <w:color w:val="000000"/>
              </w:rPr>
              <w:t>22</w:t>
            </w:r>
          </w:p>
        </w:tc>
        <w:tc>
          <w:tcPr>
            <w:tcW w:w="1134" w:type="dxa"/>
            <w:tcBorders>
              <w:top w:val="nil"/>
              <w:left w:val="nil"/>
              <w:bottom w:val="single" w:sz="4" w:space="0" w:color="auto"/>
              <w:right w:val="single" w:sz="4" w:space="0" w:color="auto"/>
            </w:tcBorders>
            <w:noWrap/>
            <w:hideMark/>
          </w:tcPr>
          <w:p w14:paraId="24BCC995" w14:textId="77777777" w:rsidR="00B03672" w:rsidRPr="007647EB" w:rsidRDefault="00B03672" w:rsidP="008123FC">
            <w:pPr>
              <w:pStyle w:val="Normal-pool-Table"/>
              <w:jc w:val="right"/>
              <w:rPr>
                <w:szCs w:val="18"/>
              </w:rPr>
            </w:pPr>
            <w:r w:rsidRPr="007647EB">
              <w:rPr>
                <w:color w:val="000000"/>
              </w:rPr>
              <w:t>22,0000</w:t>
            </w:r>
          </w:p>
        </w:tc>
        <w:tc>
          <w:tcPr>
            <w:tcW w:w="1276" w:type="dxa"/>
            <w:tcBorders>
              <w:top w:val="nil"/>
              <w:left w:val="nil"/>
              <w:bottom w:val="single" w:sz="4" w:space="0" w:color="auto"/>
              <w:right w:val="single" w:sz="4" w:space="0" w:color="auto"/>
            </w:tcBorders>
            <w:noWrap/>
            <w:hideMark/>
          </w:tcPr>
          <w:p w14:paraId="798E0CD4" w14:textId="77777777" w:rsidR="00B03672" w:rsidRPr="007647EB" w:rsidRDefault="00B03672" w:rsidP="008123FC">
            <w:pPr>
              <w:pStyle w:val="Normal-pool-Table"/>
              <w:jc w:val="right"/>
              <w:rPr>
                <w:szCs w:val="18"/>
              </w:rPr>
            </w:pPr>
            <w:r w:rsidRPr="007647EB">
              <w:rPr>
                <w:color w:val="000000"/>
              </w:rPr>
              <w:t>678 337</w:t>
            </w:r>
          </w:p>
        </w:tc>
        <w:tc>
          <w:tcPr>
            <w:tcW w:w="1276" w:type="dxa"/>
            <w:tcBorders>
              <w:top w:val="nil"/>
              <w:left w:val="nil"/>
              <w:bottom w:val="single" w:sz="4" w:space="0" w:color="auto"/>
              <w:right w:val="single" w:sz="4" w:space="0" w:color="auto"/>
            </w:tcBorders>
            <w:noWrap/>
            <w:hideMark/>
          </w:tcPr>
          <w:p w14:paraId="598F0797" w14:textId="77777777" w:rsidR="00B03672" w:rsidRPr="007647EB" w:rsidRDefault="00B03672" w:rsidP="008123FC">
            <w:pPr>
              <w:pStyle w:val="Normal-pool-Table"/>
              <w:jc w:val="right"/>
              <w:rPr>
                <w:szCs w:val="18"/>
              </w:rPr>
            </w:pPr>
            <w:r w:rsidRPr="007647EB">
              <w:rPr>
                <w:color w:val="000000"/>
              </w:rPr>
              <w:t>895 240</w:t>
            </w:r>
          </w:p>
        </w:tc>
        <w:tc>
          <w:tcPr>
            <w:tcW w:w="1291" w:type="dxa"/>
            <w:tcBorders>
              <w:top w:val="nil"/>
              <w:left w:val="nil"/>
              <w:bottom w:val="single" w:sz="4" w:space="0" w:color="auto"/>
              <w:right w:val="single" w:sz="4" w:space="0" w:color="auto"/>
            </w:tcBorders>
            <w:noWrap/>
            <w:hideMark/>
          </w:tcPr>
          <w:p w14:paraId="5F231F52" w14:textId="77777777" w:rsidR="00B03672" w:rsidRPr="007647EB" w:rsidRDefault="00B03672" w:rsidP="008123FC">
            <w:pPr>
              <w:pStyle w:val="Normal-pool-Table"/>
              <w:jc w:val="right"/>
              <w:rPr>
                <w:szCs w:val="18"/>
              </w:rPr>
            </w:pPr>
            <w:r w:rsidRPr="007647EB">
              <w:rPr>
                <w:color w:val="000000"/>
              </w:rPr>
              <w:t>1 573 577</w:t>
            </w:r>
          </w:p>
        </w:tc>
      </w:tr>
      <w:tr w:rsidR="00B03672" w:rsidRPr="007647EB" w14:paraId="0463257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F67E63C" w14:textId="2A5A0C63"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7FF88D6B" w14:textId="77777777" w:rsidR="00B03672" w:rsidRPr="007647EB" w:rsidRDefault="00B03672" w:rsidP="008123FC">
            <w:pPr>
              <w:pStyle w:val="Normal-pool-Table"/>
              <w:rPr>
                <w:szCs w:val="18"/>
              </w:rPr>
            </w:pPr>
            <w:r w:rsidRPr="007647EB">
              <w:rPr>
                <w:color w:val="000000"/>
              </w:rPr>
              <w:t>Finlande</w:t>
            </w:r>
          </w:p>
        </w:tc>
        <w:tc>
          <w:tcPr>
            <w:tcW w:w="1395" w:type="dxa"/>
            <w:tcBorders>
              <w:top w:val="nil"/>
              <w:left w:val="nil"/>
              <w:bottom w:val="single" w:sz="4" w:space="0" w:color="auto"/>
              <w:right w:val="single" w:sz="4" w:space="0" w:color="auto"/>
            </w:tcBorders>
            <w:noWrap/>
            <w:hideMark/>
          </w:tcPr>
          <w:p w14:paraId="7D564B5C" w14:textId="77777777" w:rsidR="00B03672" w:rsidRPr="007647EB" w:rsidRDefault="00B03672" w:rsidP="008123FC">
            <w:pPr>
              <w:pStyle w:val="Normal-pool-Table"/>
              <w:jc w:val="right"/>
              <w:rPr>
                <w:szCs w:val="18"/>
              </w:rPr>
            </w:pPr>
            <w:r w:rsidRPr="007647EB">
              <w:rPr>
                <w:color w:val="000000"/>
              </w:rPr>
              <w:t>0,386</w:t>
            </w:r>
          </w:p>
        </w:tc>
        <w:tc>
          <w:tcPr>
            <w:tcW w:w="1134" w:type="dxa"/>
            <w:tcBorders>
              <w:top w:val="nil"/>
              <w:left w:val="nil"/>
              <w:bottom w:val="single" w:sz="4" w:space="0" w:color="auto"/>
              <w:right w:val="single" w:sz="4" w:space="0" w:color="auto"/>
            </w:tcBorders>
            <w:noWrap/>
            <w:hideMark/>
          </w:tcPr>
          <w:p w14:paraId="7296149C" w14:textId="77777777" w:rsidR="00B03672" w:rsidRPr="007647EB" w:rsidRDefault="00B03672" w:rsidP="008123FC">
            <w:pPr>
              <w:pStyle w:val="Normal-pool-Table"/>
              <w:jc w:val="right"/>
              <w:rPr>
                <w:szCs w:val="18"/>
              </w:rPr>
            </w:pPr>
            <w:r w:rsidRPr="007647EB">
              <w:rPr>
                <w:color w:val="000000"/>
              </w:rPr>
              <w:t>0,3896</w:t>
            </w:r>
          </w:p>
        </w:tc>
        <w:tc>
          <w:tcPr>
            <w:tcW w:w="1276" w:type="dxa"/>
            <w:tcBorders>
              <w:top w:val="nil"/>
              <w:left w:val="nil"/>
              <w:bottom w:val="single" w:sz="4" w:space="0" w:color="auto"/>
              <w:right w:val="single" w:sz="4" w:space="0" w:color="auto"/>
            </w:tcBorders>
            <w:noWrap/>
            <w:hideMark/>
          </w:tcPr>
          <w:p w14:paraId="02A19F2F" w14:textId="77777777" w:rsidR="00B03672" w:rsidRPr="007647EB" w:rsidRDefault="00B03672" w:rsidP="008123FC">
            <w:pPr>
              <w:pStyle w:val="Normal-pool-Table"/>
              <w:jc w:val="right"/>
              <w:rPr>
                <w:szCs w:val="18"/>
              </w:rPr>
            </w:pPr>
            <w:r w:rsidRPr="007647EB">
              <w:rPr>
                <w:color w:val="000000"/>
              </w:rPr>
              <w:t>12 013</w:t>
            </w:r>
          </w:p>
        </w:tc>
        <w:tc>
          <w:tcPr>
            <w:tcW w:w="1276" w:type="dxa"/>
            <w:tcBorders>
              <w:top w:val="nil"/>
              <w:left w:val="nil"/>
              <w:bottom w:val="single" w:sz="4" w:space="0" w:color="auto"/>
              <w:right w:val="single" w:sz="4" w:space="0" w:color="auto"/>
            </w:tcBorders>
            <w:noWrap/>
            <w:hideMark/>
          </w:tcPr>
          <w:p w14:paraId="0D6480F4" w14:textId="77777777" w:rsidR="00B03672" w:rsidRPr="007647EB" w:rsidRDefault="00B03672" w:rsidP="008123FC">
            <w:pPr>
              <w:pStyle w:val="Normal-pool-Table"/>
              <w:jc w:val="right"/>
              <w:rPr>
                <w:szCs w:val="18"/>
              </w:rPr>
            </w:pPr>
            <w:r w:rsidRPr="007647EB">
              <w:rPr>
                <w:color w:val="000000"/>
              </w:rPr>
              <w:t>15 854</w:t>
            </w:r>
          </w:p>
        </w:tc>
        <w:tc>
          <w:tcPr>
            <w:tcW w:w="1291" w:type="dxa"/>
            <w:tcBorders>
              <w:top w:val="nil"/>
              <w:left w:val="nil"/>
              <w:bottom w:val="single" w:sz="4" w:space="0" w:color="auto"/>
              <w:right w:val="single" w:sz="4" w:space="0" w:color="auto"/>
            </w:tcBorders>
            <w:noWrap/>
            <w:hideMark/>
          </w:tcPr>
          <w:p w14:paraId="63B3D0EE" w14:textId="77777777" w:rsidR="00B03672" w:rsidRPr="007647EB" w:rsidRDefault="00B03672" w:rsidP="008123FC">
            <w:pPr>
              <w:pStyle w:val="Normal-pool-Table"/>
              <w:jc w:val="right"/>
              <w:rPr>
                <w:szCs w:val="18"/>
              </w:rPr>
            </w:pPr>
            <w:r w:rsidRPr="007647EB">
              <w:rPr>
                <w:color w:val="000000"/>
              </w:rPr>
              <w:t>27 866</w:t>
            </w:r>
          </w:p>
        </w:tc>
      </w:tr>
      <w:tr w:rsidR="00B03672" w:rsidRPr="007647EB" w14:paraId="765A108D"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AA0E207" w14:textId="5B99F16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90C0F4B" w14:textId="77777777" w:rsidR="00B03672" w:rsidRPr="007647EB" w:rsidRDefault="00B03672" w:rsidP="008123FC">
            <w:pPr>
              <w:pStyle w:val="Normal-pool-Table"/>
              <w:rPr>
                <w:szCs w:val="18"/>
              </w:rPr>
            </w:pPr>
            <w:r w:rsidRPr="007647EB">
              <w:rPr>
                <w:color w:val="000000"/>
              </w:rPr>
              <w:t>France</w:t>
            </w:r>
          </w:p>
        </w:tc>
        <w:tc>
          <w:tcPr>
            <w:tcW w:w="1395" w:type="dxa"/>
            <w:tcBorders>
              <w:top w:val="nil"/>
              <w:left w:val="nil"/>
              <w:bottom w:val="single" w:sz="4" w:space="0" w:color="auto"/>
              <w:right w:val="single" w:sz="4" w:space="0" w:color="auto"/>
            </w:tcBorders>
            <w:noWrap/>
            <w:hideMark/>
          </w:tcPr>
          <w:p w14:paraId="1EB3878A" w14:textId="77777777" w:rsidR="00B03672" w:rsidRPr="007647EB" w:rsidRDefault="00B03672" w:rsidP="008123FC">
            <w:pPr>
              <w:pStyle w:val="Normal-pool-Table"/>
              <w:jc w:val="right"/>
              <w:rPr>
                <w:szCs w:val="18"/>
              </w:rPr>
            </w:pPr>
            <w:r w:rsidRPr="007647EB">
              <w:rPr>
                <w:color w:val="000000"/>
              </w:rPr>
              <w:t>3,858</w:t>
            </w:r>
          </w:p>
        </w:tc>
        <w:tc>
          <w:tcPr>
            <w:tcW w:w="1134" w:type="dxa"/>
            <w:tcBorders>
              <w:top w:val="nil"/>
              <w:left w:val="nil"/>
              <w:bottom w:val="single" w:sz="4" w:space="0" w:color="auto"/>
              <w:right w:val="single" w:sz="4" w:space="0" w:color="auto"/>
            </w:tcBorders>
            <w:noWrap/>
            <w:hideMark/>
          </w:tcPr>
          <w:p w14:paraId="6863840F" w14:textId="77777777" w:rsidR="00B03672" w:rsidRPr="007647EB" w:rsidRDefault="00B03672" w:rsidP="008123FC">
            <w:pPr>
              <w:pStyle w:val="Normal-pool-Table"/>
              <w:jc w:val="right"/>
              <w:rPr>
                <w:szCs w:val="18"/>
              </w:rPr>
            </w:pPr>
            <w:r w:rsidRPr="007647EB">
              <w:rPr>
                <w:color w:val="000000"/>
              </w:rPr>
              <w:t>3,8939</w:t>
            </w:r>
          </w:p>
        </w:tc>
        <w:tc>
          <w:tcPr>
            <w:tcW w:w="1276" w:type="dxa"/>
            <w:tcBorders>
              <w:top w:val="nil"/>
              <w:left w:val="nil"/>
              <w:bottom w:val="single" w:sz="4" w:space="0" w:color="auto"/>
              <w:right w:val="single" w:sz="4" w:space="0" w:color="auto"/>
            </w:tcBorders>
            <w:noWrap/>
            <w:hideMark/>
          </w:tcPr>
          <w:p w14:paraId="4CCE25DD" w14:textId="77777777" w:rsidR="00B03672" w:rsidRPr="007647EB" w:rsidRDefault="00B03672" w:rsidP="008123FC">
            <w:pPr>
              <w:pStyle w:val="Normal-pool-Table"/>
              <w:jc w:val="right"/>
              <w:rPr>
                <w:szCs w:val="18"/>
              </w:rPr>
            </w:pPr>
            <w:r w:rsidRPr="007647EB">
              <w:rPr>
                <w:color w:val="000000"/>
              </w:rPr>
              <w:t>120 063</w:t>
            </w:r>
          </w:p>
        </w:tc>
        <w:tc>
          <w:tcPr>
            <w:tcW w:w="1276" w:type="dxa"/>
            <w:tcBorders>
              <w:top w:val="nil"/>
              <w:left w:val="nil"/>
              <w:bottom w:val="single" w:sz="4" w:space="0" w:color="auto"/>
              <w:right w:val="single" w:sz="4" w:space="0" w:color="auto"/>
            </w:tcBorders>
            <w:noWrap/>
            <w:hideMark/>
          </w:tcPr>
          <w:p w14:paraId="1B8F7723" w14:textId="77777777" w:rsidR="00B03672" w:rsidRPr="007647EB" w:rsidRDefault="00B03672" w:rsidP="008123FC">
            <w:pPr>
              <w:pStyle w:val="Normal-pool-Table"/>
              <w:jc w:val="right"/>
              <w:rPr>
                <w:szCs w:val="18"/>
              </w:rPr>
            </w:pPr>
            <w:r w:rsidRPr="007647EB">
              <w:rPr>
                <w:color w:val="000000"/>
              </w:rPr>
              <w:t>158 454</w:t>
            </w:r>
          </w:p>
        </w:tc>
        <w:tc>
          <w:tcPr>
            <w:tcW w:w="1291" w:type="dxa"/>
            <w:tcBorders>
              <w:top w:val="nil"/>
              <w:left w:val="nil"/>
              <w:bottom w:val="single" w:sz="4" w:space="0" w:color="auto"/>
              <w:right w:val="single" w:sz="4" w:space="0" w:color="auto"/>
            </w:tcBorders>
            <w:noWrap/>
            <w:hideMark/>
          </w:tcPr>
          <w:p w14:paraId="69DA4A1C" w14:textId="77777777" w:rsidR="00B03672" w:rsidRPr="007647EB" w:rsidRDefault="00B03672" w:rsidP="008123FC">
            <w:pPr>
              <w:pStyle w:val="Normal-pool-Table"/>
              <w:jc w:val="right"/>
              <w:rPr>
                <w:szCs w:val="18"/>
              </w:rPr>
            </w:pPr>
            <w:r w:rsidRPr="007647EB">
              <w:rPr>
                <w:color w:val="000000"/>
              </w:rPr>
              <w:t>278 517</w:t>
            </w:r>
          </w:p>
        </w:tc>
      </w:tr>
      <w:tr w:rsidR="00B03672" w:rsidRPr="007647EB" w14:paraId="7C3BD02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839DF24" w14:textId="3BCFDD0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F3253E6" w14:textId="77777777" w:rsidR="00B03672" w:rsidRPr="007647EB" w:rsidRDefault="00B03672" w:rsidP="008123FC">
            <w:pPr>
              <w:pStyle w:val="Normal-pool-Table"/>
              <w:rPr>
                <w:szCs w:val="18"/>
              </w:rPr>
            </w:pPr>
            <w:r w:rsidRPr="007647EB">
              <w:rPr>
                <w:color w:val="000000"/>
              </w:rPr>
              <w:t>Grèce</w:t>
            </w:r>
          </w:p>
        </w:tc>
        <w:tc>
          <w:tcPr>
            <w:tcW w:w="1395" w:type="dxa"/>
            <w:tcBorders>
              <w:top w:val="nil"/>
              <w:left w:val="nil"/>
              <w:bottom w:val="single" w:sz="4" w:space="0" w:color="auto"/>
              <w:right w:val="single" w:sz="4" w:space="0" w:color="auto"/>
            </w:tcBorders>
            <w:noWrap/>
            <w:hideMark/>
          </w:tcPr>
          <w:p w14:paraId="28C98715" w14:textId="77777777" w:rsidR="00B03672" w:rsidRPr="007647EB" w:rsidRDefault="00B03672" w:rsidP="008123FC">
            <w:pPr>
              <w:pStyle w:val="Normal-pool-Table"/>
              <w:jc w:val="right"/>
              <w:rPr>
                <w:szCs w:val="18"/>
              </w:rPr>
            </w:pPr>
            <w:r w:rsidRPr="007647EB">
              <w:rPr>
                <w:color w:val="000000"/>
              </w:rPr>
              <w:t>0,28</w:t>
            </w:r>
          </w:p>
        </w:tc>
        <w:tc>
          <w:tcPr>
            <w:tcW w:w="1134" w:type="dxa"/>
            <w:tcBorders>
              <w:top w:val="nil"/>
              <w:left w:val="nil"/>
              <w:bottom w:val="single" w:sz="4" w:space="0" w:color="auto"/>
              <w:right w:val="single" w:sz="4" w:space="0" w:color="auto"/>
            </w:tcBorders>
            <w:noWrap/>
            <w:hideMark/>
          </w:tcPr>
          <w:p w14:paraId="564FF304" w14:textId="77777777" w:rsidR="00B03672" w:rsidRPr="007647EB" w:rsidRDefault="00B03672" w:rsidP="008123FC">
            <w:pPr>
              <w:pStyle w:val="Normal-pool-Table"/>
              <w:jc w:val="right"/>
              <w:rPr>
                <w:szCs w:val="18"/>
              </w:rPr>
            </w:pPr>
            <w:r w:rsidRPr="007647EB">
              <w:rPr>
                <w:color w:val="000000"/>
              </w:rPr>
              <w:t>0,2826</w:t>
            </w:r>
          </w:p>
        </w:tc>
        <w:tc>
          <w:tcPr>
            <w:tcW w:w="1276" w:type="dxa"/>
            <w:tcBorders>
              <w:top w:val="nil"/>
              <w:left w:val="nil"/>
              <w:bottom w:val="single" w:sz="4" w:space="0" w:color="auto"/>
              <w:right w:val="single" w:sz="4" w:space="0" w:color="auto"/>
            </w:tcBorders>
            <w:noWrap/>
            <w:hideMark/>
          </w:tcPr>
          <w:p w14:paraId="542AB7BE" w14:textId="77777777" w:rsidR="00B03672" w:rsidRPr="007647EB" w:rsidRDefault="00B03672" w:rsidP="008123FC">
            <w:pPr>
              <w:pStyle w:val="Normal-pool-Table"/>
              <w:jc w:val="right"/>
              <w:rPr>
                <w:szCs w:val="18"/>
              </w:rPr>
            </w:pPr>
            <w:r w:rsidRPr="007647EB">
              <w:rPr>
                <w:color w:val="000000"/>
              </w:rPr>
              <w:t>8 714</w:t>
            </w:r>
          </w:p>
        </w:tc>
        <w:tc>
          <w:tcPr>
            <w:tcW w:w="1276" w:type="dxa"/>
            <w:tcBorders>
              <w:top w:val="nil"/>
              <w:left w:val="nil"/>
              <w:bottom w:val="single" w:sz="4" w:space="0" w:color="auto"/>
              <w:right w:val="single" w:sz="4" w:space="0" w:color="auto"/>
            </w:tcBorders>
            <w:noWrap/>
            <w:hideMark/>
          </w:tcPr>
          <w:p w14:paraId="05D7E552" w14:textId="77777777" w:rsidR="00B03672" w:rsidRPr="007647EB" w:rsidRDefault="00B03672" w:rsidP="008123FC">
            <w:pPr>
              <w:pStyle w:val="Normal-pool-Table"/>
              <w:jc w:val="right"/>
              <w:rPr>
                <w:szCs w:val="18"/>
              </w:rPr>
            </w:pPr>
            <w:r w:rsidRPr="007647EB">
              <w:rPr>
                <w:color w:val="000000"/>
              </w:rPr>
              <w:t>11 500</w:t>
            </w:r>
          </w:p>
        </w:tc>
        <w:tc>
          <w:tcPr>
            <w:tcW w:w="1291" w:type="dxa"/>
            <w:tcBorders>
              <w:top w:val="nil"/>
              <w:left w:val="nil"/>
              <w:bottom w:val="single" w:sz="4" w:space="0" w:color="auto"/>
              <w:right w:val="single" w:sz="4" w:space="0" w:color="auto"/>
            </w:tcBorders>
            <w:noWrap/>
            <w:hideMark/>
          </w:tcPr>
          <w:p w14:paraId="4685207A" w14:textId="77777777" w:rsidR="00B03672" w:rsidRPr="007647EB" w:rsidRDefault="00B03672" w:rsidP="008123FC">
            <w:pPr>
              <w:pStyle w:val="Normal-pool-Table"/>
              <w:jc w:val="right"/>
              <w:rPr>
                <w:szCs w:val="18"/>
              </w:rPr>
            </w:pPr>
            <w:r w:rsidRPr="007647EB">
              <w:rPr>
                <w:color w:val="000000"/>
              </w:rPr>
              <w:t>20 214</w:t>
            </w:r>
          </w:p>
        </w:tc>
      </w:tr>
      <w:tr w:rsidR="00B03672" w:rsidRPr="007647EB" w14:paraId="39A4148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DADF863" w14:textId="305F4E1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361E9DB2" w14:textId="77777777" w:rsidR="00B03672" w:rsidRPr="007647EB" w:rsidRDefault="00B03672" w:rsidP="008123FC">
            <w:pPr>
              <w:pStyle w:val="Normal-pool-Table"/>
              <w:rPr>
                <w:szCs w:val="18"/>
              </w:rPr>
            </w:pPr>
            <w:r w:rsidRPr="007647EB">
              <w:rPr>
                <w:color w:val="000000"/>
              </w:rPr>
              <w:t>Irlande</w:t>
            </w:r>
          </w:p>
        </w:tc>
        <w:tc>
          <w:tcPr>
            <w:tcW w:w="1395" w:type="dxa"/>
            <w:tcBorders>
              <w:top w:val="nil"/>
              <w:left w:val="nil"/>
              <w:bottom w:val="single" w:sz="4" w:space="0" w:color="auto"/>
              <w:right w:val="single" w:sz="4" w:space="0" w:color="auto"/>
            </w:tcBorders>
            <w:noWrap/>
            <w:hideMark/>
          </w:tcPr>
          <w:p w14:paraId="4F948430" w14:textId="77777777" w:rsidR="00B03672" w:rsidRPr="007647EB" w:rsidRDefault="00B03672" w:rsidP="008123FC">
            <w:pPr>
              <w:pStyle w:val="Normal-pool-Table"/>
              <w:jc w:val="right"/>
              <w:rPr>
                <w:szCs w:val="18"/>
              </w:rPr>
            </w:pPr>
            <w:r w:rsidRPr="007647EB">
              <w:rPr>
                <w:color w:val="000000"/>
              </w:rPr>
              <w:t>0,472</w:t>
            </w:r>
          </w:p>
        </w:tc>
        <w:tc>
          <w:tcPr>
            <w:tcW w:w="1134" w:type="dxa"/>
            <w:tcBorders>
              <w:top w:val="nil"/>
              <w:left w:val="nil"/>
              <w:bottom w:val="single" w:sz="4" w:space="0" w:color="auto"/>
              <w:right w:val="single" w:sz="4" w:space="0" w:color="auto"/>
            </w:tcBorders>
            <w:noWrap/>
            <w:hideMark/>
          </w:tcPr>
          <w:p w14:paraId="0FA00D11" w14:textId="77777777" w:rsidR="00B03672" w:rsidRPr="007647EB" w:rsidRDefault="00B03672" w:rsidP="008123FC">
            <w:pPr>
              <w:pStyle w:val="Normal-pool-Table"/>
              <w:jc w:val="right"/>
              <w:rPr>
                <w:szCs w:val="18"/>
              </w:rPr>
            </w:pPr>
            <w:r w:rsidRPr="007647EB">
              <w:rPr>
                <w:color w:val="000000"/>
              </w:rPr>
              <w:t>0,4764</w:t>
            </w:r>
          </w:p>
        </w:tc>
        <w:tc>
          <w:tcPr>
            <w:tcW w:w="1276" w:type="dxa"/>
            <w:tcBorders>
              <w:top w:val="nil"/>
              <w:left w:val="nil"/>
              <w:bottom w:val="single" w:sz="4" w:space="0" w:color="auto"/>
              <w:right w:val="single" w:sz="4" w:space="0" w:color="auto"/>
            </w:tcBorders>
            <w:noWrap/>
            <w:hideMark/>
          </w:tcPr>
          <w:p w14:paraId="0A2200AC" w14:textId="77777777" w:rsidR="00B03672" w:rsidRPr="007647EB" w:rsidRDefault="00B03672" w:rsidP="008123FC">
            <w:pPr>
              <w:pStyle w:val="Normal-pool-Table"/>
              <w:jc w:val="right"/>
              <w:rPr>
                <w:szCs w:val="18"/>
              </w:rPr>
            </w:pPr>
            <w:r w:rsidRPr="007647EB">
              <w:rPr>
                <w:color w:val="000000"/>
              </w:rPr>
              <w:t>14 689</w:t>
            </w:r>
          </w:p>
        </w:tc>
        <w:tc>
          <w:tcPr>
            <w:tcW w:w="1276" w:type="dxa"/>
            <w:tcBorders>
              <w:top w:val="nil"/>
              <w:left w:val="nil"/>
              <w:bottom w:val="single" w:sz="4" w:space="0" w:color="auto"/>
              <w:right w:val="single" w:sz="4" w:space="0" w:color="auto"/>
            </w:tcBorders>
            <w:noWrap/>
            <w:hideMark/>
          </w:tcPr>
          <w:p w14:paraId="55808280" w14:textId="77777777" w:rsidR="00B03672" w:rsidRPr="007647EB" w:rsidRDefault="00B03672" w:rsidP="008123FC">
            <w:pPr>
              <w:pStyle w:val="Normal-pool-Table"/>
              <w:jc w:val="right"/>
              <w:rPr>
                <w:szCs w:val="18"/>
              </w:rPr>
            </w:pPr>
            <w:r w:rsidRPr="007647EB">
              <w:rPr>
                <w:color w:val="000000"/>
              </w:rPr>
              <w:t>19 386</w:t>
            </w:r>
          </w:p>
        </w:tc>
        <w:tc>
          <w:tcPr>
            <w:tcW w:w="1291" w:type="dxa"/>
            <w:tcBorders>
              <w:top w:val="nil"/>
              <w:left w:val="nil"/>
              <w:bottom w:val="single" w:sz="4" w:space="0" w:color="auto"/>
              <w:right w:val="single" w:sz="4" w:space="0" w:color="auto"/>
            </w:tcBorders>
            <w:noWrap/>
            <w:hideMark/>
          </w:tcPr>
          <w:p w14:paraId="3E1B554C" w14:textId="77777777" w:rsidR="00B03672" w:rsidRPr="007647EB" w:rsidRDefault="00B03672" w:rsidP="008123FC">
            <w:pPr>
              <w:pStyle w:val="Normal-pool-Table"/>
              <w:jc w:val="right"/>
              <w:rPr>
                <w:szCs w:val="18"/>
              </w:rPr>
            </w:pPr>
            <w:r w:rsidRPr="007647EB">
              <w:rPr>
                <w:color w:val="000000"/>
              </w:rPr>
              <w:t>34 075</w:t>
            </w:r>
          </w:p>
        </w:tc>
      </w:tr>
      <w:tr w:rsidR="00B03672" w:rsidRPr="007647EB" w14:paraId="1E53C5A4"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6B58485" w14:textId="53441F4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5CA9C299" w14:textId="77777777" w:rsidR="00B03672" w:rsidRPr="007647EB" w:rsidRDefault="00B03672" w:rsidP="008123FC">
            <w:pPr>
              <w:pStyle w:val="Normal-pool-Table"/>
              <w:rPr>
                <w:szCs w:val="18"/>
              </w:rPr>
            </w:pPr>
            <w:r w:rsidRPr="007647EB">
              <w:rPr>
                <w:color w:val="000000"/>
              </w:rPr>
              <w:t>Islande</w:t>
            </w:r>
          </w:p>
        </w:tc>
        <w:tc>
          <w:tcPr>
            <w:tcW w:w="1395" w:type="dxa"/>
            <w:tcBorders>
              <w:top w:val="nil"/>
              <w:left w:val="nil"/>
              <w:bottom w:val="single" w:sz="4" w:space="0" w:color="auto"/>
              <w:right w:val="single" w:sz="4" w:space="0" w:color="auto"/>
            </w:tcBorders>
            <w:noWrap/>
            <w:hideMark/>
          </w:tcPr>
          <w:p w14:paraId="779B5114" w14:textId="77777777" w:rsidR="00B03672" w:rsidRPr="007647EB" w:rsidRDefault="00B03672" w:rsidP="008123FC">
            <w:pPr>
              <w:pStyle w:val="Normal-pool-Table"/>
              <w:jc w:val="right"/>
              <w:rPr>
                <w:szCs w:val="18"/>
              </w:rPr>
            </w:pPr>
            <w:r w:rsidRPr="007647EB">
              <w:rPr>
                <w:color w:val="000000"/>
              </w:rPr>
              <w:t>0,035</w:t>
            </w:r>
          </w:p>
        </w:tc>
        <w:tc>
          <w:tcPr>
            <w:tcW w:w="1134" w:type="dxa"/>
            <w:tcBorders>
              <w:top w:val="nil"/>
              <w:left w:val="nil"/>
              <w:bottom w:val="single" w:sz="4" w:space="0" w:color="auto"/>
              <w:right w:val="single" w:sz="4" w:space="0" w:color="auto"/>
            </w:tcBorders>
            <w:noWrap/>
            <w:hideMark/>
          </w:tcPr>
          <w:p w14:paraId="1C8262E1" w14:textId="77777777" w:rsidR="00B03672" w:rsidRPr="007647EB" w:rsidRDefault="00B03672" w:rsidP="008123FC">
            <w:pPr>
              <w:pStyle w:val="Normal-pool-Table"/>
              <w:jc w:val="right"/>
              <w:rPr>
                <w:szCs w:val="18"/>
              </w:rPr>
            </w:pPr>
            <w:r w:rsidRPr="007647EB">
              <w:rPr>
                <w:color w:val="000000"/>
              </w:rPr>
              <w:t>0,0353</w:t>
            </w:r>
          </w:p>
        </w:tc>
        <w:tc>
          <w:tcPr>
            <w:tcW w:w="1276" w:type="dxa"/>
            <w:tcBorders>
              <w:top w:val="nil"/>
              <w:left w:val="nil"/>
              <w:bottom w:val="single" w:sz="4" w:space="0" w:color="auto"/>
              <w:right w:val="single" w:sz="4" w:space="0" w:color="auto"/>
            </w:tcBorders>
            <w:noWrap/>
            <w:hideMark/>
          </w:tcPr>
          <w:p w14:paraId="511819E5" w14:textId="77777777" w:rsidR="00B03672" w:rsidRPr="007647EB" w:rsidRDefault="00B03672" w:rsidP="008123FC">
            <w:pPr>
              <w:pStyle w:val="Normal-pool-Table"/>
              <w:jc w:val="right"/>
              <w:rPr>
                <w:szCs w:val="18"/>
              </w:rPr>
            </w:pPr>
            <w:r w:rsidRPr="007647EB">
              <w:rPr>
                <w:color w:val="000000"/>
              </w:rPr>
              <w:t>1 089</w:t>
            </w:r>
          </w:p>
        </w:tc>
        <w:tc>
          <w:tcPr>
            <w:tcW w:w="1276" w:type="dxa"/>
            <w:tcBorders>
              <w:top w:val="nil"/>
              <w:left w:val="nil"/>
              <w:bottom w:val="single" w:sz="4" w:space="0" w:color="auto"/>
              <w:right w:val="single" w:sz="4" w:space="0" w:color="auto"/>
            </w:tcBorders>
            <w:noWrap/>
            <w:hideMark/>
          </w:tcPr>
          <w:p w14:paraId="24A63CF6" w14:textId="77777777" w:rsidR="00B03672" w:rsidRPr="007647EB" w:rsidRDefault="00B03672" w:rsidP="008123FC">
            <w:pPr>
              <w:pStyle w:val="Normal-pool-Table"/>
              <w:jc w:val="right"/>
              <w:rPr>
                <w:szCs w:val="18"/>
              </w:rPr>
            </w:pPr>
            <w:r w:rsidRPr="007647EB">
              <w:rPr>
                <w:color w:val="000000"/>
              </w:rPr>
              <w:t>1 438</w:t>
            </w:r>
          </w:p>
        </w:tc>
        <w:tc>
          <w:tcPr>
            <w:tcW w:w="1291" w:type="dxa"/>
            <w:tcBorders>
              <w:top w:val="nil"/>
              <w:left w:val="nil"/>
              <w:bottom w:val="single" w:sz="4" w:space="0" w:color="auto"/>
              <w:right w:val="single" w:sz="4" w:space="0" w:color="auto"/>
            </w:tcBorders>
            <w:noWrap/>
            <w:hideMark/>
          </w:tcPr>
          <w:p w14:paraId="187D69E2" w14:textId="77777777" w:rsidR="00B03672" w:rsidRPr="007647EB" w:rsidRDefault="00B03672" w:rsidP="008123FC">
            <w:pPr>
              <w:pStyle w:val="Normal-pool-Table"/>
              <w:jc w:val="right"/>
              <w:rPr>
                <w:szCs w:val="18"/>
              </w:rPr>
            </w:pPr>
            <w:r w:rsidRPr="007647EB">
              <w:rPr>
                <w:color w:val="000000"/>
              </w:rPr>
              <w:t>2 527</w:t>
            </w:r>
          </w:p>
        </w:tc>
      </w:tr>
      <w:tr w:rsidR="00B03672" w:rsidRPr="007647EB" w14:paraId="2927A49C"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ED1E372" w14:textId="776FB1FD"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50F4F1A" w14:textId="77777777" w:rsidR="00B03672" w:rsidRPr="007647EB" w:rsidRDefault="00B03672" w:rsidP="008123FC">
            <w:pPr>
              <w:pStyle w:val="Normal-pool-Table"/>
              <w:rPr>
                <w:szCs w:val="18"/>
              </w:rPr>
            </w:pPr>
            <w:r w:rsidRPr="007647EB">
              <w:rPr>
                <w:color w:val="000000"/>
              </w:rPr>
              <w:t>Italie</w:t>
            </w:r>
          </w:p>
        </w:tc>
        <w:tc>
          <w:tcPr>
            <w:tcW w:w="1395" w:type="dxa"/>
            <w:tcBorders>
              <w:top w:val="nil"/>
              <w:left w:val="nil"/>
              <w:bottom w:val="single" w:sz="4" w:space="0" w:color="auto"/>
              <w:right w:val="single" w:sz="4" w:space="0" w:color="auto"/>
            </w:tcBorders>
            <w:noWrap/>
            <w:hideMark/>
          </w:tcPr>
          <w:p w14:paraId="575A653F" w14:textId="77777777" w:rsidR="00B03672" w:rsidRPr="007647EB" w:rsidRDefault="00B03672" w:rsidP="008123FC">
            <w:pPr>
              <w:pStyle w:val="Normal-pool-Table"/>
              <w:jc w:val="right"/>
              <w:rPr>
                <w:szCs w:val="18"/>
              </w:rPr>
            </w:pPr>
            <w:r w:rsidRPr="007647EB">
              <w:rPr>
                <w:color w:val="000000"/>
              </w:rPr>
              <w:t>2,813</w:t>
            </w:r>
          </w:p>
        </w:tc>
        <w:tc>
          <w:tcPr>
            <w:tcW w:w="1134" w:type="dxa"/>
            <w:tcBorders>
              <w:top w:val="nil"/>
              <w:left w:val="nil"/>
              <w:bottom w:val="single" w:sz="4" w:space="0" w:color="auto"/>
              <w:right w:val="single" w:sz="4" w:space="0" w:color="auto"/>
            </w:tcBorders>
            <w:noWrap/>
            <w:hideMark/>
          </w:tcPr>
          <w:p w14:paraId="41EB02B2" w14:textId="77777777" w:rsidR="00B03672" w:rsidRPr="007647EB" w:rsidRDefault="00B03672" w:rsidP="008123FC">
            <w:pPr>
              <w:pStyle w:val="Normal-pool-Table"/>
              <w:jc w:val="right"/>
              <w:rPr>
                <w:szCs w:val="18"/>
              </w:rPr>
            </w:pPr>
            <w:r w:rsidRPr="007647EB">
              <w:rPr>
                <w:color w:val="000000"/>
              </w:rPr>
              <w:t>2,8392</w:t>
            </w:r>
          </w:p>
        </w:tc>
        <w:tc>
          <w:tcPr>
            <w:tcW w:w="1276" w:type="dxa"/>
            <w:tcBorders>
              <w:top w:val="nil"/>
              <w:left w:val="nil"/>
              <w:bottom w:val="single" w:sz="4" w:space="0" w:color="auto"/>
              <w:right w:val="single" w:sz="4" w:space="0" w:color="auto"/>
            </w:tcBorders>
            <w:noWrap/>
            <w:hideMark/>
          </w:tcPr>
          <w:p w14:paraId="6FD33436" w14:textId="77777777" w:rsidR="00B03672" w:rsidRPr="007647EB" w:rsidRDefault="00B03672" w:rsidP="008123FC">
            <w:pPr>
              <w:pStyle w:val="Normal-pool-Table"/>
              <w:jc w:val="right"/>
              <w:rPr>
                <w:szCs w:val="18"/>
              </w:rPr>
            </w:pPr>
            <w:r w:rsidRPr="007647EB">
              <w:rPr>
                <w:color w:val="000000"/>
              </w:rPr>
              <w:t>87 542</w:t>
            </w:r>
          </w:p>
        </w:tc>
        <w:tc>
          <w:tcPr>
            <w:tcW w:w="1276" w:type="dxa"/>
            <w:tcBorders>
              <w:top w:val="nil"/>
              <w:left w:val="nil"/>
              <w:bottom w:val="single" w:sz="4" w:space="0" w:color="auto"/>
              <w:right w:val="single" w:sz="4" w:space="0" w:color="auto"/>
            </w:tcBorders>
            <w:noWrap/>
            <w:hideMark/>
          </w:tcPr>
          <w:p w14:paraId="1486FBBF" w14:textId="77777777" w:rsidR="00B03672" w:rsidRPr="007647EB" w:rsidRDefault="00B03672" w:rsidP="008123FC">
            <w:pPr>
              <w:pStyle w:val="Normal-pool-Table"/>
              <w:jc w:val="right"/>
              <w:rPr>
                <w:szCs w:val="18"/>
              </w:rPr>
            </w:pPr>
            <w:r w:rsidRPr="007647EB">
              <w:rPr>
                <w:color w:val="000000"/>
              </w:rPr>
              <w:t>115 534</w:t>
            </w:r>
          </w:p>
        </w:tc>
        <w:tc>
          <w:tcPr>
            <w:tcW w:w="1291" w:type="dxa"/>
            <w:tcBorders>
              <w:top w:val="nil"/>
              <w:left w:val="nil"/>
              <w:bottom w:val="single" w:sz="4" w:space="0" w:color="auto"/>
              <w:right w:val="single" w:sz="4" w:space="0" w:color="auto"/>
            </w:tcBorders>
            <w:noWrap/>
            <w:hideMark/>
          </w:tcPr>
          <w:p w14:paraId="1974993E" w14:textId="77777777" w:rsidR="00B03672" w:rsidRPr="007647EB" w:rsidRDefault="00B03672" w:rsidP="008123FC">
            <w:pPr>
              <w:pStyle w:val="Normal-pool-Table"/>
              <w:jc w:val="right"/>
              <w:rPr>
                <w:szCs w:val="18"/>
              </w:rPr>
            </w:pPr>
            <w:r w:rsidRPr="007647EB">
              <w:rPr>
                <w:color w:val="000000"/>
              </w:rPr>
              <w:t>203 076</w:t>
            </w:r>
          </w:p>
        </w:tc>
      </w:tr>
      <w:tr w:rsidR="00B03672" w:rsidRPr="007647EB" w14:paraId="2C3D29E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0E2BA47" w14:textId="130C2BA7"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45112C2E" w14:textId="77777777" w:rsidR="00B03672" w:rsidRPr="007647EB" w:rsidRDefault="00B03672" w:rsidP="008123FC">
            <w:pPr>
              <w:pStyle w:val="Normal-pool-Table"/>
              <w:rPr>
                <w:szCs w:val="18"/>
              </w:rPr>
            </w:pPr>
            <w:r w:rsidRPr="007647EB">
              <w:rPr>
                <w:color w:val="000000"/>
              </w:rPr>
              <w:t>Liechtenstein</w:t>
            </w:r>
          </w:p>
        </w:tc>
        <w:tc>
          <w:tcPr>
            <w:tcW w:w="1395" w:type="dxa"/>
            <w:tcBorders>
              <w:top w:val="nil"/>
              <w:left w:val="nil"/>
              <w:bottom w:val="single" w:sz="4" w:space="0" w:color="auto"/>
              <w:right w:val="single" w:sz="4" w:space="0" w:color="auto"/>
            </w:tcBorders>
            <w:noWrap/>
            <w:hideMark/>
          </w:tcPr>
          <w:p w14:paraId="3ED8BA40" w14:textId="77777777" w:rsidR="00B03672" w:rsidRPr="007647EB" w:rsidRDefault="00B03672" w:rsidP="008123FC">
            <w:pPr>
              <w:pStyle w:val="Normal-pool-Table"/>
              <w:jc w:val="right"/>
              <w:rPr>
                <w:szCs w:val="18"/>
              </w:rPr>
            </w:pPr>
            <w:r w:rsidRPr="007647EB">
              <w:rPr>
                <w:color w:val="000000"/>
              </w:rPr>
              <w:t>0,009</w:t>
            </w:r>
          </w:p>
        </w:tc>
        <w:tc>
          <w:tcPr>
            <w:tcW w:w="1134" w:type="dxa"/>
            <w:tcBorders>
              <w:top w:val="nil"/>
              <w:left w:val="nil"/>
              <w:bottom w:val="single" w:sz="4" w:space="0" w:color="auto"/>
              <w:right w:val="single" w:sz="4" w:space="0" w:color="auto"/>
            </w:tcBorders>
            <w:noWrap/>
            <w:hideMark/>
          </w:tcPr>
          <w:p w14:paraId="1B6E056A" w14:textId="77777777" w:rsidR="00B03672" w:rsidRPr="007647EB" w:rsidRDefault="00B03672" w:rsidP="008123FC">
            <w:pPr>
              <w:pStyle w:val="Normal-pool-Table"/>
              <w:jc w:val="right"/>
              <w:rPr>
                <w:szCs w:val="18"/>
              </w:rPr>
            </w:pPr>
            <w:r w:rsidRPr="007647EB">
              <w:rPr>
                <w:color w:val="000000"/>
              </w:rPr>
              <w:t>0,0100</w:t>
            </w:r>
          </w:p>
        </w:tc>
        <w:tc>
          <w:tcPr>
            <w:tcW w:w="1276" w:type="dxa"/>
            <w:tcBorders>
              <w:top w:val="nil"/>
              <w:left w:val="nil"/>
              <w:bottom w:val="single" w:sz="4" w:space="0" w:color="auto"/>
              <w:right w:val="single" w:sz="4" w:space="0" w:color="auto"/>
            </w:tcBorders>
            <w:noWrap/>
            <w:hideMark/>
          </w:tcPr>
          <w:p w14:paraId="66D27704" w14:textId="77777777" w:rsidR="00B03672" w:rsidRPr="007647EB" w:rsidRDefault="00B03672" w:rsidP="008123FC">
            <w:pPr>
              <w:pStyle w:val="Normal-pool-Table"/>
              <w:jc w:val="right"/>
              <w:rPr>
                <w:szCs w:val="18"/>
              </w:rPr>
            </w:pPr>
            <w:r w:rsidRPr="007647EB">
              <w:rPr>
                <w:color w:val="000000"/>
              </w:rPr>
              <w:t>308</w:t>
            </w:r>
          </w:p>
        </w:tc>
        <w:tc>
          <w:tcPr>
            <w:tcW w:w="1276" w:type="dxa"/>
            <w:tcBorders>
              <w:top w:val="nil"/>
              <w:left w:val="nil"/>
              <w:bottom w:val="single" w:sz="4" w:space="0" w:color="auto"/>
              <w:right w:val="single" w:sz="4" w:space="0" w:color="auto"/>
            </w:tcBorders>
            <w:noWrap/>
            <w:hideMark/>
          </w:tcPr>
          <w:p w14:paraId="332CC78B" w14:textId="77777777" w:rsidR="00B03672" w:rsidRPr="007647EB" w:rsidRDefault="00B03672" w:rsidP="008123FC">
            <w:pPr>
              <w:pStyle w:val="Normal-pool-Table"/>
              <w:jc w:val="right"/>
              <w:rPr>
                <w:szCs w:val="18"/>
              </w:rPr>
            </w:pPr>
            <w:r w:rsidRPr="007647EB">
              <w:rPr>
                <w:color w:val="000000"/>
              </w:rPr>
              <w:t>407</w:t>
            </w:r>
          </w:p>
        </w:tc>
        <w:tc>
          <w:tcPr>
            <w:tcW w:w="1291" w:type="dxa"/>
            <w:tcBorders>
              <w:top w:val="nil"/>
              <w:left w:val="nil"/>
              <w:bottom w:val="single" w:sz="4" w:space="0" w:color="auto"/>
              <w:right w:val="single" w:sz="4" w:space="0" w:color="auto"/>
            </w:tcBorders>
            <w:noWrap/>
            <w:hideMark/>
          </w:tcPr>
          <w:p w14:paraId="57EFF955" w14:textId="77777777" w:rsidR="00B03672" w:rsidRPr="007647EB" w:rsidRDefault="00B03672" w:rsidP="008123FC">
            <w:pPr>
              <w:pStyle w:val="Normal-pool-Table"/>
              <w:jc w:val="right"/>
              <w:rPr>
                <w:szCs w:val="18"/>
              </w:rPr>
            </w:pPr>
            <w:r w:rsidRPr="007647EB">
              <w:rPr>
                <w:color w:val="000000"/>
              </w:rPr>
              <w:t>715</w:t>
            </w:r>
          </w:p>
        </w:tc>
      </w:tr>
      <w:tr w:rsidR="00B03672" w:rsidRPr="007647EB" w14:paraId="778823A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17DCF66" w14:textId="54F35925"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28A4A48" w14:textId="77777777" w:rsidR="00B03672" w:rsidRPr="007647EB" w:rsidRDefault="00B03672" w:rsidP="008123FC">
            <w:pPr>
              <w:pStyle w:val="Normal-pool-Table"/>
              <w:rPr>
                <w:szCs w:val="18"/>
              </w:rPr>
            </w:pPr>
            <w:r w:rsidRPr="007647EB">
              <w:rPr>
                <w:color w:val="000000"/>
              </w:rPr>
              <w:t>Luxembourg</w:t>
            </w:r>
          </w:p>
        </w:tc>
        <w:tc>
          <w:tcPr>
            <w:tcW w:w="1395" w:type="dxa"/>
            <w:tcBorders>
              <w:top w:val="nil"/>
              <w:left w:val="nil"/>
              <w:bottom w:val="single" w:sz="4" w:space="0" w:color="auto"/>
              <w:right w:val="single" w:sz="4" w:space="0" w:color="auto"/>
            </w:tcBorders>
            <w:noWrap/>
            <w:hideMark/>
          </w:tcPr>
          <w:p w14:paraId="5E5077E8" w14:textId="77777777" w:rsidR="00B03672" w:rsidRPr="007647EB" w:rsidRDefault="00B03672" w:rsidP="008123FC">
            <w:pPr>
              <w:pStyle w:val="Normal-pool-Table"/>
              <w:jc w:val="right"/>
              <w:rPr>
                <w:szCs w:val="18"/>
              </w:rPr>
            </w:pPr>
            <w:r w:rsidRPr="007647EB">
              <w:rPr>
                <w:color w:val="000000"/>
              </w:rPr>
              <w:t>0,073</w:t>
            </w:r>
          </w:p>
        </w:tc>
        <w:tc>
          <w:tcPr>
            <w:tcW w:w="1134" w:type="dxa"/>
            <w:tcBorders>
              <w:top w:val="nil"/>
              <w:left w:val="nil"/>
              <w:bottom w:val="single" w:sz="4" w:space="0" w:color="auto"/>
              <w:right w:val="single" w:sz="4" w:space="0" w:color="auto"/>
            </w:tcBorders>
            <w:noWrap/>
            <w:hideMark/>
          </w:tcPr>
          <w:p w14:paraId="5014F19F" w14:textId="77777777" w:rsidR="00B03672" w:rsidRPr="007647EB" w:rsidRDefault="00B03672" w:rsidP="008123FC">
            <w:pPr>
              <w:pStyle w:val="Normal-pool-Table"/>
              <w:jc w:val="right"/>
              <w:rPr>
                <w:szCs w:val="18"/>
              </w:rPr>
            </w:pPr>
            <w:r w:rsidRPr="007647EB">
              <w:rPr>
                <w:color w:val="000000"/>
              </w:rPr>
              <w:t>0,0737</w:t>
            </w:r>
          </w:p>
        </w:tc>
        <w:tc>
          <w:tcPr>
            <w:tcW w:w="1276" w:type="dxa"/>
            <w:tcBorders>
              <w:top w:val="nil"/>
              <w:left w:val="nil"/>
              <w:bottom w:val="single" w:sz="4" w:space="0" w:color="auto"/>
              <w:right w:val="single" w:sz="4" w:space="0" w:color="auto"/>
            </w:tcBorders>
            <w:noWrap/>
            <w:hideMark/>
          </w:tcPr>
          <w:p w14:paraId="4E8641A5" w14:textId="77777777" w:rsidR="00B03672" w:rsidRPr="007647EB" w:rsidRDefault="00B03672" w:rsidP="008123FC">
            <w:pPr>
              <w:pStyle w:val="Normal-pool-Table"/>
              <w:jc w:val="right"/>
              <w:rPr>
                <w:szCs w:val="18"/>
              </w:rPr>
            </w:pPr>
            <w:r w:rsidRPr="007647EB">
              <w:rPr>
                <w:color w:val="000000"/>
              </w:rPr>
              <w:t>2 272</w:t>
            </w:r>
          </w:p>
        </w:tc>
        <w:tc>
          <w:tcPr>
            <w:tcW w:w="1276" w:type="dxa"/>
            <w:tcBorders>
              <w:top w:val="nil"/>
              <w:left w:val="nil"/>
              <w:bottom w:val="single" w:sz="4" w:space="0" w:color="auto"/>
              <w:right w:val="single" w:sz="4" w:space="0" w:color="auto"/>
            </w:tcBorders>
            <w:noWrap/>
            <w:hideMark/>
          </w:tcPr>
          <w:p w14:paraId="0F912B77" w14:textId="77777777" w:rsidR="00B03672" w:rsidRPr="007647EB" w:rsidRDefault="00B03672" w:rsidP="008123FC">
            <w:pPr>
              <w:pStyle w:val="Normal-pool-Table"/>
              <w:jc w:val="right"/>
              <w:rPr>
                <w:szCs w:val="18"/>
              </w:rPr>
            </w:pPr>
            <w:r w:rsidRPr="007647EB">
              <w:rPr>
                <w:color w:val="000000"/>
              </w:rPr>
              <w:t>2 998</w:t>
            </w:r>
          </w:p>
        </w:tc>
        <w:tc>
          <w:tcPr>
            <w:tcW w:w="1291" w:type="dxa"/>
            <w:tcBorders>
              <w:top w:val="nil"/>
              <w:left w:val="nil"/>
              <w:bottom w:val="single" w:sz="4" w:space="0" w:color="auto"/>
              <w:right w:val="single" w:sz="4" w:space="0" w:color="auto"/>
            </w:tcBorders>
            <w:noWrap/>
            <w:hideMark/>
          </w:tcPr>
          <w:p w14:paraId="4F3D2382" w14:textId="77777777" w:rsidR="00B03672" w:rsidRPr="007647EB" w:rsidRDefault="00B03672" w:rsidP="008123FC">
            <w:pPr>
              <w:pStyle w:val="Normal-pool-Table"/>
              <w:jc w:val="right"/>
              <w:rPr>
                <w:szCs w:val="18"/>
              </w:rPr>
            </w:pPr>
            <w:r w:rsidRPr="007647EB">
              <w:rPr>
                <w:color w:val="000000"/>
              </w:rPr>
              <w:t>5 270</w:t>
            </w:r>
          </w:p>
        </w:tc>
      </w:tr>
      <w:tr w:rsidR="00B03672" w:rsidRPr="007647EB" w14:paraId="1B15359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CCD311C" w14:textId="16AFB21E"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6E1DEDB" w14:textId="77777777" w:rsidR="00B03672" w:rsidRPr="007647EB" w:rsidRDefault="00B03672" w:rsidP="008123FC">
            <w:pPr>
              <w:pStyle w:val="Normal-pool-Table"/>
              <w:rPr>
                <w:szCs w:val="18"/>
              </w:rPr>
            </w:pPr>
            <w:r w:rsidRPr="007647EB">
              <w:rPr>
                <w:color w:val="000000"/>
              </w:rPr>
              <w:t>Malte</w:t>
            </w:r>
          </w:p>
        </w:tc>
        <w:tc>
          <w:tcPr>
            <w:tcW w:w="1395" w:type="dxa"/>
            <w:tcBorders>
              <w:top w:val="nil"/>
              <w:left w:val="nil"/>
              <w:bottom w:val="single" w:sz="4" w:space="0" w:color="auto"/>
              <w:right w:val="single" w:sz="4" w:space="0" w:color="auto"/>
            </w:tcBorders>
            <w:noWrap/>
            <w:hideMark/>
          </w:tcPr>
          <w:p w14:paraId="422F4FAD" w14:textId="77777777" w:rsidR="00B03672" w:rsidRPr="007647EB" w:rsidRDefault="00B03672" w:rsidP="008123FC">
            <w:pPr>
              <w:pStyle w:val="Normal-pool-Table"/>
              <w:jc w:val="right"/>
              <w:rPr>
                <w:szCs w:val="18"/>
              </w:rPr>
            </w:pPr>
            <w:r w:rsidRPr="007647EB">
              <w:rPr>
                <w:color w:val="000000"/>
              </w:rPr>
              <w:t>0,02</w:t>
            </w:r>
          </w:p>
        </w:tc>
        <w:tc>
          <w:tcPr>
            <w:tcW w:w="1134" w:type="dxa"/>
            <w:tcBorders>
              <w:top w:val="nil"/>
              <w:left w:val="nil"/>
              <w:bottom w:val="single" w:sz="4" w:space="0" w:color="auto"/>
              <w:right w:val="single" w:sz="4" w:space="0" w:color="auto"/>
            </w:tcBorders>
            <w:noWrap/>
            <w:hideMark/>
          </w:tcPr>
          <w:p w14:paraId="2C106AB4" w14:textId="77777777" w:rsidR="00B03672" w:rsidRPr="007647EB" w:rsidRDefault="00B03672" w:rsidP="008123FC">
            <w:pPr>
              <w:pStyle w:val="Normal-pool-Table"/>
              <w:jc w:val="right"/>
              <w:rPr>
                <w:szCs w:val="18"/>
              </w:rPr>
            </w:pPr>
            <w:r w:rsidRPr="007647EB">
              <w:rPr>
                <w:color w:val="000000"/>
              </w:rPr>
              <w:t>0,0202</w:t>
            </w:r>
          </w:p>
        </w:tc>
        <w:tc>
          <w:tcPr>
            <w:tcW w:w="1276" w:type="dxa"/>
            <w:tcBorders>
              <w:top w:val="nil"/>
              <w:left w:val="nil"/>
              <w:bottom w:val="single" w:sz="4" w:space="0" w:color="auto"/>
              <w:right w:val="single" w:sz="4" w:space="0" w:color="auto"/>
            </w:tcBorders>
            <w:noWrap/>
            <w:hideMark/>
          </w:tcPr>
          <w:p w14:paraId="0CDA407A" w14:textId="77777777" w:rsidR="00B03672" w:rsidRPr="007647EB" w:rsidRDefault="00B03672" w:rsidP="008123FC">
            <w:pPr>
              <w:pStyle w:val="Normal-pool-Table"/>
              <w:jc w:val="right"/>
              <w:rPr>
                <w:szCs w:val="18"/>
              </w:rPr>
            </w:pPr>
            <w:r w:rsidRPr="007647EB">
              <w:rPr>
                <w:color w:val="000000"/>
              </w:rPr>
              <w:t>622</w:t>
            </w:r>
          </w:p>
        </w:tc>
        <w:tc>
          <w:tcPr>
            <w:tcW w:w="1276" w:type="dxa"/>
            <w:tcBorders>
              <w:top w:val="nil"/>
              <w:left w:val="nil"/>
              <w:bottom w:val="single" w:sz="4" w:space="0" w:color="auto"/>
              <w:right w:val="single" w:sz="4" w:space="0" w:color="auto"/>
            </w:tcBorders>
            <w:noWrap/>
            <w:hideMark/>
          </w:tcPr>
          <w:p w14:paraId="2BE84DEE" w14:textId="77777777" w:rsidR="00B03672" w:rsidRPr="007647EB" w:rsidRDefault="00B03672" w:rsidP="008123FC">
            <w:pPr>
              <w:pStyle w:val="Normal-pool-Table"/>
              <w:jc w:val="right"/>
              <w:rPr>
                <w:szCs w:val="18"/>
              </w:rPr>
            </w:pPr>
            <w:r w:rsidRPr="007647EB">
              <w:rPr>
                <w:color w:val="000000"/>
              </w:rPr>
              <w:t>821</w:t>
            </w:r>
          </w:p>
        </w:tc>
        <w:tc>
          <w:tcPr>
            <w:tcW w:w="1291" w:type="dxa"/>
            <w:tcBorders>
              <w:top w:val="nil"/>
              <w:left w:val="nil"/>
              <w:bottom w:val="single" w:sz="4" w:space="0" w:color="auto"/>
              <w:right w:val="single" w:sz="4" w:space="0" w:color="auto"/>
            </w:tcBorders>
            <w:noWrap/>
            <w:hideMark/>
          </w:tcPr>
          <w:p w14:paraId="0A02737D" w14:textId="77777777" w:rsidR="00B03672" w:rsidRPr="007647EB" w:rsidRDefault="00B03672" w:rsidP="008123FC">
            <w:pPr>
              <w:pStyle w:val="Normal-pool-Table"/>
              <w:jc w:val="right"/>
              <w:rPr>
                <w:szCs w:val="18"/>
              </w:rPr>
            </w:pPr>
            <w:r w:rsidRPr="007647EB">
              <w:rPr>
                <w:color w:val="000000"/>
              </w:rPr>
              <w:t>1 444</w:t>
            </w:r>
          </w:p>
        </w:tc>
      </w:tr>
      <w:tr w:rsidR="00B03672" w:rsidRPr="007647EB" w14:paraId="369CE933"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17B597A8" w14:textId="6D50DBEC"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87CB8B" w14:textId="77777777" w:rsidR="00B03672" w:rsidRPr="007647EB" w:rsidRDefault="00B03672" w:rsidP="008123FC">
            <w:pPr>
              <w:pStyle w:val="Normal-pool-Table"/>
              <w:rPr>
                <w:szCs w:val="18"/>
              </w:rPr>
            </w:pPr>
            <w:r w:rsidRPr="007647EB">
              <w:rPr>
                <w:color w:val="000000"/>
              </w:rPr>
              <w:t>Monaco</w:t>
            </w:r>
          </w:p>
        </w:tc>
        <w:tc>
          <w:tcPr>
            <w:tcW w:w="1395" w:type="dxa"/>
            <w:tcBorders>
              <w:top w:val="nil"/>
              <w:left w:val="nil"/>
              <w:bottom w:val="single" w:sz="4" w:space="0" w:color="auto"/>
              <w:right w:val="single" w:sz="4" w:space="0" w:color="auto"/>
            </w:tcBorders>
            <w:noWrap/>
            <w:hideMark/>
          </w:tcPr>
          <w:p w14:paraId="70986038" w14:textId="77777777" w:rsidR="00B03672" w:rsidRPr="007647EB" w:rsidRDefault="00B03672" w:rsidP="008123FC">
            <w:pPr>
              <w:pStyle w:val="Normal-pool-Table"/>
              <w:jc w:val="right"/>
              <w:rPr>
                <w:szCs w:val="18"/>
              </w:rPr>
            </w:pPr>
            <w:r w:rsidRPr="007647EB">
              <w:rPr>
                <w:color w:val="000000"/>
              </w:rPr>
              <w:t>0,011</w:t>
            </w:r>
          </w:p>
        </w:tc>
        <w:tc>
          <w:tcPr>
            <w:tcW w:w="1134" w:type="dxa"/>
            <w:tcBorders>
              <w:top w:val="nil"/>
              <w:left w:val="nil"/>
              <w:bottom w:val="single" w:sz="4" w:space="0" w:color="auto"/>
              <w:right w:val="single" w:sz="4" w:space="0" w:color="auto"/>
            </w:tcBorders>
            <w:noWrap/>
            <w:hideMark/>
          </w:tcPr>
          <w:p w14:paraId="20B0448C" w14:textId="77777777" w:rsidR="00B03672" w:rsidRPr="007647EB" w:rsidRDefault="00B03672" w:rsidP="008123FC">
            <w:pPr>
              <w:pStyle w:val="Normal-pool-Table"/>
              <w:jc w:val="right"/>
              <w:rPr>
                <w:szCs w:val="18"/>
              </w:rPr>
            </w:pPr>
            <w:r w:rsidRPr="007647EB">
              <w:rPr>
                <w:color w:val="000000"/>
              </w:rPr>
              <w:t>0,0111</w:t>
            </w:r>
          </w:p>
        </w:tc>
        <w:tc>
          <w:tcPr>
            <w:tcW w:w="1276" w:type="dxa"/>
            <w:tcBorders>
              <w:top w:val="nil"/>
              <w:left w:val="nil"/>
              <w:bottom w:val="single" w:sz="4" w:space="0" w:color="auto"/>
              <w:right w:val="single" w:sz="4" w:space="0" w:color="auto"/>
            </w:tcBorders>
            <w:noWrap/>
            <w:hideMark/>
          </w:tcPr>
          <w:p w14:paraId="2542809C" w14:textId="77777777" w:rsidR="00B03672" w:rsidRPr="007647EB" w:rsidRDefault="00B03672" w:rsidP="008123FC">
            <w:pPr>
              <w:pStyle w:val="Normal-pool-Table"/>
              <w:jc w:val="right"/>
              <w:rPr>
                <w:szCs w:val="18"/>
              </w:rPr>
            </w:pPr>
            <w:r w:rsidRPr="007647EB">
              <w:rPr>
                <w:color w:val="000000"/>
              </w:rPr>
              <w:t>342</w:t>
            </w:r>
          </w:p>
        </w:tc>
        <w:tc>
          <w:tcPr>
            <w:tcW w:w="1276" w:type="dxa"/>
            <w:tcBorders>
              <w:top w:val="nil"/>
              <w:left w:val="nil"/>
              <w:bottom w:val="single" w:sz="4" w:space="0" w:color="auto"/>
              <w:right w:val="single" w:sz="4" w:space="0" w:color="auto"/>
            </w:tcBorders>
            <w:noWrap/>
            <w:hideMark/>
          </w:tcPr>
          <w:p w14:paraId="034C9AAC" w14:textId="77777777" w:rsidR="00B03672" w:rsidRPr="007647EB" w:rsidRDefault="00B03672" w:rsidP="008123FC">
            <w:pPr>
              <w:pStyle w:val="Normal-pool-Table"/>
              <w:jc w:val="right"/>
              <w:rPr>
                <w:szCs w:val="18"/>
              </w:rPr>
            </w:pPr>
            <w:r w:rsidRPr="007647EB">
              <w:rPr>
                <w:color w:val="000000"/>
              </w:rPr>
              <w:t>452</w:t>
            </w:r>
          </w:p>
        </w:tc>
        <w:tc>
          <w:tcPr>
            <w:tcW w:w="1291" w:type="dxa"/>
            <w:tcBorders>
              <w:top w:val="nil"/>
              <w:left w:val="nil"/>
              <w:bottom w:val="single" w:sz="4" w:space="0" w:color="auto"/>
              <w:right w:val="single" w:sz="4" w:space="0" w:color="auto"/>
            </w:tcBorders>
            <w:noWrap/>
            <w:hideMark/>
          </w:tcPr>
          <w:p w14:paraId="2CD65C3A" w14:textId="77777777" w:rsidR="00B03672" w:rsidRPr="007647EB" w:rsidRDefault="00B03672" w:rsidP="008123FC">
            <w:pPr>
              <w:pStyle w:val="Normal-pool-Table"/>
              <w:jc w:val="right"/>
              <w:rPr>
                <w:szCs w:val="18"/>
              </w:rPr>
            </w:pPr>
            <w:r w:rsidRPr="007647EB">
              <w:rPr>
                <w:color w:val="000000"/>
              </w:rPr>
              <w:t>794</w:t>
            </w:r>
          </w:p>
        </w:tc>
      </w:tr>
      <w:tr w:rsidR="00B03672" w:rsidRPr="007647EB" w14:paraId="5E7BBF59"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CAB28FD" w14:textId="5211E15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D503520" w14:textId="77777777" w:rsidR="00B03672" w:rsidRPr="007647EB" w:rsidRDefault="00B03672" w:rsidP="008123FC">
            <w:pPr>
              <w:pStyle w:val="Normal-pool-Table"/>
              <w:rPr>
                <w:szCs w:val="18"/>
              </w:rPr>
            </w:pPr>
            <w:r w:rsidRPr="007647EB">
              <w:rPr>
                <w:color w:val="000000"/>
              </w:rPr>
              <w:t>Norvège</w:t>
            </w:r>
          </w:p>
        </w:tc>
        <w:tc>
          <w:tcPr>
            <w:tcW w:w="1395" w:type="dxa"/>
            <w:tcBorders>
              <w:top w:val="nil"/>
              <w:left w:val="nil"/>
              <w:bottom w:val="single" w:sz="4" w:space="0" w:color="auto"/>
              <w:right w:val="single" w:sz="4" w:space="0" w:color="auto"/>
            </w:tcBorders>
            <w:noWrap/>
            <w:hideMark/>
          </w:tcPr>
          <w:p w14:paraId="5912BD7A" w14:textId="77777777" w:rsidR="00B03672" w:rsidRPr="007647EB" w:rsidRDefault="00B03672" w:rsidP="008123FC">
            <w:pPr>
              <w:pStyle w:val="Normal-pool-Table"/>
              <w:jc w:val="right"/>
              <w:rPr>
                <w:szCs w:val="18"/>
              </w:rPr>
            </w:pPr>
            <w:r w:rsidRPr="007647EB">
              <w:rPr>
                <w:color w:val="000000"/>
              </w:rPr>
              <w:t>0,653</w:t>
            </w:r>
          </w:p>
        </w:tc>
        <w:tc>
          <w:tcPr>
            <w:tcW w:w="1134" w:type="dxa"/>
            <w:tcBorders>
              <w:top w:val="nil"/>
              <w:left w:val="nil"/>
              <w:bottom w:val="single" w:sz="4" w:space="0" w:color="auto"/>
              <w:right w:val="single" w:sz="4" w:space="0" w:color="auto"/>
            </w:tcBorders>
            <w:noWrap/>
            <w:hideMark/>
          </w:tcPr>
          <w:p w14:paraId="3EFBDBA5" w14:textId="77777777" w:rsidR="00B03672" w:rsidRPr="007647EB" w:rsidRDefault="00B03672" w:rsidP="008123FC">
            <w:pPr>
              <w:pStyle w:val="Normal-pool-Table"/>
              <w:jc w:val="right"/>
              <w:rPr>
                <w:szCs w:val="18"/>
              </w:rPr>
            </w:pPr>
            <w:r w:rsidRPr="007647EB">
              <w:rPr>
                <w:color w:val="000000"/>
              </w:rPr>
              <w:t>0,6591</w:t>
            </w:r>
          </w:p>
        </w:tc>
        <w:tc>
          <w:tcPr>
            <w:tcW w:w="1276" w:type="dxa"/>
            <w:tcBorders>
              <w:top w:val="nil"/>
              <w:left w:val="nil"/>
              <w:bottom w:val="single" w:sz="4" w:space="0" w:color="auto"/>
              <w:right w:val="single" w:sz="4" w:space="0" w:color="auto"/>
            </w:tcBorders>
            <w:noWrap/>
            <w:hideMark/>
          </w:tcPr>
          <w:p w14:paraId="5F26191D" w14:textId="77777777" w:rsidR="00B03672" w:rsidRPr="007647EB" w:rsidRDefault="00B03672" w:rsidP="008123FC">
            <w:pPr>
              <w:pStyle w:val="Normal-pool-Table"/>
              <w:jc w:val="right"/>
              <w:rPr>
                <w:szCs w:val="18"/>
              </w:rPr>
            </w:pPr>
            <w:r w:rsidRPr="007647EB">
              <w:rPr>
                <w:color w:val="000000"/>
              </w:rPr>
              <w:t>20 322</w:t>
            </w:r>
          </w:p>
        </w:tc>
        <w:tc>
          <w:tcPr>
            <w:tcW w:w="1276" w:type="dxa"/>
            <w:tcBorders>
              <w:top w:val="nil"/>
              <w:left w:val="nil"/>
              <w:bottom w:val="single" w:sz="4" w:space="0" w:color="auto"/>
              <w:right w:val="single" w:sz="4" w:space="0" w:color="auto"/>
            </w:tcBorders>
            <w:noWrap/>
            <w:hideMark/>
          </w:tcPr>
          <w:p w14:paraId="539E5503" w14:textId="77777777" w:rsidR="00B03672" w:rsidRPr="007647EB" w:rsidRDefault="00B03672" w:rsidP="008123FC">
            <w:pPr>
              <w:pStyle w:val="Normal-pool-Table"/>
              <w:jc w:val="right"/>
              <w:rPr>
                <w:szCs w:val="18"/>
              </w:rPr>
            </w:pPr>
            <w:r w:rsidRPr="007647EB">
              <w:rPr>
                <w:color w:val="000000"/>
              </w:rPr>
              <w:t>26 820</w:t>
            </w:r>
          </w:p>
        </w:tc>
        <w:tc>
          <w:tcPr>
            <w:tcW w:w="1291" w:type="dxa"/>
            <w:tcBorders>
              <w:top w:val="nil"/>
              <w:left w:val="nil"/>
              <w:bottom w:val="single" w:sz="4" w:space="0" w:color="auto"/>
              <w:right w:val="single" w:sz="4" w:space="0" w:color="auto"/>
            </w:tcBorders>
            <w:noWrap/>
            <w:hideMark/>
          </w:tcPr>
          <w:p w14:paraId="7C302802" w14:textId="77777777" w:rsidR="00B03672" w:rsidRPr="007647EB" w:rsidRDefault="00B03672" w:rsidP="008123FC">
            <w:pPr>
              <w:pStyle w:val="Normal-pool-Table"/>
              <w:jc w:val="right"/>
              <w:rPr>
                <w:szCs w:val="18"/>
              </w:rPr>
            </w:pPr>
            <w:r w:rsidRPr="007647EB">
              <w:rPr>
                <w:color w:val="000000"/>
              </w:rPr>
              <w:t>47 141</w:t>
            </w:r>
          </w:p>
        </w:tc>
      </w:tr>
      <w:tr w:rsidR="00B03672" w:rsidRPr="007647EB" w14:paraId="10DFBC42"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4C68A574" w14:textId="12FDF8E8"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65A03119" w14:textId="77777777" w:rsidR="00B03672" w:rsidRPr="007647EB" w:rsidRDefault="00B03672" w:rsidP="008123FC">
            <w:pPr>
              <w:pStyle w:val="Normal-pool-Table"/>
              <w:rPr>
                <w:szCs w:val="18"/>
              </w:rPr>
            </w:pPr>
            <w:r w:rsidRPr="007647EB">
              <w:rPr>
                <w:color w:val="000000"/>
              </w:rPr>
              <w:t>Pays-Bas (Royaume des)</w:t>
            </w:r>
          </w:p>
        </w:tc>
        <w:tc>
          <w:tcPr>
            <w:tcW w:w="1395" w:type="dxa"/>
            <w:tcBorders>
              <w:top w:val="nil"/>
              <w:left w:val="nil"/>
              <w:bottom w:val="single" w:sz="4" w:space="0" w:color="auto"/>
              <w:right w:val="single" w:sz="4" w:space="0" w:color="auto"/>
            </w:tcBorders>
            <w:noWrap/>
            <w:hideMark/>
          </w:tcPr>
          <w:p w14:paraId="4D8883BE" w14:textId="77777777" w:rsidR="00B03672" w:rsidRPr="007647EB" w:rsidRDefault="00B03672" w:rsidP="008123FC">
            <w:pPr>
              <w:pStyle w:val="Normal-pool-Table"/>
              <w:jc w:val="right"/>
              <w:rPr>
                <w:szCs w:val="18"/>
              </w:rPr>
            </w:pPr>
            <w:r w:rsidRPr="007647EB">
              <w:rPr>
                <w:color w:val="000000"/>
              </w:rPr>
              <w:t>1,298</w:t>
            </w:r>
          </w:p>
        </w:tc>
        <w:tc>
          <w:tcPr>
            <w:tcW w:w="1134" w:type="dxa"/>
            <w:tcBorders>
              <w:top w:val="nil"/>
              <w:left w:val="nil"/>
              <w:bottom w:val="single" w:sz="4" w:space="0" w:color="auto"/>
              <w:right w:val="single" w:sz="4" w:space="0" w:color="auto"/>
            </w:tcBorders>
            <w:noWrap/>
            <w:hideMark/>
          </w:tcPr>
          <w:p w14:paraId="0932ECF0" w14:textId="77777777" w:rsidR="00B03672" w:rsidRPr="007647EB" w:rsidRDefault="00B03672" w:rsidP="008123FC">
            <w:pPr>
              <w:pStyle w:val="Normal-pool-Table"/>
              <w:jc w:val="right"/>
              <w:rPr>
                <w:szCs w:val="18"/>
              </w:rPr>
            </w:pPr>
            <w:r w:rsidRPr="007647EB">
              <w:rPr>
                <w:color w:val="000000"/>
              </w:rPr>
              <w:t>1,3101</w:t>
            </w:r>
          </w:p>
        </w:tc>
        <w:tc>
          <w:tcPr>
            <w:tcW w:w="1276" w:type="dxa"/>
            <w:tcBorders>
              <w:top w:val="nil"/>
              <w:left w:val="nil"/>
              <w:bottom w:val="single" w:sz="4" w:space="0" w:color="auto"/>
              <w:right w:val="single" w:sz="4" w:space="0" w:color="auto"/>
            </w:tcBorders>
            <w:noWrap/>
            <w:hideMark/>
          </w:tcPr>
          <w:p w14:paraId="01B86FA9" w14:textId="77777777" w:rsidR="00B03672" w:rsidRPr="007647EB" w:rsidRDefault="00B03672" w:rsidP="008123FC">
            <w:pPr>
              <w:pStyle w:val="Normal-pool-Table"/>
              <w:jc w:val="right"/>
              <w:rPr>
                <w:szCs w:val="18"/>
              </w:rPr>
            </w:pPr>
            <w:r w:rsidRPr="007647EB">
              <w:rPr>
                <w:color w:val="000000"/>
              </w:rPr>
              <w:t>40 394</w:t>
            </w:r>
          </w:p>
        </w:tc>
        <w:tc>
          <w:tcPr>
            <w:tcW w:w="1276" w:type="dxa"/>
            <w:tcBorders>
              <w:top w:val="nil"/>
              <w:left w:val="nil"/>
              <w:bottom w:val="single" w:sz="4" w:space="0" w:color="auto"/>
              <w:right w:val="single" w:sz="4" w:space="0" w:color="auto"/>
            </w:tcBorders>
            <w:noWrap/>
            <w:hideMark/>
          </w:tcPr>
          <w:p w14:paraId="1BA049EA" w14:textId="77777777" w:rsidR="00B03672" w:rsidRPr="007647EB" w:rsidRDefault="00B03672" w:rsidP="008123FC">
            <w:pPr>
              <w:pStyle w:val="Normal-pool-Table"/>
              <w:jc w:val="right"/>
              <w:rPr>
                <w:szCs w:val="18"/>
              </w:rPr>
            </w:pPr>
            <w:r w:rsidRPr="007647EB">
              <w:rPr>
                <w:color w:val="000000"/>
              </w:rPr>
              <w:t>53 311</w:t>
            </w:r>
          </w:p>
        </w:tc>
        <w:tc>
          <w:tcPr>
            <w:tcW w:w="1291" w:type="dxa"/>
            <w:tcBorders>
              <w:top w:val="nil"/>
              <w:left w:val="nil"/>
              <w:bottom w:val="single" w:sz="4" w:space="0" w:color="auto"/>
              <w:right w:val="single" w:sz="4" w:space="0" w:color="auto"/>
            </w:tcBorders>
            <w:noWrap/>
            <w:hideMark/>
          </w:tcPr>
          <w:p w14:paraId="6F404D3B" w14:textId="77777777" w:rsidR="00B03672" w:rsidRPr="007647EB" w:rsidRDefault="00B03672" w:rsidP="008123FC">
            <w:pPr>
              <w:pStyle w:val="Normal-pool-Table"/>
              <w:jc w:val="right"/>
              <w:rPr>
                <w:szCs w:val="18"/>
              </w:rPr>
            </w:pPr>
            <w:r w:rsidRPr="007647EB">
              <w:rPr>
                <w:color w:val="000000"/>
              </w:rPr>
              <w:t>93 705</w:t>
            </w:r>
          </w:p>
        </w:tc>
      </w:tr>
      <w:tr w:rsidR="00B03672" w:rsidRPr="007647EB" w14:paraId="58450DE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7245F223" w14:textId="3442A84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0671178" w14:textId="77777777" w:rsidR="00B03672" w:rsidRPr="007647EB" w:rsidRDefault="00B03672" w:rsidP="008123FC">
            <w:pPr>
              <w:pStyle w:val="Normal-pool-Table"/>
              <w:rPr>
                <w:szCs w:val="18"/>
              </w:rPr>
            </w:pPr>
            <w:r w:rsidRPr="007647EB">
              <w:rPr>
                <w:color w:val="000000"/>
              </w:rPr>
              <w:t>Portugal</w:t>
            </w:r>
          </w:p>
        </w:tc>
        <w:tc>
          <w:tcPr>
            <w:tcW w:w="1395" w:type="dxa"/>
            <w:tcBorders>
              <w:top w:val="nil"/>
              <w:left w:val="nil"/>
              <w:bottom w:val="single" w:sz="4" w:space="0" w:color="auto"/>
              <w:right w:val="single" w:sz="4" w:space="0" w:color="auto"/>
            </w:tcBorders>
            <w:noWrap/>
            <w:hideMark/>
          </w:tcPr>
          <w:p w14:paraId="0D15D9AD" w14:textId="77777777" w:rsidR="00B03672" w:rsidRPr="007647EB" w:rsidRDefault="00B03672" w:rsidP="008123FC">
            <w:pPr>
              <w:pStyle w:val="Normal-pool-Table"/>
              <w:jc w:val="right"/>
              <w:rPr>
                <w:szCs w:val="18"/>
              </w:rPr>
            </w:pPr>
            <w:r w:rsidRPr="007647EB">
              <w:rPr>
                <w:color w:val="000000"/>
              </w:rPr>
              <w:t>0,328</w:t>
            </w:r>
          </w:p>
        </w:tc>
        <w:tc>
          <w:tcPr>
            <w:tcW w:w="1134" w:type="dxa"/>
            <w:tcBorders>
              <w:top w:val="nil"/>
              <w:left w:val="nil"/>
              <w:bottom w:val="single" w:sz="4" w:space="0" w:color="auto"/>
              <w:right w:val="single" w:sz="4" w:space="0" w:color="auto"/>
            </w:tcBorders>
            <w:noWrap/>
            <w:hideMark/>
          </w:tcPr>
          <w:p w14:paraId="1A4C745A" w14:textId="77777777" w:rsidR="00B03672" w:rsidRPr="007647EB" w:rsidRDefault="00B03672" w:rsidP="008123FC">
            <w:pPr>
              <w:pStyle w:val="Normal-pool-Table"/>
              <w:jc w:val="right"/>
              <w:rPr>
                <w:szCs w:val="18"/>
              </w:rPr>
            </w:pPr>
            <w:r w:rsidRPr="007647EB">
              <w:rPr>
                <w:color w:val="000000"/>
              </w:rPr>
              <w:t>0,3311</w:t>
            </w:r>
          </w:p>
        </w:tc>
        <w:tc>
          <w:tcPr>
            <w:tcW w:w="1276" w:type="dxa"/>
            <w:tcBorders>
              <w:top w:val="nil"/>
              <w:left w:val="nil"/>
              <w:bottom w:val="single" w:sz="4" w:space="0" w:color="auto"/>
              <w:right w:val="single" w:sz="4" w:space="0" w:color="auto"/>
            </w:tcBorders>
            <w:noWrap/>
            <w:hideMark/>
          </w:tcPr>
          <w:p w14:paraId="021872E3" w14:textId="77777777" w:rsidR="00B03672" w:rsidRPr="007647EB" w:rsidRDefault="00B03672" w:rsidP="008123FC">
            <w:pPr>
              <w:pStyle w:val="Normal-pool-Table"/>
              <w:jc w:val="right"/>
              <w:rPr>
                <w:szCs w:val="18"/>
              </w:rPr>
            </w:pPr>
            <w:r w:rsidRPr="007647EB">
              <w:rPr>
                <w:color w:val="000000"/>
              </w:rPr>
              <w:t>10 208</w:t>
            </w:r>
          </w:p>
        </w:tc>
        <w:tc>
          <w:tcPr>
            <w:tcW w:w="1276" w:type="dxa"/>
            <w:tcBorders>
              <w:top w:val="nil"/>
              <w:left w:val="nil"/>
              <w:bottom w:val="single" w:sz="4" w:space="0" w:color="auto"/>
              <w:right w:val="single" w:sz="4" w:space="0" w:color="auto"/>
            </w:tcBorders>
            <w:noWrap/>
            <w:hideMark/>
          </w:tcPr>
          <w:p w14:paraId="7EFC1CA8" w14:textId="77777777" w:rsidR="00B03672" w:rsidRPr="007647EB" w:rsidRDefault="00B03672" w:rsidP="008123FC">
            <w:pPr>
              <w:pStyle w:val="Normal-pool-Table"/>
              <w:jc w:val="right"/>
              <w:rPr>
                <w:szCs w:val="18"/>
              </w:rPr>
            </w:pPr>
            <w:r w:rsidRPr="007647EB">
              <w:rPr>
                <w:color w:val="000000"/>
              </w:rPr>
              <w:t>13 471</w:t>
            </w:r>
          </w:p>
        </w:tc>
        <w:tc>
          <w:tcPr>
            <w:tcW w:w="1291" w:type="dxa"/>
            <w:tcBorders>
              <w:top w:val="nil"/>
              <w:left w:val="nil"/>
              <w:bottom w:val="single" w:sz="4" w:space="0" w:color="auto"/>
              <w:right w:val="single" w:sz="4" w:space="0" w:color="auto"/>
            </w:tcBorders>
            <w:noWrap/>
            <w:hideMark/>
          </w:tcPr>
          <w:p w14:paraId="28E44558" w14:textId="77777777" w:rsidR="00B03672" w:rsidRPr="007647EB" w:rsidRDefault="00B03672" w:rsidP="008123FC">
            <w:pPr>
              <w:pStyle w:val="Normal-pool-Table"/>
              <w:jc w:val="right"/>
              <w:rPr>
                <w:szCs w:val="18"/>
              </w:rPr>
            </w:pPr>
            <w:r w:rsidRPr="007647EB">
              <w:rPr>
                <w:color w:val="000000"/>
              </w:rPr>
              <w:t>23 679</w:t>
            </w:r>
          </w:p>
        </w:tc>
      </w:tr>
      <w:tr w:rsidR="00B03672" w:rsidRPr="007647EB" w14:paraId="0D12264B"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C33DF1D" w14:textId="7C3DCCDB"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D034736" w14:textId="771C64CA" w:rsidR="00B03672" w:rsidRPr="007647EB" w:rsidRDefault="00B03672" w:rsidP="008123FC">
            <w:pPr>
              <w:pStyle w:val="Normal-pool-Table"/>
              <w:rPr>
                <w:szCs w:val="18"/>
              </w:rPr>
            </w:pPr>
            <w:r w:rsidRPr="007647EB">
              <w:rPr>
                <w:color w:val="000000"/>
              </w:rPr>
              <w:t>Royaume-Uni de Grande-Bretagne et d</w:t>
            </w:r>
            <w:r w:rsidR="00D82E47" w:rsidRPr="007647EB">
              <w:rPr>
                <w:color w:val="000000"/>
              </w:rPr>
              <w:t>’</w:t>
            </w:r>
            <w:r w:rsidRPr="007647EB">
              <w:rPr>
                <w:color w:val="000000"/>
              </w:rPr>
              <w:t>Irlande du Nord</w:t>
            </w:r>
          </w:p>
        </w:tc>
        <w:tc>
          <w:tcPr>
            <w:tcW w:w="1395" w:type="dxa"/>
            <w:tcBorders>
              <w:top w:val="nil"/>
              <w:left w:val="nil"/>
              <w:bottom w:val="single" w:sz="4" w:space="0" w:color="auto"/>
              <w:right w:val="single" w:sz="4" w:space="0" w:color="auto"/>
            </w:tcBorders>
            <w:noWrap/>
            <w:vAlign w:val="bottom"/>
            <w:hideMark/>
          </w:tcPr>
          <w:p w14:paraId="21CF96D8" w14:textId="77777777" w:rsidR="00B03672" w:rsidRPr="007647EB" w:rsidRDefault="00B03672" w:rsidP="008123FC">
            <w:pPr>
              <w:pStyle w:val="Normal-pool-Table"/>
              <w:jc w:val="right"/>
              <w:rPr>
                <w:szCs w:val="18"/>
              </w:rPr>
            </w:pPr>
            <w:r w:rsidRPr="007647EB">
              <w:rPr>
                <w:color w:val="000000"/>
              </w:rPr>
              <w:t>3,991</w:t>
            </w:r>
          </w:p>
        </w:tc>
        <w:tc>
          <w:tcPr>
            <w:tcW w:w="1134" w:type="dxa"/>
            <w:tcBorders>
              <w:top w:val="nil"/>
              <w:left w:val="nil"/>
              <w:bottom w:val="single" w:sz="4" w:space="0" w:color="auto"/>
              <w:right w:val="single" w:sz="4" w:space="0" w:color="auto"/>
            </w:tcBorders>
            <w:noWrap/>
            <w:vAlign w:val="bottom"/>
            <w:hideMark/>
          </w:tcPr>
          <w:p w14:paraId="33DAA719" w14:textId="77777777" w:rsidR="00B03672" w:rsidRPr="007647EB" w:rsidRDefault="00B03672" w:rsidP="008123FC">
            <w:pPr>
              <w:pStyle w:val="Normal-pool-Table"/>
              <w:jc w:val="right"/>
              <w:rPr>
                <w:szCs w:val="18"/>
              </w:rPr>
            </w:pPr>
            <w:r w:rsidRPr="007647EB">
              <w:rPr>
                <w:color w:val="000000"/>
              </w:rPr>
              <w:t>4,0282</w:t>
            </w:r>
          </w:p>
        </w:tc>
        <w:tc>
          <w:tcPr>
            <w:tcW w:w="1276" w:type="dxa"/>
            <w:tcBorders>
              <w:top w:val="nil"/>
              <w:left w:val="nil"/>
              <w:bottom w:val="single" w:sz="4" w:space="0" w:color="auto"/>
              <w:right w:val="single" w:sz="4" w:space="0" w:color="auto"/>
            </w:tcBorders>
            <w:noWrap/>
            <w:vAlign w:val="bottom"/>
            <w:hideMark/>
          </w:tcPr>
          <w:p w14:paraId="6649409F" w14:textId="77777777" w:rsidR="00B03672" w:rsidRPr="007647EB" w:rsidRDefault="00B03672" w:rsidP="008123FC">
            <w:pPr>
              <w:pStyle w:val="Normal-pool-Table"/>
              <w:jc w:val="right"/>
              <w:rPr>
                <w:szCs w:val="18"/>
              </w:rPr>
            </w:pPr>
            <w:r w:rsidRPr="007647EB">
              <w:rPr>
                <w:color w:val="000000"/>
              </w:rPr>
              <w:t>124 202</w:t>
            </w:r>
          </w:p>
        </w:tc>
        <w:tc>
          <w:tcPr>
            <w:tcW w:w="1276" w:type="dxa"/>
            <w:tcBorders>
              <w:top w:val="nil"/>
              <w:left w:val="nil"/>
              <w:bottom w:val="single" w:sz="4" w:space="0" w:color="auto"/>
              <w:right w:val="single" w:sz="4" w:space="0" w:color="auto"/>
            </w:tcBorders>
            <w:noWrap/>
            <w:vAlign w:val="bottom"/>
            <w:hideMark/>
          </w:tcPr>
          <w:p w14:paraId="23410C19" w14:textId="77777777" w:rsidR="00B03672" w:rsidRPr="007647EB" w:rsidRDefault="00B03672" w:rsidP="008123FC">
            <w:pPr>
              <w:pStyle w:val="Normal-pool-Table"/>
              <w:jc w:val="right"/>
              <w:rPr>
                <w:szCs w:val="18"/>
              </w:rPr>
            </w:pPr>
            <w:r w:rsidRPr="007647EB">
              <w:rPr>
                <w:color w:val="000000"/>
              </w:rPr>
              <w:t>163 917</w:t>
            </w:r>
          </w:p>
        </w:tc>
        <w:tc>
          <w:tcPr>
            <w:tcW w:w="1291" w:type="dxa"/>
            <w:tcBorders>
              <w:top w:val="nil"/>
              <w:left w:val="nil"/>
              <w:bottom w:val="single" w:sz="4" w:space="0" w:color="auto"/>
              <w:right w:val="single" w:sz="4" w:space="0" w:color="auto"/>
            </w:tcBorders>
            <w:noWrap/>
            <w:vAlign w:val="bottom"/>
            <w:hideMark/>
          </w:tcPr>
          <w:p w14:paraId="1179E9FC" w14:textId="77777777" w:rsidR="00B03672" w:rsidRPr="007647EB" w:rsidRDefault="00B03672" w:rsidP="008123FC">
            <w:pPr>
              <w:pStyle w:val="Normal-pool-Table"/>
              <w:jc w:val="right"/>
              <w:rPr>
                <w:szCs w:val="18"/>
              </w:rPr>
            </w:pPr>
            <w:r w:rsidRPr="007647EB">
              <w:rPr>
                <w:color w:val="000000"/>
              </w:rPr>
              <w:t>288 119</w:t>
            </w:r>
          </w:p>
        </w:tc>
      </w:tr>
      <w:tr w:rsidR="00B03672" w:rsidRPr="007647EB" w14:paraId="64649CBF"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C53B223" w14:textId="69E8E870"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01E5A69C" w14:textId="77777777" w:rsidR="00B03672" w:rsidRPr="007647EB" w:rsidRDefault="00B03672" w:rsidP="008123FC">
            <w:pPr>
              <w:pStyle w:val="Normal-pool-Table"/>
              <w:rPr>
                <w:szCs w:val="18"/>
              </w:rPr>
            </w:pPr>
            <w:r w:rsidRPr="007647EB">
              <w:rPr>
                <w:color w:val="000000"/>
              </w:rPr>
              <w:t>Suède</w:t>
            </w:r>
          </w:p>
        </w:tc>
        <w:tc>
          <w:tcPr>
            <w:tcW w:w="1395" w:type="dxa"/>
            <w:tcBorders>
              <w:top w:val="nil"/>
              <w:left w:val="nil"/>
              <w:bottom w:val="single" w:sz="4" w:space="0" w:color="auto"/>
              <w:right w:val="single" w:sz="4" w:space="0" w:color="auto"/>
            </w:tcBorders>
            <w:noWrap/>
            <w:hideMark/>
          </w:tcPr>
          <w:p w14:paraId="6235637F" w14:textId="77777777" w:rsidR="00B03672" w:rsidRPr="007647EB" w:rsidRDefault="00B03672" w:rsidP="008123FC">
            <w:pPr>
              <w:pStyle w:val="Normal-pool-Table"/>
              <w:jc w:val="right"/>
              <w:rPr>
                <w:szCs w:val="18"/>
              </w:rPr>
            </w:pPr>
            <w:r w:rsidRPr="007647EB">
              <w:rPr>
                <w:color w:val="000000"/>
              </w:rPr>
              <w:t>0,822</w:t>
            </w:r>
          </w:p>
        </w:tc>
        <w:tc>
          <w:tcPr>
            <w:tcW w:w="1134" w:type="dxa"/>
            <w:tcBorders>
              <w:top w:val="nil"/>
              <w:left w:val="nil"/>
              <w:bottom w:val="single" w:sz="4" w:space="0" w:color="auto"/>
              <w:right w:val="single" w:sz="4" w:space="0" w:color="auto"/>
            </w:tcBorders>
            <w:noWrap/>
            <w:hideMark/>
          </w:tcPr>
          <w:p w14:paraId="3536DB27" w14:textId="77777777" w:rsidR="00B03672" w:rsidRPr="007647EB" w:rsidRDefault="00B03672" w:rsidP="008123FC">
            <w:pPr>
              <w:pStyle w:val="Normal-pool-Table"/>
              <w:jc w:val="right"/>
              <w:rPr>
                <w:szCs w:val="18"/>
              </w:rPr>
            </w:pPr>
            <w:r w:rsidRPr="007647EB">
              <w:rPr>
                <w:color w:val="000000"/>
              </w:rPr>
              <w:t>0,8297</w:t>
            </w:r>
          </w:p>
        </w:tc>
        <w:tc>
          <w:tcPr>
            <w:tcW w:w="1276" w:type="dxa"/>
            <w:tcBorders>
              <w:top w:val="nil"/>
              <w:left w:val="nil"/>
              <w:bottom w:val="single" w:sz="4" w:space="0" w:color="auto"/>
              <w:right w:val="single" w:sz="4" w:space="0" w:color="auto"/>
            </w:tcBorders>
            <w:noWrap/>
            <w:hideMark/>
          </w:tcPr>
          <w:p w14:paraId="148233BF" w14:textId="77777777" w:rsidR="00B03672" w:rsidRPr="007647EB" w:rsidRDefault="00B03672" w:rsidP="008123FC">
            <w:pPr>
              <w:pStyle w:val="Normal-pool-Table"/>
              <w:jc w:val="right"/>
              <w:rPr>
                <w:szCs w:val="18"/>
              </w:rPr>
            </w:pPr>
            <w:r w:rsidRPr="007647EB">
              <w:rPr>
                <w:color w:val="000000"/>
              </w:rPr>
              <w:t>25 581</w:t>
            </w:r>
          </w:p>
        </w:tc>
        <w:tc>
          <w:tcPr>
            <w:tcW w:w="1276" w:type="dxa"/>
            <w:tcBorders>
              <w:top w:val="nil"/>
              <w:left w:val="nil"/>
              <w:bottom w:val="single" w:sz="4" w:space="0" w:color="auto"/>
              <w:right w:val="single" w:sz="4" w:space="0" w:color="auto"/>
            </w:tcBorders>
            <w:noWrap/>
            <w:hideMark/>
          </w:tcPr>
          <w:p w14:paraId="6207F24A" w14:textId="77777777" w:rsidR="00B03672" w:rsidRPr="007647EB" w:rsidRDefault="00B03672" w:rsidP="008123FC">
            <w:pPr>
              <w:pStyle w:val="Normal-pool-Table"/>
              <w:jc w:val="right"/>
              <w:rPr>
                <w:szCs w:val="18"/>
              </w:rPr>
            </w:pPr>
            <w:r w:rsidRPr="007647EB">
              <w:rPr>
                <w:color w:val="000000"/>
              </w:rPr>
              <w:t>33 761</w:t>
            </w:r>
          </w:p>
        </w:tc>
        <w:tc>
          <w:tcPr>
            <w:tcW w:w="1291" w:type="dxa"/>
            <w:tcBorders>
              <w:top w:val="nil"/>
              <w:left w:val="nil"/>
              <w:bottom w:val="single" w:sz="4" w:space="0" w:color="auto"/>
              <w:right w:val="single" w:sz="4" w:space="0" w:color="auto"/>
            </w:tcBorders>
            <w:noWrap/>
            <w:hideMark/>
          </w:tcPr>
          <w:p w14:paraId="65E6DACB" w14:textId="77777777" w:rsidR="00B03672" w:rsidRPr="007647EB" w:rsidRDefault="00B03672" w:rsidP="008123FC">
            <w:pPr>
              <w:pStyle w:val="Normal-pool-Table"/>
              <w:jc w:val="right"/>
              <w:rPr>
                <w:szCs w:val="18"/>
              </w:rPr>
            </w:pPr>
            <w:r w:rsidRPr="007647EB">
              <w:rPr>
                <w:color w:val="000000"/>
              </w:rPr>
              <w:t>59 342</w:t>
            </w:r>
          </w:p>
        </w:tc>
      </w:tr>
      <w:tr w:rsidR="00B03672" w:rsidRPr="007647EB" w14:paraId="3A260BD7"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02DE4706" w14:textId="272A0CB2"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457596B" w14:textId="77777777" w:rsidR="00B03672" w:rsidRPr="007647EB" w:rsidRDefault="00B03672" w:rsidP="008123FC">
            <w:pPr>
              <w:pStyle w:val="Normal-pool-Table"/>
              <w:rPr>
                <w:szCs w:val="18"/>
              </w:rPr>
            </w:pPr>
            <w:r w:rsidRPr="007647EB">
              <w:rPr>
                <w:color w:val="000000"/>
              </w:rPr>
              <w:t>Suisse</w:t>
            </w:r>
          </w:p>
        </w:tc>
        <w:tc>
          <w:tcPr>
            <w:tcW w:w="1395" w:type="dxa"/>
            <w:tcBorders>
              <w:top w:val="nil"/>
              <w:left w:val="nil"/>
              <w:bottom w:val="single" w:sz="4" w:space="0" w:color="auto"/>
              <w:right w:val="single" w:sz="4" w:space="0" w:color="auto"/>
            </w:tcBorders>
            <w:noWrap/>
            <w:hideMark/>
          </w:tcPr>
          <w:p w14:paraId="460E261B" w14:textId="77777777" w:rsidR="00B03672" w:rsidRPr="007647EB" w:rsidRDefault="00B03672" w:rsidP="008123FC">
            <w:pPr>
              <w:pStyle w:val="Normal-pool-Table"/>
              <w:jc w:val="right"/>
              <w:rPr>
                <w:szCs w:val="18"/>
              </w:rPr>
            </w:pPr>
            <w:r w:rsidRPr="007647EB">
              <w:rPr>
                <w:color w:val="000000"/>
              </w:rPr>
              <w:t>1,029</w:t>
            </w:r>
          </w:p>
        </w:tc>
        <w:tc>
          <w:tcPr>
            <w:tcW w:w="1134" w:type="dxa"/>
            <w:tcBorders>
              <w:top w:val="nil"/>
              <w:left w:val="nil"/>
              <w:bottom w:val="single" w:sz="4" w:space="0" w:color="auto"/>
              <w:right w:val="single" w:sz="4" w:space="0" w:color="auto"/>
            </w:tcBorders>
            <w:noWrap/>
            <w:hideMark/>
          </w:tcPr>
          <w:p w14:paraId="27D8A82F" w14:textId="77777777" w:rsidR="00B03672" w:rsidRPr="007647EB" w:rsidRDefault="00B03672" w:rsidP="008123FC">
            <w:pPr>
              <w:pStyle w:val="Normal-pool-Table"/>
              <w:jc w:val="right"/>
              <w:rPr>
                <w:szCs w:val="18"/>
              </w:rPr>
            </w:pPr>
            <w:r w:rsidRPr="007647EB">
              <w:rPr>
                <w:color w:val="000000"/>
              </w:rPr>
              <w:t>1,0386</w:t>
            </w:r>
          </w:p>
        </w:tc>
        <w:tc>
          <w:tcPr>
            <w:tcW w:w="1276" w:type="dxa"/>
            <w:tcBorders>
              <w:top w:val="nil"/>
              <w:left w:val="nil"/>
              <w:bottom w:val="single" w:sz="4" w:space="0" w:color="auto"/>
              <w:right w:val="single" w:sz="4" w:space="0" w:color="auto"/>
            </w:tcBorders>
            <w:noWrap/>
            <w:hideMark/>
          </w:tcPr>
          <w:p w14:paraId="3DB8ECC4" w14:textId="77777777" w:rsidR="00B03672" w:rsidRPr="007647EB" w:rsidRDefault="00B03672" w:rsidP="008123FC">
            <w:pPr>
              <w:pStyle w:val="Normal-pool-Table"/>
              <w:jc w:val="right"/>
              <w:rPr>
                <w:szCs w:val="18"/>
              </w:rPr>
            </w:pPr>
            <w:r w:rsidRPr="007647EB">
              <w:rPr>
                <w:color w:val="000000"/>
              </w:rPr>
              <w:t>32 023</w:t>
            </w:r>
          </w:p>
        </w:tc>
        <w:tc>
          <w:tcPr>
            <w:tcW w:w="1276" w:type="dxa"/>
            <w:tcBorders>
              <w:top w:val="nil"/>
              <w:left w:val="nil"/>
              <w:bottom w:val="single" w:sz="4" w:space="0" w:color="auto"/>
              <w:right w:val="single" w:sz="4" w:space="0" w:color="auto"/>
            </w:tcBorders>
            <w:noWrap/>
            <w:hideMark/>
          </w:tcPr>
          <w:p w14:paraId="7A5FDEEF" w14:textId="77777777" w:rsidR="00B03672" w:rsidRPr="007647EB" w:rsidRDefault="00B03672" w:rsidP="008123FC">
            <w:pPr>
              <w:pStyle w:val="Normal-pool-Table"/>
              <w:jc w:val="right"/>
              <w:rPr>
                <w:szCs w:val="18"/>
              </w:rPr>
            </w:pPr>
            <w:r w:rsidRPr="007647EB">
              <w:rPr>
                <w:color w:val="000000"/>
              </w:rPr>
              <w:t>42 263</w:t>
            </w:r>
          </w:p>
        </w:tc>
        <w:tc>
          <w:tcPr>
            <w:tcW w:w="1291" w:type="dxa"/>
            <w:tcBorders>
              <w:top w:val="nil"/>
              <w:left w:val="nil"/>
              <w:bottom w:val="single" w:sz="4" w:space="0" w:color="auto"/>
              <w:right w:val="single" w:sz="4" w:space="0" w:color="auto"/>
            </w:tcBorders>
            <w:noWrap/>
            <w:hideMark/>
          </w:tcPr>
          <w:p w14:paraId="4AF87ED2" w14:textId="77777777" w:rsidR="00B03672" w:rsidRPr="007647EB" w:rsidRDefault="00B03672" w:rsidP="008123FC">
            <w:pPr>
              <w:pStyle w:val="Normal-pool-Table"/>
              <w:jc w:val="right"/>
              <w:rPr>
                <w:szCs w:val="18"/>
              </w:rPr>
            </w:pPr>
            <w:r w:rsidRPr="007647EB">
              <w:rPr>
                <w:color w:val="000000"/>
              </w:rPr>
              <w:t>74 286</w:t>
            </w:r>
          </w:p>
        </w:tc>
      </w:tr>
      <w:tr w:rsidR="00B03672" w:rsidRPr="007647EB" w14:paraId="6B519255"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60A110DE" w14:textId="1335D3BF"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1E1105B8" w14:textId="77777777" w:rsidR="00B03672" w:rsidRPr="007647EB" w:rsidRDefault="00B03672" w:rsidP="008123FC">
            <w:pPr>
              <w:pStyle w:val="Normal-pool-Table"/>
              <w:rPr>
                <w:szCs w:val="18"/>
              </w:rPr>
            </w:pPr>
            <w:r w:rsidRPr="007647EB">
              <w:rPr>
                <w:color w:val="000000"/>
              </w:rPr>
              <w:t>Türkiye</w:t>
            </w:r>
          </w:p>
        </w:tc>
        <w:tc>
          <w:tcPr>
            <w:tcW w:w="1395" w:type="dxa"/>
            <w:tcBorders>
              <w:top w:val="nil"/>
              <w:left w:val="nil"/>
              <w:bottom w:val="single" w:sz="4" w:space="0" w:color="auto"/>
              <w:right w:val="single" w:sz="4" w:space="0" w:color="auto"/>
            </w:tcBorders>
            <w:noWrap/>
            <w:hideMark/>
          </w:tcPr>
          <w:p w14:paraId="0E151AFF" w14:textId="77777777" w:rsidR="00B03672" w:rsidRPr="007647EB" w:rsidRDefault="00B03672" w:rsidP="008123FC">
            <w:pPr>
              <w:pStyle w:val="Normal-pool-Table"/>
              <w:jc w:val="right"/>
              <w:rPr>
                <w:szCs w:val="18"/>
              </w:rPr>
            </w:pPr>
            <w:r w:rsidRPr="007647EB">
              <w:rPr>
                <w:color w:val="000000"/>
              </w:rPr>
              <w:t>0,685</w:t>
            </w:r>
          </w:p>
        </w:tc>
        <w:tc>
          <w:tcPr>
            <w:tcW w:w="1134" w:type="dxa"/>
            <w:tcBorders>
              <w:top w:val="nil"/>
              <w:left w:val="nil"/>
              <w:bottom w:val="single" w:sz="4" w:space="0" w:color="auto"/>
              <w:right w:val="single" w:sz="4" w:space="0" w:color="auto"/>
            </w:tcBorders>
            <w:noWrap/>
            <w:hideMark/>
          </w:tcPr>
          <w:p w14:paraId="5AB9501F" w14:textId="77777777" w:rsidR="00B03672" w:rsidRPr="007647EB" w:rsidRDefault="00B03672" w:rsidP="008123FC">
            <w:pPr>
              <w:pStyle w:val="Normal-pool-Table"/>
              <w:jc w:val="right"/>
              <w:rPr>
                <w:szCs w:val="18"/>
              </w:rPr>
            </w:pPr>
            <w:r w:rsidRPr="007647EB">
              <w:rPr>
                <w:color w:val="000000"/>
              </w:rPr>
              <w:t>0,6914</w:t>
            </w:r>
          </w:p>
        </w:tc>
        <w:tc>
          <w:tcPr>
            <w:tcW w:w="1276" w:type="dxa"/>
            <w:tcBorders>
              <w:top w:val="nil"/>
              <w:left w:val="nil"/>
              <w:bottom w:val="single" w:sz="4" w:space="0" w:color="auto"/>
              <w:right w:val="single" w:sz="4" w:space="0" w:color="auto"/>
            </w:tcBorders>
            <w:noWrap/>
            <w:hideMark/>
          </w:tcPr>
          <w:p w14:paraId="1243AAE7" w14:textId="77777777" w:rsidR="00B03672" w:rsidRPr="007647EB" w:rsidRDefault="00B03672" w:rsidP="008123FC">
            <w:pPr>
              <w:pStyle w:val="Normal-pool-Table"/>
              <w:jc w:val="right"/>
              <w:rPr>
                <w:szCs w:val="18"/>
              </w:rPr>
            </w:pPr>
            <w:r w:rsidRPr="007647EB">
              <w:rPr>
                <w:color w:val="000000"/>
              </w:rPr>
              <w:t>21 318</w:t>
            </w:r>
          </w:p>
        </w:tc>
        <w:tc>
          <w:tcPr>
            <w:tcW w:w="1276" w:type="dxa"/>
            <w:tcBorders>
              <w:top w:val="nil"/>
              <w:left w:val="nil"/>
              <w:bottom w:val="single" w:sz="4" w:space="0" w:color="auto"/>
              <w:right w:val="single" w:sz="4" w:space="0" w:color="auto"/>
            </w:tcBorders>
            <w:noWrap/>
            <w:hideMark/>
          </w:tcPr>
          <w:p w14:paraId="49001A23" w14:textId="77777777" w:rsidR="00B03672" w:rsidRPr="007647EB" w:rsidRDefault="00B03672" w:rsidP="008123FC">
            <w:pPr>
              <w:pStyle w:val="Normal-pool-Table"/>
              <w:jc w:val="right"/>
              <w:rPr>
                <w:szCs w:val="18"/>
              </w:rPr>
            </w:pPr>
            <w:r w:rsidRPr="007647EB">
              <w:rPr>
                <w:color w:val="000000"/>
              </w:rPr>
              <w:t>28 134</w:t>
            </w:r>
          </w:p>
        </w:tc>
        <w:tc>
          <w:tcPr>
            <w:tcW w:w="1291" w:type="dxa"/>
            <w:tcBorders>
              <w:top w:val="nil"/>
              <w:left w:val="nil"/>
              <w:bottom w:val="single" w:sz="4" w:space="0" w:color="auto"/>
              <w:right w:val="single" w:sz="4" w:space="0" w:color="auto"/>
            </w:tcBorders>
            <w:noWrap/>
            <w:hideMark/>
          </w:tcPr>
          <w:p w14:paraId="23F78FBA" w14:textId="77777777" w:rsidR="00B03672" w:rsidRPr="007647EB" w:rsidRDefault="00B03672" w:rsidP="008123FC">
            <w:pPr>
              <w:pStyle w:val="Normal-pool-Table"/>
              <w:jc w:val="right"/>
              <w:rPr>
                <w:szCs w:val="18"/>
              </w:rPr>
            </w:pPr>
            <w:r w:rsidRPr="007647EB">
              <w:rPr>
                <w:color w:val="000000"/>
              </w:rPr>
              <w:t>49 452</w:t>
            </w:r>
          </w:p>
        </w:tc>
      </w:tr>
      <w:tr w:rsidR="00B03672" w:rsidRPr="007647EB" w14:paraId="5542E946"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tcPr>
          <w:p w14:paraId="3367B6D3" w14:textId="1308FA04" w:rsidR="00B03672" w:rsidRPr="007647EB" w:rsidRDefault="00B03672" w:rsidP="00330D4E">
            <w:pPr>
              <w:pStyle w:val="Normal-pool-Table"/>
              <w:numPr>
                <w:ilvl w:val="0"/>
                <w:numId w:val="58"/>
              </w:numPr>
              <w:jc w:val="center"/>
              <w:rPr>
                <w:szCs w:val="18"/>
              </w:rPr>
            </w:pPr>
          </w:p>
        </w:tc>
        <w:tc>
          <w:tcPr>
            <w:tcW w:w="2573" w:type="dxa"/>
            <w:tcBorders>
              <w:top w:val="nil"/>
              <w:left w:val="nil"/>
              <w:bottom w:val="single" w:sz="4" w:space="0" w:color="auto"/>
              <w:right w:val="single" w:sz="4" w:space="0" w:color="auto"/>
            </w:tcBorders>
            <w:noWrap/>
            <w:hideMark/>
          </w:tcPr>
          <w:p w14:paraId="2CDD7E84" w14:textId="77777777" w:rsidR="00B03672" w:rsidRPr="007647EB" w:rsidRDefault="00B03672" w:rsidP="008123FC">
            <w:pPr>
              <w:pStyle w:val="Normal-pool-Table"/>
              <w:rPr>
                <w:szCs w:val="18"/>
              </w:rPr>
            </w:pPr>
            <w:r w:rsidRPr="007647EB">
              <w:rPr>
                <w:color w:val="000000"/>
              </w:rPr>
              <w:t>Union européenne</w:t>
            </w:r>
          </w:p>
        </w:tc>
        <w:tc>
          <w:tcPr>
            <w:tcW w:w="1395" w:type="dxa"/>
            <w:tcBorders>
              <w:top w:val="nil"/>
              <w:left w:val="nil"/>
              <w:bottom w:val="single" w:sz="4" w:space="0" w:color="auto"/>
              <w:right w:val="single" w:sz="4" w:space="0" w:color="auto"/>
            </w:tcBorders>
            <w:noWrap/>
            <w:hideMark/>
          </w:tcPr>
          <w:p w14:paraId="484B5AD4" w14:textId="77777777" w:rsidR="00B03672" w:rsidRPr="007647EB" w:rsidRDefault="00B03672" w:rsidP="008123FC">
            <w:pPr>
              <w:pStyle w:val="Normal-pool-Table"/>
              <w:jc w:val="right"/>
              <w:rPr>
                <w:szCs w:val="18"/>
              </w:rPr>
            </w:pPr>
            <w:r w:rsidRPr="007647EB">
              <w:rPr>
                <w:color w:val="000000"/>
              </w:rPr>
              <w:t>2,5</w:t>
            </w:r>
          </w:p>
        </w:tc>
        <w:tc>
          <w:tcPr>
            <w:tcW w:w="1134" w:type="dxa"/>
            <w:tcBorders>
              <w:top w:val="nil"/>
              <w:left w:val="nil"/>
              <w:bottom w:val="single" w:sz="4" w:space="0" w:color="auto"/>
              <w:right w:val="single" w:sz="4" w:space="0" w:color="auto"/>
            </w:tcBorders>
            <w:noWrap/>
            <w:hideMark/>
          </w:tcPr>
          <w:p w14:paraId="0DE85ECB" w14:textId="77777777" w:rsidR="00B03672" w:rsidRPr="007647EB" w:rsidRDefault="00B03672" w:rsidP="008123FC">
            <w:pPr>
              <w:pStyle w:val="Normal-pool-Table"/>
              <w:jc w:val="right"/>
              <w:rPr>
                <w:szCs w:val="18"/>
              </w:rPr>
            </w:pPr>
            <w:r w:rsidRPr="007647EB">
              <w:rPr>
                <w:color w:val="000000"/>
              </w:rPr>
              <w:t>2,5000</w:t>
            </w:r>
          </w:p>
        </w:tc>
        <w:tc>
          <w:tcPr>
            <w:tcW w:w="1276" w:type="dxa"/>
            <w:tcBorders>
              <w:top w:val="nil"/>
              <w:left w:val="nil"/>
              <w:bottom w:val="single" w:sz="4" w:space="0" w:color="auto"/>
              <w:right w:val="single" w:sz="4" w:space="0" w:color="auto"/>
            </w:tcBorders>
            <w:noWrap/>
            <w:hideMark/>
          </w:tcPr>
          <w:p w14:paraId="26895B2D" w14:textId="77777777" w:rsidR="00B03672" w:rsidRPr="007647EB" w:rsidRDefault="00B03672" w:rsidP="008123FC">
            <w:pPr>
              <w:pStyle w:val="Normal-pool-Table"/>
              <w:jc w:val="right"/>
              <w:rPr>
                <w:szCs w:val="18"/>
              </w:rPr>
            </w:pPr>
            <w:r w:rsidRPr="007647EB">
              <w:rPr>
                <w:color w:val="000000"/>
              </w:rPr>
              <w:t>77 084</w:t>
            </w:r>
          </w:p>
        </w:tc>
        <w:tc>
          <w:tcPr>
            <w:tcW w:w="1276" w:type="dxa"/>
            <w:tcBorders>
              <w:top w:val="nil"/>
              <w:left w:val="nil"/>
              <w:bottom w:val="single" w:sz="4" w:space="0" w:color="auto"/>
              <w:right w:val="single" w:sz="4" w:space="0" w:color="auto"/>
            </w:tcBorders>
            <w:noWrap/>
            <w:hideMark/>
          </w:tcPr>
          <w:p w14:paraId="7E7BA77C" w14:textId="77777777" w:rsidR="00B03672" w:rsidRPr="007647EB" w:rsidRDefault="00B03672" w:rsidP="008123FC">
            <w:pPr>
              <w:pStyle w:val="Normal-pool-Table"/>
              <w:jc w:val="right"/>
              <w:rPr>
                <w:szCs w:val="18"/>
              </w:rPr>
            </w:pPr>
            <w:r w:rsidRPr="007647EB">
              <w:rPr>
                <w:color w:val="000000"/>
              </w:rPr>
              <w:t>101 732</w:t>
            </w:r>
          </w:p>
        </w:tc>
        <w:tc>
          <w:tcPr>
            <w:tcW w:w="1291" w:type="dxa"/>
            <w:tcBorders>
              <w:top w:val="nil"/>
              <w:left w:val="nil"/>
              <w:bottom w:val="single" w:sz="4" w:space="0" w:color="auto"/>
              <w:right w:val="single" w:sz="4" w:space="0" w:color="auto"/>
            </w:tcBorders>
            <w:noWrap/>
            <w:hideMark/>
          </w:tcPr>
          <w:p w14:paraId="68D52D97" w14:textId="77777777" w:rsidR="00B03672" w:rsidRPr="007647EB" w:rsidRDefault="00B03672" w:rsidP="008123FC">
            <w:pPr>
              <w:pStyle w:val="Normal-pool-Table"/>
              <w:jc w:val="right"/>
              <w:rPr>
                <w:szCs w:val="18"/>
              </w:rPr>
            </w:pPr>
            <w:r w:rsidRPr="007647EB">
              <w:rPr>
                <w:color w:val="000000"/>
              </w:rPr>
              <w:t>178 816</w:t>
            </w:r>
          </w:p>
        </w:tc>
      </w:tr>
      <w:tr w:rsidR="002B2CBE" w:rsidRPr="007647EB" w14:paraId="25F6640A" w14:textId="77777777" w:rsidTr="00330D4E">
        <w:trPr>
          <w:gridAfter w:val="1"/>
          <w:wAfter w:w="10" w:type="dxa"/>
          <w:trHeight w:val="300"/>
          <w:jc w:val="right"/>
        </w:trPr>
        <w:tc>
          <w:tcPr>
            <w:tcW w:w="705" w:type="dxa"/>
            <w:tcBorders>
              <w:top w:val="nil"/>
              <w:left w:val="single" w:sz="4" w:space="0" w:color="auto"/>
              <w:bottom w:val="single" w:sz="4" w:space="0" w:color="auto"/>
              <w:right w:val="single" w:sz="4" w:space="0" w:color="auto"/>
            </w:tcBorders>
            <w:noWrap/>
            <w:hideMark/>
          </w:tcPr>
          <w:p w14:paraId="4A120753" w14:textId="77777777" w:rsidR="002B2CBE" w:rsidRPr="007647EB" w:rsidRDefault="002B2CBE" w:rsidP="008123FC">
            <w:pPr>
              <w:pStyle w:val="Normal-pool-Table"/>
              <w:rPr>
                <w:szCs w:val="18"/>
              </w:rPr>
            </w:pPr>
            <w:r w:rsidRPr="007647EB">
              <w:rPr>
                <w:color w:val="000000"/>
                <w:szCs w:val="18"/>
              </w:rPr>
              <w:t> </w:t>
            </w:r>
          </w:p>
        </w:tc>
        <w:tc>
          <w:tcPr>
            <w:tcW w:w="2573" w:type="dxa"/>
            <w:tcBorders>
              <w:top w:val="nil"/>
              <w:left w:val="nil"/>
              <w:bottom w:val="single" w:sz="4" w:space="0" w:color="auto"/>
              <w:right w:val="single" w:sz="4" w:space="0" w:color="auto"/>
            </w:tcBorders>
            <w:shd w:val="clear" w:color="000000" w:fill="DBB731"/>
            <w:noWrap/>
            <w:hideMark/>
          </w:tcPr>
          <w:p w14:paraId="30AFD777" w14:textId="77777777" w:rsidR="002B2CBE" w:rsidRPr="007647EB" w:rsidRDefault="002B2CBE" w:rsidP="008123FC">
            <w:pPr>
              <w:pStyle w:val="Normal-pool-Table"/>
              <w:rPr>
                <w:b/>
                <w:bCs/>
                <w:szCs w:val="18"/>
              </w:rPr>
            </w:pPr>
            <w:r w:rsidRPr="007647EB">
              <w:rPr>
                <w:b/>
                <w:bCs/>
                <w:color w:val="000000"/>
              </w:rPr>
              <w:t>Total des contributions statutaires</w:t>
            </w:r>
          </w:p>
        </w:tc>
        <w:tc>
          <w:tcPr>
            <w:tcW w:w="1395" w:type="dxa"/>
            <w:tcBorders>
              <w:top w:val="nil"/>
              <w:left w:val="nil"/>
              <w:bottom w:val="single" w:sz="4" w:space="0" w:color="auto"/>
              <w:right w:val="single" w:sz="4" w:space="0" w:color="auto"/>
            </w:tcBorders>
            <w:shd w:val="clear" w:color="000000" w:fill="DBB731"/>
            <w:noWrap/>
            <w:vAlign w:val="bottom"/>
            <w:hideMark/>
          </w:tcPr>
          <w:p w14:paraId="64E9C1AD" w14:textId="77777777" w:rsidR="002B2CBE" w:rsidRPr="007647EB" w:rsidRDefault="002B2CBE" w:rsidP="008123FC">
            <w:pPr>
              <w:pStyle w:val="Normal-pool-Table"/>
              <w:rPr>
                <w:szCs w:val="18"/>
              </w:rPr>
            </w:pPr>
          </w:p>
        </w:tc>
        <w:tc>
          <w:tcPr>
            <w:tcW w:w="1134" w:type="dxa"/>
            <w:tcBorders>
              <w:top w:val="nil"/>
              <w:left w:val="nil"/>
              <w:bottom w:val="single" w:sz="4" w:space="0" w:color="auto"/>
              <w:right w:val="single" w:sz="4" w:space="0" w:color="auto"/>
            </w:tcBorders>
            <w:shd w:val="clear" w:color="000000" w:fill="DBB731"/>
            <w:noWrap/>
            <w:vAlign w:val="bottom"/>
            <w:hideMark/>
          </w:tcPr>
          <w:p w14:paraId="76B7F4B1" w14:textId="77777777" w:rsidR="002B2CBE" w:rsidRPr="007647EB" w:rsidRDefault="002B2CBE" w:rsidP="008123FC">
            <w:pPr>
              <w:pStyle w:val="Normal-pool-Table"/>
              <w:rPr>
                <w:b/>
                <w:bCs/>
                <w:szCs w:val="18"/>
              </w:rPr>
            </w:pPr>
            <w:r w:rsidRPr="007647EB">
              <w:rPr>
                <w:b/>
                <w:bCs/>
                <w:color w:val="000000"/>
              </w:rPr>
              <w:t>100</w:t>
            </w:r>
          </w:p>
        </w:tc>
        <w:tc>
          <w:tcPr>
            <w:tcW w:w="1276" w:type="dxa"/>
            <w:tcBorders>
              <w:top w:val="nil"/>
              <w:left w:val="nil"/>
              <w:bottom w:val="single" w:sz="4" w:space="0" w:color="auto"/>
              <w:right w:val="single" w:sz="4" w:space="0" w:color="auto"/>
            </w:tcBorders>
            <w:shd w:val="clear" w:color="000000" w:fill="DBB731"/>
            <w:noWrap/>
            <w:vAlign w:val="bottom"/>
            <w:hideMark/>
          </w:tcPr>
          <w:p w14:paraId="0A332B42" w14:textId="77777777" w:rsidR="002B2CBE" w:rsidRPr="007647EB" w:rsidRDefault="002B2CBE" w:rsidP="008123FC">
            <w:pPr>
              <w:pStyle w:val="Normal-pool-Table"/>
              <w:rPr>
                <w:b/>
                <w:bCs/>
                <w:szCs w:val="18"/>
              </w:rPr>
            </w:pPr>
            <w:r w:rsidRPr="007647EB">
              <w:rPr>
                <w:b/>
                <w:bCs/>
                <w:color w:val="000000"/>
              </w:rPr>
              <w:t>3 083 350</w:t>
            </w:r>
          </w:p>
        </w:tc>
        <w:tc>
          <w:tcPr>
            <w:tcW w:w="1276" w:type="dxa"/>
            <w:tcBorders>
              <w:top w:val="nil"/>
              <w:left w:val="nil"/>
              <w:bottom w:val="single" w:sz="4" w:space="0" w:color="auto"/>
              <w:right w:val="single" w:sz="4" w:space="0" w:color="auto"/>
            </w:tcBorders>
            <w:shd w:val="clear" w:color="000000" w:fill="DBB731"/>
            <w:noWrap/>
            <w:vAlign w:val="bottom"/>
            <w:hideMark/>
          </w:tcPr>
          <w:p w14:paraId="680F2751" w14:textId="77777777" w:rsidR="002B2CBE" w:rsidRPr="007647EB" w:rsidRDefault="002B2CBE" w:rsidP="008123FC">
            <w:pPr>
              <w:pStyle w:val="Normal-pool-Table"/>
              <w:rPr>
                <w:b/>
                <w:bCs/>
                <w:szCs w:val="18"/>
              </w:rPr>
            </w:pPr>
            <w:r w:rsidRPr="007647EB">
              <w:rPr>
                <w:b/>
                <w:bCs/>
                <w:color w:val="000000"/>
              </w:rPr>
              <w:t>4 069 275</w:t>
            </w:r>
          </w:p>
        </w:tc>
        <w:tc>
          <w:tcPr>
            <w:tcW w:w="1291" w:type="dxa"/>
            <w:tcBorders>
              <w:top w:val="nil"/>
              <w:left w:val="nil"/>
              <w:bottom w:val="single" w:sz="4" w:space="0" w:color="auto"/>
              <w:right w:val="single" w:sz="4" w:space="0" w:color="auto"/>
            </w:tcBorders>
            <w:shd w:val="clear" w:color="000000" w:fill="DBB731"/>
            <w:noWrap/>
            <w:vAlign w:val="bottom"/>
            <w:hideMark/>
          </w:tcPr>
          <w:p w14:paraId="28642BF0" w14:textId="77777777" w:rsidR="002B2CBE" w:rsidRPr="007647EB" w:rsidRDefault="002B2CBE" w:rsidP="008123FC">
            <w:pPr>
              <w:pStyle w:val="Normal-pool-Table"/>
              <w:rPr>
                <w:b/>
                <w:bCs/>
                <w:szCs w:val="18"/>
              </w:rPr>
            </w:pPr>
            <w:r w:rsidRPr="007647EB">
              <w:rPr>
                <w:b/>
                <w:bCs/>
                <w:color w:val="000000"/>
              </w:rPr>
              <w:t>7 152 625</w:t>
            </w:r>
          </w:p>
        </w:tc>
      </w:tr>
      <w:tr w:rsidR="002B2CBE" w:rsidRPr="007647EB" w14:paraId="1652C429" w14:textId="77777777" w:rsidTr="00330D4E">
        <w:trPr>
          <w:gridAfter w:val="1"/>
          <w:wAfter w:w="10" w:type="dxa"/>
          <w:trHeight w:val="300"/>
          <w:jc w:val="right"/>
        </w:trPr>
        <w:tc>
          <w:tcPr>
            <w:tcW w:w="705" w:type="dxa"/>
            <w:tcBorders>
              <w:top w:val="single" w:sz="4" w:space="0" w:color="auto"/>
              <w:left w:val="single" w:sz="4" w:space="0" w:color="auto"/>
              <w:bottom w:val="single" w:sz="12" w:space="0" w:color="auto"/>
              <w:right w:val="single" w:sz="4" w:space="0" w:color="auto"/>
            </w:tcBorders>
            <w:noWrap/>
            <w:hideMark/>
          </w:tcPr>
          <w:p w14:paraId="7868A2E7" w14:textId="77777777" w:rsidR="002B2CBE" w:rsidRPr="007647EB" w:rsidRDefault="002B2CBE" w:rsidP="008123FC">
            <w:pPr>
              <w:pStyle w:val="Normal-pool-Table"/>
              <w:rPr>
                <w:szCs w:val="18"/>
              </w:rPr>
            </w:pPr>
            <w:r w:rsidRPr="007647EB">
              <w:rPr>
                <w:color w:val="000000"/>
                <w:szCs w:val="18"/>
              </w:rPr>
              <w:lastRenderedPageBreak/>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613E7EDD" w14:textId="2E075651" w:rsidR="002B2CBE" w:rsidRPr="007647EB" w:rsidRDefault="002B2CBE" w:rsidP="008123FC">
            <w:pPr>
              <w:pStyle w:val="Normal-pool-Table"/>
              <w:rPr>
                <w:b/>
                <w:bCs/>
                <w:szCs w:val="18"/>
              </w:rPr>
            </w:pPr>
            <w:r w:rsidRPr="007647EB">
              <w:rPr>
                <w:b/>
                <w:bCs/>
                <w:color w:val="000000"/>
              </w:rPr>
              <w:t>Budget total approuvé (y</w:t>
            </w:r>
            <w:r w:rsidR="00330D4E" w:rsidRPr="007647EB">
              <w:rPr>
                <w:b/>
                <w:bCs/>
                <w:color w:val="000000"/>
              </w:rPr>
              <w:t> </w:t>
            </w:r>
            <w:r w:rsidRPr="007647EB">
              <w:rPr>
                <w:b/>
                <w:bCs/>
                <w:color w:val="000000"/>
              </w:rPr>
              <w:t>compris la contribution du</w:t>
            </w:r>
            <w:r w:rsidR="00330D4E" w:rsidRPr="007647EB">
              <w:rPr>
                <w:b/>
                <w:bCs/>
                <w:color w:val="000000"/>
              </w:rPr>
              <w:t> </w:t>
            </w:r>
            <w:r w:rsidRPr="007647EB">
              <w:rPr>
                <w:b/>
                <w:bCs/>
                <w:color w:val="000000"/>
              </w:rPr>
              <w:t>pays hôte*)</w:t>
            </w:r>
          </w:p>
        </w:tc>
        <w:tc>
          <w:tcPr>
            <w:tcW w:w="1395" w:type="dxa"/>
            <w:tcBorders>
              <w:top w:val="single" w:sz="4" w:space="0" w:color="auto"/>
              <w:left w:val="nil"/>
              <w:bottom w:val="single" w:sz="12" w:space="0" w:color="auto"/>
              <w:right w:val="single" w:sz="4" w:space="0" w:color="auto"/>
            </w:tcBorders>
            <w:shd w:val="clear" w:color="000000" w:fill="DBB731"/>
            <w:noWrap/>
            <w:vAlign w:val="bottom"/>
            <w:hideMark/>
          </w:tcPr>
          <w:p w14:paraId="3595C35F" w14:textId="77777777" w:rsidR="002B2CBE" w:rsidRPr="007647EB" w:rsidRDefault="002B2CBE" w:rsidP="008123FC">
            <w:pPr>
              <w:pStyle w:val="Normal-pool-Table"/>
              <w:rPr>
                <w:szCs w:val="18"/>
              </w:rPr>
            </w:pPr>
          </w:p>
        </w:tc>
        <w:tc>
          <w:tcPr>
            <w:tcW w:w="1134" w:type="dxa"/>
            <w:tcBorders>
              <w:top w:val="single" w:sz="4" w:space="0" w:color="auto"/>
              <w:left w:val="nil"/>
              <w:bottom w:val="single" w:sz="12" w:space="0" w:color="auto"/>
              <w:right w:val="single" w:sz="4" w:space="0" w:color="auto"/>
            </w:tcBorders>
            <w:shd w:val="clear" w:color="000000" w:fill="DBB731"/>
            <w:noWrap/>
            <w:vAlign w:val="bottom"/>
            <w:hideMark/>
          </w:tcPr>
          <w:p w14:paraId="4D74DA3E" w14:textId="77777777" w:rsidR="002B2CBE" w:rsidRPr="007647EB" w:rsidRDefault="002B2CBE" w:rsidP="008123FC">
            <w:pPr>
              <w:pStyle w:val="Normal-pool-Table"/>
              <w:rPr>
                <w:b/>
                <w:bCs/>
                <w:szCs w:val="18"/>
              </w:rPr>
            </w:pPr>
          </w:p>
        </w:tc>
        <w:tc>
          <w:tcPr>
            <w:tcW w:w="1276" w:type="dxa"/>
            <w:tcBorders>
              <w:top w:val="single" w:sz="4" w:space="0" w:color="auto"/>
              <w:left w:val="nil"/>
              <w:bottom w:val="single" w:sz="12" w:space="0" w:color="auto"/>
              <w:right w:val="single" w:sz="4" w:space="0" w:color="auto"/>
            </w:tcBorders>
            <w:shd w:val="clear" w:color="000000" w:fill="DBB731"/>
            <w:noWrap/>
            <w:vAlign w:val="bottom"/>
            <w:hideMark/>
          </w:tcPr>
          <w:p w14:paraId="16E56859" w14:textId="77777777" w:rsidR="002B2CBE" w:rsidRPr="007647EB" w:rsidRDefault="002B2CBE" w:rsidP="008123FC">
            <w:pPr>
              <w:pStyle w:val="Normal-pool-Table"/>
              <w:rPr>
                <w:b/>
                <w:bCs/>
                <w:szCs w:val="18"/>
              </w:rPr>
            </w:pPr>
            <w:r w:rsidRPr="007647EB">
              <w:rPr>
                <w:b/>
                <w:bCs/>
                <w:color w:val="000000"/>
              </w:rPr>
              <w:t>3 727 934</w:t>
            </w:r>
          </w:p>
        </w:tc>
        <w:tc>
          <w:tcPr>
            <w:tcW w:w="1276" w:type="dxa"/>
            <w:tcBorders>
              <w:top w:val="single" w:sz="4" w:space="0" w:color="auto"/>
              <w:left w:val="nil"/>
              <w:bottom w:val="single" w:sz="12" w:space="0" w:color="auto"/>
              <w:right w:val="single" w:sz="4" w:space="0" w:color="auto"/>
            </w:tcBorders>
            <w:shd w:val="clear" w:color="000000" w:fill="DBB731"/>
            <w:noWrap/>
            <w:vAlign w:val="bottom"/>
            <w:hideMark/>
          </w:tcPr>
          <w:p w14:paraId="79E0E06A" w14:textId="77777777" w:rsidR="002B2CBE" w:rsidRPr="007647EB" w:rsidRDefault="002B2CBE" w:rsidP="008123FC">
            <w:pPr>
              <w:pStyle w:val="Normal-pool-Table"/>
              <w:rPr>
                <w:b/>
                <w:bCs/>
                <w:szCs w:val="18"/>
              </w:rPr>
            </w:pPr>
            <w:r w:rsidRPr="007647EB">
              <w:rPr>
                <w:b/>
                <w:bCs/>
                <w:color w:val="000000"/>
              </w:rPr>
              <w:t>4 703 619</w:t>
            </w:r>
          </w:p>
        </w:tc>
        <w:tc>
          <w:tcPr>
            <w:tcW w:w="1291" w:type="dxa"/>
            <w:tcBorders>
              <w:top w:val="single" w:sz="4" w:space="0" w:color="auto"/>
              <w:left w:val="nil"/>
              <w:bottom w:val="single" w:sz="12" w:space="0" w:color="auto"/>
              <w:right w:val="single" w:sz="4" w:space="0" w:color="auto"/>
            </w:tcBorders>
            <w:shd w:val="clear" w:color="000000" w:fill="DBB731"/>
            <w:noWrap/>
            <w:vAlign w:val="bottom"/>
            <w:hideMark/>
          </w:tcPr>
          <w:p w14:paraId="430E4AA7" w14:textId="77777777" w:rsidR="002B2CBE" w:rsidRPr="007647EB" w:rsidRDefault="002B2CBE" w:rsidP="008123FC">
            <w:pPr>
              <w:pStyle w:val="Normal-pool-Table"/>
              <w:rPr>
                <w:b/>
                <w:bCs/>
                <w:szCs w:val="18"/>
              </w:rPr>
            </w:pPr>
            <w:r w:rsidRPr="007647EB">
              <w:rPr>
                <w:b/>
                <w:bCs/>
                <w:color w:val="000000"/>
              </w:rPr>
              <w:t>8 431 553</w:t>
            </w:r>
          </w:p>
        </w:tc>
      </w:tr>
    </w:tbl>
    <w:p w14:paraId="003C040F" w14:textId="7D350171" w:rsidR="002B2CBE" w:rsidRPr="007647EB" w:rsidRDefault="002B2CBE" w:rsidP="002B2CBE">
      <w:pPr>
        <w:spacing w:before="40"/>
        <w:ind w:left="1247"/>
        <w:rPr>
          <w:rFonts w:asciiTheme="majorBidi" w:hAnsiTheme="majorBidi" w:cstheme="majorBidi"/>
          <w:sz w:val="17"/>
          <w:szCs w:val="17"/>
        </w:rPr>
      </w:pPr>
      <w:r w:rsidRPr="007647EB">
        <w:tab/>
        <w:t>*Comprend la contribution estimative du pays hôte (Suisse) au fonds d</w:t>
      </w:r>
      <w:r w:rsidR="00D82E47" w:rsidRPr="007647EB">
        <w:t>’</w:t>
      </w:r>
      <w:r w:rsidRPr="007647EB">
        <w:t>affectation spéciale général, en dollars des États-Unis.</w:t>
      </w:r>
    </w:p>
    <w:p w14:paraId="04D4EE36" w14:textId="77777777" w:rsidR="00234691" w:rsidRPr="007647EB" w:rsidRDefault="00234691">
      <w:pPr>
        <w:tabs>
          <w:tab w:val="clear" w:pos="1247"/>
          <w:tab w:val="clear" w:pos="1814"/>
          <w:tab w:val="clear" w:pos="2381"/>
          <w:tab w:val="clear" w:pos="2948"/>
          <w:tab w:val="clear" w:pos="3515"/>
        </w:tabs>
        <w:rPr>
          <w:rFonts w:asciiTheme="majorBidi" w:eastAsia="SimSun" w:hAnsiTheme="majorBidi" w:cstheme="majorBidi"/>
          <w:lang w:eastAsia="zh-CN"/>
        </w:rPr>
      </w:pPr>
      <w:r w:rsidRPr="007647EB">
        <w:rPr>
          <w:rFonts w:asciiTheme="majorBidi" w:hAnsiTheme="majorBidi" w:cstheme="majorBidi"/>
          <w:b/>
          <w:bCs/>
        </w:rPr>
        <w:br w:type="page"/>
      </w:r>
    </w:p>
    <w:p w14:paraId="4D60D194" w14:textId="2E4294C3" w:rsidR="001B3B0E" w:rsidRPr="007647EB" w:rsidRDefault="00312042" w:rsidP="00555C02">
      <w:pPr>
        <w:pStyle w:val="Titletable"/>
        <w:rPr>
          <w:rFonts w:asciiTheme="majorBidi" w:hAnsiTheme="majorBidi" w:cstheme="majorBidi"/>
          <w:b w:val="0"/>
          <w:bCs w:val="0"/>
        </w:rPr>
      </w:pPr>
      <w:r w:rsidRPr="007647EB">
        <w:rPr>
          <w:rFonts w:asciiTheme="majorBidi" w:hAnsiTheme="majorBidi" w:cstheme="majorBidi"/>
          <w:b w:val="0"/>
          <w:bCs w:val="0"/>
        </w:rPr>
        <w:lastRenderedPageBreak/>
        <w:t>Table</w:t>
      </w:r>
      <w:r w:rsidR="001B3B0E" w:rsidRPr="007647EB">
        <w:rPr>
          <w:rFonts w:asciiTheme="majorBidi" w:hAnsiTheme="majorBidi" w:cstheme="majorBidi"/>
          <w:b w:val="0"/>
          <w:bCs w:val="0"/>
        </w:rPr>
        <w:t>au</w:t>
      </w:r>
      <w:r w:rsidRPr="007647EB">
        <w:rPr>
          <w:rFonts w:asciiTheme="majorBidi" w:hAnsiTheme="majorBidi" w:cstheme="majorBidi"/>
          <w:b w:val="0"/>
          <w:bCs w:val="0"/>
        </w:rPr>
        <w:t xml:space="preserve"> 3</w:t>
      </w:r>
      <w:r w:rsidRPr="007647EB">
        <w:rPr>
          <w:rFonts w:asciiTheme="majorBidi" w:hAnsiTheme="majorBidi" w:cstheme="majorBidi"/>
          <w:b w:val="0"/>
          <w:bCs w:val="0"/>
        </w:rPr>
        <w:br/>
      </w:r>
      <w:r w:rsidR="001B3B0E" w:rsidRPr="007647EB">
        <w:t>Tableau indicatif des effectifs du secrétariat pour l</w:t>
      </w:r>
      <w:r w:rsidR="00D82E47" w:rsidRPr="007647EB">
        <w:t>’</w:t>
      </w:r>
      <w:r w:rsidR="001B3B0E" w:rsidRPr="007647EB">
        <w:t xml:space="preserve">exercice biennal </w:t>
      </w:r>
      <w:r w:rsidRPr="007647EB">
        <w:rPr>
          <w:rFonts w:asciiTheme="majorBidi" w:hAnsiTheme="majorBidi" w:cstheme="majorBidi"/>
        </w:rPr>
        <w:t>2026</w:t>
      </w:r>
      <w:r w:rsidR="00555C02" w:rsidRPr="007647EB">
        <w:rPr>
          <w:rFonts w:asciiTheme="majorBidi" w:hAnsiTheme="majorBidi" w:cstheme="majorBidi"/>
        </w:rPr>
        <w:t>-</w:t>
      </w:r>
      <w:r w:rsidRPr="007647EB">
        <w:rPr>
          <w:rFonts w:asciiTheme="majorBidi" w:hAnsiTheme="majorBidi" w:cstheme="majorBidi"/>
        </w:rPr>
        <w:t>2027</w:t>
      </w:r>
    </w:p>
    <w:tbl>
      <w:tblPr>
        <w:tblW w:w="8307" w:type="dxa"/>
        <w:jc w:val="right"/>
        <w:tblLayout w:type="fixed"/>
        <w:tblLook w:val="04A0" w:firstRow="1" w:lastRow="0" w:firstColumn="1" w:lastColumn="0" w:noHBand="0" w:noVBand="1"/>
      </w:tblPr>
      <w:tblGrid>
        <w:gridCol w:w="2182"/>
        <w:gridCol w:w="1426"/>
        <w:gridCol w:w="1426"/>
        <w:gridCol w:w="1842"/>
        <w:gridCol w:w="1431"/>
      </w:tblGrid>
      <w:tr w:rsidR="001B3B0E" w:rsidRPr="007647EB" w14:paraId="55975D55" w14:textId="77777777" w:rsidTr="002801FA">
        <w:trPr>
          <w:trHeight w:val="316"/>
          <w:jc w:val="right"/>
        </w:trPr>
        <w:tc>
          <w:tcPr>
            <w:tcW w:w="2182" w:type="dxa"/>
            <w:tcBorders>
              <w:top w:val="single" w:sz="4" w:space="0" w:color="auto"/>
              <w:left w:val="nil"/>
              <w:bottom w:val="single" w:sz="12" w:space="0" w:color="auto"/>
              <w:right w:val="nil"/>
            </w:tcBorders>
            <w:noWrap/>
            <w:vAlign w:val="bottom"/>
            <w:hideMark/>
          </w:tcPr>
          <w:p w14:paraId="4A44DC8A" w14:textId="7E727D4D" w:rsidR="001B3B0E" w:rsidRPr="007647EB" w:rsidRDefault="001B3B0E" w:rsidP="002801FA">
            <w:pPr>
              <w:jc w:val="center"/>
              <w:rPr>
                <w:rFonts w:asciiTheme="majorBidi" w:hAnsiTheme="majorBidi" w:cstheme="majorBidi"/>
                <w:i/>
                <w:iCs/>
              </w:rPr>
            </w:pPr>
            <w:r w:rsidRPr="007647EB">
              <w:rPr>
                <w:i/>
                <w:iCs/>
                <w:color w:val="000000"/>
              </w:rPr>
              <w:t>Catégorie et classe de</w:t>
            </w:r>
            <w:r w:rsidR="00D94F4F" w:rsidRPr="007647EB">
              <w:rPr>
                <w:i/>
                <w:iCs/>
                <w:color w:val="000000"/>
              </w:rPr>
              <w:t> </w:t>
            </w:r>
            <w:r w:rsidRPr="007647EB">
              <w:rPr>
                <w:i/>
                <w:iCs/>
                <w:color w:val="000000"/>
              </w:rPr>
              <w:t>personnel</w:t>
            </w:r>
          </w:p>
        </w:tc>
        <w:tc>
          <w:tcPr>
            <w:tcW w:w="1426" w:type="dxa"/>
            <w:tcBorders>
              <w:top w:val="single" w:sz="4" w:space="0" w:color="auto"/>
              <w:left w:val="nil"/>
              <w:bottom w:val="single" w:sz="12" w:space="0" w:color="auto"/>
              <w:right w:val="nil"/>
            </w:tcBorders>
            <w:vAlign w:val="bottom"/>
            <w:hideMark/>
          </w:tcPr>
          <w:p w14:paraId="4ECD7F36" w14:textId="75EA6C5A" w:rsidR="001B3B0E" w:rsidRPr="007647EB" w:rsidRDefault="001B3B0E" w:rsidP="002801FA">
            <w:pPr>
              <w:jc w:val="right"/>
              <w:rPr>
                <w:rFonts w:asciiTheme="majorBidi" w:hAnsiTheme="majorBidi" w:cstheme="majorBidi"/>
                <w:i/>
                <w:iCs/>
              </w:rPr>
            </w:pPr>
            <w:r w:rsidRPr="007647EB">
              <w:rPr>
                <w:i/>
                <w:iCs/>
                <w:color w:val="000000"/>
              </w:rPr>
              <w:t>Fonds d</w:t>
            </w:r>
            <w:r w:rsidR="00D82E47" w:rsidRPr="007647EB">
              <w:rPr>
                <w:i/>
                <w:iCs/>
                <w:color w:val="000000"/>
              </w:rPr>
              <w:t>’</w:t>
            </w:r>
            <w:r w:rsidRPr="007647EB">
              <w:rPr>
                <w:i/>
                <w:iCs/>
                <w:color w:val="000000"/>
              </w:rPr>
              <w:t>affectation spéciale général</w:t>
            </w:r>
          </w:p>
        </w:tc>
        <w:tc>
          <w:tcPr>
            <w:tcW w:w="1426" w:type="dxa"/>
            <w:tcBorders>
              <w:top w:val="single" w:sz="4" w:space="0" w:color="auto"/>
              <w:left w:val="nil"/>
              <w:bottom w:val="single" w:sz="12" w:space="0" w:color="auto"/>
              <w:right w:val="nil"/>
            </w:tcBorders>
            <w:vAlign w:val="bottom"/>
            <w:hideMark/>
          </w:tcPr>
          <w:p w14:paraId="3C9615BB" w14:textId="1CD8E31D" w:rsidR="001B3B0E" w:rsidRPr="007647EB" w:rsidRDefault="001B3B0E" w:rsidP="002801FA">
            <w:pPr>
              <w:jc w:val="right"/>
              <w:rPr>
                <w:rFonts w:asciiTheme="majorBidi" w:hAnsiTheme="majorBidi" w:cstheme="majorBidi"/>
                <w:i/>
                <w:iCs/>
              </w:rPr>
            </w:pPr>
            <w:r w:rsidRPr="007647EB">
              <w:rPr>
                <w:i/>
                <w:iCs/>
                <w:color w:val="000000"/>
              </w:rPr>
              <w:t>Fonds d</w:t>
            </w:r>
            <w:r w:rsidR="00D82E47" w:rsidRPr="007647EB">
              <w:rPr>
                <w:i/>
                <w:iCs/>
                <w:color w:val="000000"/>
              </w:rPr>
              <w:t>’</w:t>
            </w:r>
            <w:r w:rsidRPr="007647EB">
              <w:rPr>
                <w:i/>
                <w:iCs/>
                <w:color w:val="000000"/>
              </w:rPr>
              <w:t>affectation spéciale à des fins déterminées</w:t>
            </w:r>
          </w:p>
        </w:tc>
        <w:tc>
          <w:tcPr>
            <w:tcW w:w="1842" w:type="dxa"/>
            <w:tcBorders>
              <w:top w:val="single" w:sz="4" w:space="0" w:color="auto"/>
              <w:left w:val="nil"/>
              <w:bottom w:val="single" w:sz="12" w:space="0" w:color="auto"/>
              <w:right w:val="nil"/>
            </w:tcBorders>
            <w:vAlign w:val="bottom"/>
            <w:hideMark/>
          </w:tcPr>
          <w:p w14:paraId="64CC7BFA" w14:textId="1EC78F26" w:rsidR="001B3B0E" w:rsidRPr="007647EB" w:rsidRDefault="001B3B0E" w:rsidP="002801FA">
            <w:pPr>
              <w:jc w:val="right"/>
              <w:rPr>
                <w:rFonts w:asciiTheme="majorBidi" w:hAnsiTheme="majorBidi" w:cstheme="majorBidi"/>
                <w:i/>
                <w:iCs/>
              </w:rPr>
            </w:pPr>
            <w:r w:rsidRPr="007647EB">
              <w:rPr>
                <w:i/>
                <w:iCs/>
                <w:color w:val="000000"/>
              </w:rPr>
              <w:t>Dépenses d</w:t>
            </w:r>
            <w:r w:rsidR="00D82E47" w:rsidRPr="007647EB">
              <w:rPr>
                <w:i/>
                <w:iCs/>
                <w:color w:val="000000"/>
              </w:rPr>
              <w:t>’</w:t>
            </w:r>
            <w:r w:rsidRPr="007647EB">
              <w:rPr>
                <w:i/>
                <w:iCs/>
                <w:color w:val="000000"/>
              </w:rPr>
              <w:t>appui aux programmes du PNUE</w:t>
            </w:r>
          </w:p>
        </w:tc>
        <w:tc>
          <w:tcPr>
            <w:tcW w:w="1431" w:type="dxa"/>
            <w:tcBorders>
              <w:top w:val="single" w:sz="4" w:space="0" w:color="auto"/>
              <w:left w:val="nil"/>
              <w:bottom w:val="single" w:sz="12" w:space="0" w:color="auto"/>
              <w:right w:val="nil"/>
            </w:tcBorders>
            <w:noWrap/>
            <w:vAlign w:val="bottom"/>
            <w:hideMark/>
          </w:tcPr>
          <w:p w14:paraId="13BD05E2" w14:textId="77777777" w:rsidR="001B3B0E" w:rsidRPr="007647EB" w:rsidRDefault="001B3B0E" w:rsidP="002801FA">
            <w:pPr>
              <w:jc w:val="right"/>
              <w:rPr>
                <w:rFonts w:asciiTheme="majorBidi" w:hAnsiTheme="majorBidi" w:cstheme="majorBidi"/>
                <w:i/>
                <w:iCs/>
              </w:rPr>
            </w:pPr>
            <w:r w:rsidRPr="007647EB">
              <w:rPr>
                <w:i/>
                <w:iCs/>
                <w:color w:val="000000"/>
              </w:rPr>
              <w:t>Total</w:t>
            </w:r>
          </w:p>
        </w:tc>
      </w:tr>
      <w:tr w:rsidR="001B3B0E" w:rsidRPr="007647EB" w14:paraId="16A342BC" w14:textId="77777777" w:rsidTr="002801FA">
        <w:trPr>
          <w:trHeight w:val="313"/>
          <w:jc w:val="right"/>
        </w:trPr>
        <w:tc>
          <w:tcPr>
            <w:tcW w:w="8307" w:type="dxa"/>
            <w:gridSpan w:val="5"/>
            <w:tcBorders>
              <w:top w:val="single" w:sz="12" w:space="0" w:color="auto"/>
              <w:left w:val="nil"/>
              <w:bottom w:val="nil"/>
              <w:right w:val="nil"/>
            </w:tcBorders>
            <w:noWrap/>
            <w:vAlign w:val="center"/>
            <w:hideMark/>
          </w:tcPr>
          <w:p w14:paraId="2AE4627E" w14:textId="77777777" w:rsidR="001B3B0E" w:rsidRPr="007647EB" w:rsidRDefault="001B3B0E" w:rsidP="002801FA">
            <w:pPr>
              <w:rPr>
                <w:rFonts w:asciiTheme="majorBidi" w:hAnsiTheme="majorBidi" w:cstheme="majorBidi"/>
                <w:b/>
                <w:bCs/>
              </w:rPr>
            </w:pPr>
            <w:r w:rsidRPr="007647EB">
              <w:rPr>
                <w:b/>
                <w:bCs/>
                <w:color w:val="000000"/>
              </w:rPr>
              <w:t>A.</w:t>
            </w:r>
            <w:r w:rsidRPr="007647EB">
              <w:rPr>
                <w:color w:val="000000"/>
              </w:rPr>
              <w:t xml:space="preserve"> </w:t>
            </w:r>
            <w:r w:rsidRPr="007647EB">
              <w:rPr>
                <w:b/>
                <w:bCs/>
                <w:color w:val="000000"/>
              </w:rPr>
              <w:t>Catégorie des administrateur(rice)s</w:t>
            </w:r>
          </w:p>
        </w:tc>
      </w:tr>
      <w:tr w:rsidR="001B3B0E" w:rsidRPr="007647EB" w14:paraId="0579CDA9" w14:textId="77777777" w:rsidTr="002801FA">
        <w:trPr>
          <w:trHeight w:val="298"/>
          <w:jc w:val="right"/>
        </w:trPr>
        <w:tc>
          <w:tcPr>
            <w:tcW w:w="2182" w:type="dxa"/>
            <w:tcBorders>
              <w:top w:val="nil"/>
              <w:left w:val="nil"/>
              <w:bottom w:val="nil"/>
              <w:right w:val="nil"/>
            </w:tcBorders>
            <w:noWrap/>
            <w:vAlign w:val="center"/>
            <w:hideMark/>
          </w:tcPr>
          <w:p w14:paraId="1043DA4D"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D-1</w:t>
            </w:r>
          </w:p>
        </w:tc>
        <w:tc>
          <w:tcPr>
            <w:tcW w:w="1426" w:type="dxa"/>
            <w:tcBorders>
              <w:top w:val="nil"/>
              <w:left w:val="nil"/>
              <w:bottom w:val="nil"/>
              <w:right w:val="nil"/>
            </w:tcBorders>
            <w:noWrap/>
            <w:vAlign w:val="center"/>
            <w:hideMark/>
          </w:tcPr>
          <w:p w14:paraId="161A71B3" w14:textId="77777777" w:rsidR="001B3B0E" w:rsidRPr="007647EB" w:rsidRDefault="001B3B0E" w:rsidP="002801FA">
            <w:pPr>
              <w:jc w:val="right"/>
              <w:rPr>
                <w:rFonts w:asciiTheme="majorBidi" w:hAnsiTheme="majorBidi" w:cstheme="majorBidi"/>
              </w:rPr>
            </w:pPr>
            <w:r w:rsidRPr="007647EB">
              <w:rPr>
                <w:color w:val="000000"/>
              </w:rPr>
              <w:t>1</w:t>
            </w:r>
          </w:p>
        </w:tc>
        <w:tc>
          <w:tcPr>
            <w:tcW w:w="1426" w:type="dxa"/>
            <w:tcBorders>
              <w:top w:val="nil"/>
              <w:left w:val="nil"/>
              <w:bottom w:val="nil"/>
              <w:right w:val="nil"/>
            </w:tcBorders>
            <w:noWrap/>
            <w:vAlign w:val="center"/>
            <w:hideMark/>
          </w:tcPr>
          <w:p w14:paraId="0F889C93" w14:textId="77777777" w:rsidR="001B3B0E" w:rsidRPr="007647EB" w:rsidRDefault="001B3B0E" w:rsidP="002801FA">
            <w:pPr>
              <w:jc w:val="right"/>
              <w:rPr>
                <w:rFonts w:asciiTheme="majorBidi" w:hAnsiTheme="majorBidi" w:cstheme="majorBidi"/>
              </w:rPr>
            </w:pPr>
          </w:p>
        </w:tc>
        <w:tc>
          <w:tcPr>
            <w:tcW w:w="1842" w:type="dxa"/>
            <w:tcBorders>
              <w:top w:val="nil"/>
              <w:left w:val="nil"/>
              <w:bottom w:val="nil"/>
              <w:right w:val="nil"/>
            </w:tcBorders>
            <w:noWrap/>
            <w:vAlign w:val="center"/>
            <w:hideMark/>
          </w:tcPr>
          <w:p w14:paraId="06EB5DE4" w14:textId="77777777" w:rsidR="001B3B0E" w:rsidRPr="007647EB" w:rsidRDefault="001B3B0E" w:rsidP="002801FA">
            <w:pPr>
              <w:rPr>
                <w:rFonts w:asciiTheme="majorBidi" w:hAnsiTheme="majorBidi" w:cstheme="majorBidi"/>
              </w:rPr>
            </w:pPr>
          </w:p>
        </w:tc>
        <w:tc>
          <w:tcPr>
            <w:tcW w:w="1431" w:type="dxa"/>
            <w:tcBorders>
              <w:top w:val="nil"/>
              <w:left w:val="nil"/>
              <w:bottom w:val="nil"/>
              <w:right w:val="nil"/>
            </w:tcBorders>
            <w:noWrap/>
            <w:vAlign w:val="center"/>
            <w:hideMark/>
          </w:tcPr>
          <w:p w14:paraId="0E7DA6EF" w14:textId="77777777" w:rsidR="001B3B0E" w:rsidRPr="007647EB" w:rsidRDefault="001B3B0E" w:rsidP="002801FA">
            <w:pPr>
              <w:jc w:val="right"/>
              <w:rPr>
                <w:rFonts w:asciiTheme="majorBidi" w:hAnsiTheme="majorBidi" w:cstheme="majorBidi"/>
              </w:rPr>
            </w:pPr>
            <w:r w:rsidRPr="007647EB">
              <w:rPr>
                <w:color w:val="000000"/>
              </w:rPr>
              <w:t>1</w:t>
            </w:r>
          </w:p>
        </w:tc>
      </w:tr>
      <w:tr w:rsidR="001B3B0E" w:rsidRPr="007647EB" w14:paraId="7E91982F" w14:textId="77777777" w:rsidTr="002801FA">
        <w:trPr>
          <w:trHeight w:val="298"/>
          <w:jc w:val="right"/>
        </w:trPr>
        <w:tc>
          <w:tcPr>
            <w:tcW w:w="2182" w:type="dxa"/>
            <w:tcBorders>
              <w:top w:val="nil"/>
              <w:left w:val="nil"/>
              <w:bottom w:val="nil"/>
              <w:right w:val="nil"/>
            </w:tcBorders>
            <w:noWrap/>
            <w:vAlign w:val="center"/>
            <w:hideMark/>
          </w:tcPr>
          <w:p w14:paraId="2CD36DAA"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P-5</w:t>
            </w:r>
          </w:p>
        </w:tc>
        <w:tc>
          <w:tcPr>
            <w:tcW w:w="1426" w:type="dxa"/>
            <w:tcBorders>
              <w:top w:val="nil"/>
              <w:left w:val="nil"/>
              <w:bottom w:val="nil"/>
              <w:right w:val="nil"/>
            </w:tcBorders>
            <w:noWrap/>
            <w:vAlign w:val="center"/>
            <w:hideMark/>
          </w:tcPr>
          <w:p w14:paraId="4622DF1C" w14:textId="77777777" w:rsidR="001B3B0E" w:rsidRPr="007647EB" w:rsidRDefault="001B3B0E" w:rsidP="002801FA">
            <w:pPr>
              <w:jc w:val="right"/>
              <w:rPr>
                <w:rFonts w:asciiTheme="majorBidi" w:hAnsiTheme="majorBidi" w:cstheme="majorBidi"/>
              </w:rPr>
            </w:pPr>
            <w:r w:rsidRPr="007647EB">
              <w:rPr>
                <w:color w:val="000000"/>
              </w:rPr>
              <w:t>1</w:t>
            </w:r>
          </w:p>
        </w:tc>
        <w:tc>
          <w:tcPr>
            <w:tcW w:w="1426" w:type="dxa"/>
            <w:tcBorders>
              <w:top w:val="nil"/>
              <w:left w:val="nil"/>
              <w:bottom w:val="nil"/>
              <w:right w:val="nil"/>
            </w:tcBorders>
            <w:noWrap/>
            <w:vAlign w:val="center"/>
            <w:hideMark/>
          </w:tcPr>
          <w:p w14:paraId="42D61288" w14:textId="77777777" w:rsidR="001B3B0E" w:rsidRPr="007647EB" w:rsidRDefault="001B3B0E" w:rsidP="002801FA">
            <w:pPr>
              <w:jc w:val="right"/>
              <w:rPr>
                <w:rFonts w:asciiTheme="majorBidi" w:hAnsiTheme="majorBidi" w:cstheme="majorBidi"/>
              </w:rPr>
            </w:pPr>
            <w:r w:rsidRPr="007647EB">
              <w:rPr>
                <w:color w:val="000000"/>
              </w:rPr>
              <w:t>1</w:t>
            </w:r>
          </w:p>
        </w:tc>
        <w:tc>
          <w:tcPr>
            <w:tcW w:w="1842" w:type="dxa"/>
            <w:tcBorders>
              <w:top w:val="nil"/>
              <w:left w:val="nil"/>
              <w:bottom w:val="nil"/>
              <w:right w:val="nil"/>
            </w:tcBorders>
            <w:noWrap/>
            <w:vAlign w:val="center"/>
            <w:hideMark/>
          </w:tcPr>
          <w:p w14:paraId="2991D1AF" w14:textId="77777777" w:rsidR="001B3B0E" w:rsidRPr="007647EB" w:rsidRDefault="001B3B0E" w:rsidP="002801FA">
            <w:pPr>
              <w:jc w:val="right"/>
              <w:rPr>
                <w:rFonts w:asciiTheme="majorBidi" w:hAnsiTheme="majorBidi" w:cstheme="majorBidi"/>
              </w:rPr>
            </w:pPr>
          </w:p>
        </w:tc>
        <w:tc>
          <w:tcPr>
            <w:tcW w:w="1431" w:type="dxa"/>
            <w:tcBorders>
              <w:top w:val="nil"/>
              <w:left w:val="nil"/>
              <w:bottom w:val="nil"/>
              <w:right w:val="nil"/>
            </w:tcBorders>
            <w:noWrap/>
            <w:vAlign w:val="center"/>
            <w:hideMark/>
          </w:tcPr>
          <w:p w14:paraId="5A25FE17" w14:textId="77777777" w:rsidR="001B3B0E" w:rsidRPr="007647EB" w:rsidRDefault="001B3B0E" w:rsidP="002801FA">
            <w:pPr>
              <w:jc w:val="right"/>
              <w:rPr>
                <w:rFonts w:asciiTheme="majorBidi" w:hAnsiTheme="majorBidi" w:cstheme="majorBidi"/>
              </w:rPr>
            </w:pPr>
            <w:r w:rsidRPr="007647EB">
              <w:rPr>
                <w:color w:val="000000"/>
              </w:rPr>
              <w:t>2</w:t>
            </w:r>
          </w:p>
        </w:tc>
      </w:tr>
      <w:tr w:rsidR="001B3B0E" w:rsidRPr="007647EB" w14:paraId="1148FB7D" w14:textId="77777777" w:rsidTr="002801FA">
        <w:trPr>
          <w:trHeight w:val="298"/>
          <w:jc w:val="right"/>
        </w:trPr>
        <w:tc>
          <w:tcPr>
            <w:tcW w:w="2182" w:type="dxa"/>
            <w:tcBorders>
              <w:top w:val="nil"/>
              <w:left w:val="nil"/>
              <w:bottom w:val="nil"/>
              <w:right w:val="nil"/>
            </w:tcBorders>
            <w:noWrap/>
            <w:vAlign w:val="center"/>
            <w:hideMark/>
          </w:tcPr>
          <w:p w14:paraId="32884F7E"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P-4</w:t>
            </w:r>
          </w:p>
        </w:tc>
        <w:tc>
          <w:tcPr>
            <w:tcW w:w="1426" w:type="dxa"/>
            <w:tcBorders>
              <w:top w:val="nil"/>
              <w:left w:val="nil"/>
              <w:bottom w:val="nil"/>
              <w:right w:val="nil"/>
            </w:tcBorders>
            <w:noWrap/>
            <w:vAlign w:val="center"/>
            <w:hideMark/>
          </w:tcPr>
          <w:p w14:paraId="325E5763" w14:textId="77777777" w:rsidR="001B3B0E" w:rsidRPr="007647EB" w:rsidRDefault="001B3B0E" w:rsidP="002801FA">
            <w:pPr>
              <w:jc w:val="right"/>
              <w:rPr>
                <w:rFonts w:asciiTheme="majorBidi" w:hAnsiTheme="majorBidi" w:cstheme="majorBidi"/>
              </w:rPr>
            </w:pPr>
            <w:r w:rsidRPr="007647EB">
              <w:rPr>
                <w:color w:val="000000"/>
              </w:rPr>
              <w:t>3</w:t>
            </w:r>
          </w:p>
        </w:tc>
        <w:tc>
          <w:tcPr>
            <w:tcW w:w="1426" w:type="dxa"/>
            <w:tcBorders>
              <w:top w:val="nil"/>
              <w:left w:val="nil"/>
              <w:bottom w:val="nil"/>
              <w:right w:val="nil"/>
            </w:tcBorders>
            <w:noWrap/>
            <w:vAlign w:val="center"/>
            <w:hideMark/>
          </w:tcPr>
          <w:p w14:paraId="684B36CC" w14:textId="77777777" w:rsidR="001B3B0E" w:rsidRPr="007647EB" w:rsidRDefault="001B3B0E" w:rsidP="002801FA">
            <w:pPr>
              <w:jc w:val="right"/>
              <w:rPr>
                <w:rFonts w:asciiTheme="majorBidi" w:hAnsiTheme="majorBidi" w:cstheme="majorBidi"/>
              </w:rPr>
            </w:pPr>
          </w:p>
        </w:tc>
        <w:tc>
          <w:tcPr>
            <w:tcW w:w="1842" w:type="dxa"/>
            <w:tcBorders>
              <w:top w:val="nil"/>
              <w:left w:val="nil"/>
              <w:bottom w:val="nil"/>
              <w:right w:val="nil"/>
            </w:tcBorders>
            <w:noWrap/>
            <w:vAlign w:val="center"/>
            <w:hideMark/>
          </w:tcPr>
          <w:p w14:paraId="2882150A" w14:textId="77777777" w:rsidR="001B3B0E" w:rsidRPr="007647EB" w:rsidRDefault="001B3B0E" w:rsidP="002801FA">
            <w:pPr>
              <w:jc w:val="right"/>
              <w:rPr>
                <w:rFonts w:asciiTheme="majorBidi" w:hAnsiTheme="majorBidi" w:cstheme="majorBidi"/>
              </w:rPr>
            </w:pPr>
            <w:r w:rsidRPr="007647EB">
              <w:rPr>
                <w:color w:val="000000"/>
              </w:rPr>
              <w:t>1</w:t>
            </w:r>
          </w:p>
        </w:tc>
        <w:tc>
          <w:tcPr>
            <w:tcW w:w="1431" w:type="dxa"/>
            <w:tcBorders>
              <w:top w:val="nil"/>
              <w:left w:val="nil"/>
              <w:bottom w:val="nil"/>
              <w:right w:val="nil"/>
            </w:tcBorders>
            <w:noWrap/>
            <w:vAlign w:val="center"/>
            <w:hideMark/>
          </w:tcPr>
          <w:p w14:paraId="216DEDD0" w14:textId="77777777" w:rsidR="001B3B0E" w:rsidRPr="007647EB" w:rsidRDefault="001B3B0E" w:rsidP="002801FA">
            <w:pPr>
              <w:jc w:val="right"/>
              <w:rPr>
                <w:rFonts w:asciiTheme="majorBidi" w:hAnsiTheme="majorBidi" w:cstheme="majorBidi"/>
              </w:rPr>
            </w:pPr>
            <w:r w:rsidRPr="007647EB">
              <w:rPr>
                <w:color w:val="000000"/>
              </w:rPr>
              <w:t>4</w:t>
            </w:r>
          </w:p>
        </w:tc>
      </w:tr>
      <w:tr w:rsidR="001B3B0E" w:rsidRPr="007647EB" w14:paraId="1867E854" w14:textId="77777777" w:rsidTr="002801FA">
        <w:trPr>
          <w:trHeight w:val="298"/>
          <w:jc w:val="right"/>
        </w:trPr>
        <w:tc>
          <w:tcPr>
            <w:tcW w:w="2182" w:type="dxa"/>
            <w:tcBorders>
              <w:top w:val="nil"/>
              <w:left w:val="nil"/>
              <w:bottom w:val="nil"/>
              <w:right w:val="nil"/>
            </w:tcBorders>
            <w:noWrap/>
            <w:vAlign w:val="center"/>
            <w:hideMark/>
          </w:tcPr>
          <w:p w14:paraId="37E4A35B"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P-3</w:t>
            </w:r>
          </w:p>
        </w:tc>
        <w:tc>
          <w:tcPr>
            <w:tcW w:w="1426" w:type="dxa"/>
            <w:tcBorders>
              <w:top w:val="nil"/>
              <w:left w:val="nil"/>
              <w:bottom w:val="nil"/>
              <w:right w:val="nil"/>
            </w:tcBorders>
            <w:noWrap/>
            <w:vAlign w:val="center"/>
            <w:hideMark/>
          </w:tcPr>
          <w:p w14:paraId="595BB5B2" w14:textId="77777777" w:rsidR="001B3B0E" w:rsidRPr="007647EB" w:rsidRDefault="001B3B0E" w:rsidP="002801FA">
            <w:pPr>
              <w:jc w:val="right"/>
              <w:rPr>
                <w:rFonts w:asciiTheme="majorBidi" w:hAnsiTheme="majorBidi" w:cstheme="majorBidi"/>
              </w:rPr>
            </w:pPr>
            <w:r w:rsidRPr="007647EB">
              <w:rPr>
                <w:color w:val="000000"/>
              </w:rPr>
              <w:t>2</w:t>
            </w:r>
          </w:p>
        </w:tc>
        <w:tc>
          <w:tcPr>
            <w:tcW w:w="1426" w:type="dxa"/>
            <w:tcBorders>
              <w:top w:val="nil"/>
              <w:left w:val="nil"/>
              <w:bottom w:val="nil"/>
              <w:right w:val="nil"/>
            </w:tcBorders>
            <w:noWrap/>
            <w:vAlign w:val="center"/>
            <w:hideMark/>
          </w:tcPr>
          <w:p w14:paraId="2E564D20" w14:textId="77777777" w:rsidR="001B3B0E" w:rsidRPr="007647EB" w:rsidRDefault="001B3B0E" w:rsidP="002801FA">
            <w:pPr>
              <w:jc w:val="right"/>
              <w:rPr>
                <w:rFonts w:asciiTheme="majorBidi" w:hAnsiTheme="majorBidi" w:cstheme="majorBidi"/>
              </w:rPr>
            </w:pPr>
          </w:p>
        </w:tc>
        <w:tc>
          <w:tcPr>
            <w:tcW w:w="1842" w:type="dxa"/>
            <w:tcBorders>
              <w:top w:val="nil"/>
              <w:left w:val="nil"/>
              <w:bottom w:val="nil"/>
              <w:right w:val="nil"/>
            </w:tcBorders>
            <w:noWrap/>
            <w:vAlign w:val="center"/>
            <w:hideMark/>
          </w:tcPr>
          <w:p w14:paraId="3FD987D6" w14:textId="77777777" w:rsidR="001B3B0E" w:rsidRPr="007647EB" w:rsidRDefault="001B3B0E" w:rsidP="002801FA">
            <w:pPr>
              <w:rPr>
                <w:rFonts w:asciiTheme="majorBidi" w:hAnsiTheme="majorBidi" w:cstheme="majorBidi"/>
              </w:rPr>
            </w:pPr>
          </w:p>
        </w:tc>
        <w:tc>
          <w:tcPr>
            <w:tcW w:w="1431" w:type="dxa"/>
            <w:tcBorders>
              <w:top w:val="nil"/>
              <w:left w:val="nil"/>
              <w:bottom w:val="nil"/>
              <w:right w:val="nil"/>
            </w:tcBorders>
            <w:noWrap/>
            <w:vAlign w:val="center"/>
            <w:hideMark/>
          </w:tcPr>
          <w:p w14:paraId="173CF3F6" w14:textId="77777777" w:rsidR="001B3B0E" w:rsidRPr="007647EB" w:rsidRDefault="001B3B0E" w:rsidP="002801FA">
            <w:pPr>
              <w:jc w:val="right"/>
              <w:rPr>
                <w:rFonts w:asciiTheme="majorBidi" w:hAnsiTheme="majorBidi" w:cstheme="majorBidi"/>
              </w:rPr>
            </w:pPr>
            <w:r w:rsidRPr="007647EB">
              <w:rPr>
                <w:color w:val="000000"/>
              </w:rPr>
              <w:t>2</w:t>
            </w:r>
          </w:p>
        </w:tc>
      </w:tr>
      <w:tr w:rsidR="001B3B0E" w:rsidRPr="007647EB" w14:paraId="7663BE51" w14:textId="77777777" w:rsidTr="002801FA">
        <w:trPr>
          <w:trHeight w:val="313"/>
          <w:jc w:val="right"/>
        </w:trPr>
        <w:tc>
          <w:tcPr>
            <w:tcW w:w="2182" w:type="dxa"/>
            <w:tcBorders>
              <w:top w:val="nil"/>
              <w:left w:val="nil"/>
              <w:bottom w:val="single" w:sz="4" w:space="0" w:color="auto"/>
              <w:right w:val="nil"/>
            </w:tcBorders>
            <w:noWrap/>
            <w:vAlign w:val="center"/>
            <w:hideMark/>
          </w:tcPr>
          <w:p w14:paraId="6548AEB0" w14:textId="77777777" w:rsidR="001B3B0E" w:rsidRPr="007647EB" w:rsidRDefault="001B3B0E" w:rsidP="002801FA">
            <w:pPr>
              <w:rPr>
                <w:rFonts w:asciiTheme="majorBidi" w:hAnsiTheme="majorBidi" w:cstheme="majorBidi"/>
              </w:rPr>
            </w:pPr>
            <w:r w:rsidRPr="007647EB">
              <w:rPr>
                <w:rFonts w:asciiTheme="majorBidi" w:hAnsiTheme="majorBidi" w:cstheme="majorBidi"/>
                <w:color w:val="000000"/>
              </w:rPr>
              <w:t>P-2</w:t>
            </w:r>
            <w:r w:rsidRPr="007647EB">
              <w:rPr>
                <w:rFonts w:asciiTheme="majorBidi" w:hAnsiTheme="majorBidi" w:cstheme="majorBidi"/>
                <w:i/>
                <w:iCs/>
                <w:color w:val="000000"/>
                <w:vertAlign w:val="superscript"/>
              </w:rPr>
              <w:t>a</w:t>
            </w:r>
          </w:p>
        </w:tc>
        <w:tc>
          <w:tcPr>
            <w:tcW w:w="1426" w:type="dxa"/>
            <w:tcBorders>
              <w:top w:val="nil"/>
              <w:left w:val="nil"/>
              <w:bottom w:val="single" w:sz="4" w:space="0" w:color="auto"/>
              <w:right w:val="nil"/>
            </w:tcBorders>
            <w:noWrap/>
            <w:vAlign w:val="center"/>
            <w:hideMark/>
          </w:tcPr>
          <w:p w14:paraId="30627D6A" w14:textId="77777777" w:rsidR="001B3B0E" w:rsidRPr="007647EB" w:rsidRDefault="001B3B0E" w:rsidP="002801FA">
            <w:pPr>
              <w:rPr>
                <w:rFonts w:asciiTheme="majorBidi" w:hAnsiTheme="majorBidi" w:cstheme="majorBidi"/>
              </w:rPr>
            </w:pPr>
          </w:p>
        </w:tc>
        <w:tc>
          <w:tcPr>
            <w:tcW w:w="1426" w:type="dxa"/>
            <w:tcBorders>
              <w:top w:val="nil"/>
              <w:left w:val="nil"/>
              <w:bottom w:val="single" w:sz="4" w:space="0" w:color="auto"/>
              <w:right w:val="nil"/>
            </w:tcBorders>
            <w:noWrap/>
            <w:vAlign w:val="center"/>
            <w:hideMark/>
          </w:tcPr>
          <w:p w14:paraId="4D721F6D" w14:textId="77777777" w:rsidR="001B3B0E" w:rsidRPr="007647EB" w:rsidRDefault="001B3B0E" w:rsidP="002801FA">
            <w:pPr>
              <w:rPr>
                <w:rFonts w:asciiTheme="majorBidi" w:hAnsiTheme="majorBidi" w:cstheme="majorBidi"/>
              </w:rPr>
            </w:pPr>
          </w:p>
        </w:tc>
        <w:tc>
          <w:tcPr>
            <w:tcW w:w="1842" w:type="dxa"/>
            <w:tcBorders>
              <w:top w:val="nil"/>
              <w:left w:val="nil"/>
              <w:bottom w:val="single" w:sz="4" w:space="0" w:color="auto"/>
              <w:right w:val="nil"/>
            </w:tcBorders>
            <w:noWrap/>
            <w:vAlign w:val="center"/>
            <w:hideMark/>
          </w:tcPr>
          <w:p w14:paraId="2E2C8339" w14:textId="77777777" w:rsidR="001B3B0E" w:rsidRPr="007647EB" w:rsidRDefault="001B3B0E" w:rsidP="002801FA">
            <w:pPr>
              <w:jc w:val="right"/>
              <w:rPr>
                <w:rFonts w:asciiTheme="majorBidi" w:hAnsiTheme="majorBidi" w:cstheme="majorBidi"/>
              </w:rPr>
            </w:pPr>
            <w:r w:rsidRPr="007647EB">
              <w:rPr>
                <w:color w:val="000000"/>
              </w:rPr>
              <w:t>1</w:t>
            </w:r>
          </w:p>
        </w:tc>
        <w:tc>
          <w:tcPr>
            <w:tcW w:w="1431" w:type="dxa"/>
            <w:tcBorders>
              <w:top w:val="nil"/>
              <w:left w:val="nil"/>
              <w:bottom w:val="single" w:sz="4" w:space="0" w:color="auto"/>
              <w:right w:val="nil"/>
            </w:tcBorders>
            <w:noWrap/>
            <w:vAlign w:val="center"/>
            <w:hideMark/>
          </w:tcPr>
          <w:p w14:paraId="7CB2E763" w14:textId="77777777" w:rsidR="001B3B0E" w:rsidRPr="007647EB" w:rsidRDefault="001B3B0E" w:rsidP="002801FA">
            <w:pPr>
              <w:jc w:val="right"/>
              <w:rPr>
                <w:rFonts w:asciiTheme="majorBidi" w:hAnsiTheme="majorBidi" w:cstheme="majorBidi"/>
              </w:rPr>
            </w:pPr>
            <w:r w:rsidRPr="007647EB">
              <w:rPr>
                <w:color w:val="000000"/>
              </w:rPr>
              <w:t>1</w:t>
            </w:r>
          </w:p>
        </w:tc>
      </w:tr>
      <w:tr w:rsidR="001B3B0E" w:rsidRPr="007647EB" w14:paraId="7519BA0D" w14:textId="77777777" w:rsidTr="002801FA">
        <w:trPr>
          <w:trHeight w:val="313"/>
          <w:jc w:val="right"/>
        </w:trPr>
        <w:tc>
          <w:tcPr>
            <w:tcW w:w="2182" w:type="dxa"/>
            <w:tcBorders>
              <w:top w:val="single" w:sz="4" w:space="0" w:color="auto"/>
              <w:left w:val="nil"/>
              <w:bottom w:val="single" w:sz="4" w:space="0" w:color="auto"/>
              <w:right w:val="nil"/>
            </w:tcBorders>
            <w:noWrap/>
            <w:vAlign w:val="center"/>
            <w:hideMark/>
          </w:tcPr>
          <w:p w14:paraId="6B892548" w14:textId="77777777" w:rsidR="001B3B0E" w:rsidRPr="007647EB" w:rsidRDefault="001B3B0E" w:rsidP="002801FA">
            <w:pPr>
              <w:rPr>
                <w:rFonts w:asciiTheme="majorBidi" w:hAnsiTheme="majorBidi" w:cstheme="majorBidi"/>
                <w:b/>
                <w:bCs/>
              </w:rPr>
            </w:pPr>
            <w:r w:rsidRPr="007647EB">
              <w:rPr>
                <w:b/>
                <w:bCs/>
                <w:color w:val="000000"/>
              </w:rPr>
              <w:t>Total partiel (A)</w:t>
            </w:r>
          </w:p>
        </w:tc>
        <w:tc>
          <w:tcPr>
            <w:tcW w:w="1426" w:type="dxa"/>
            <w:tcBorders>
              <w:top w:val="single" w:sz="4" w:space="0" w:color="auto"/>
              <w:left w:val="nil"/>
              <w:bottom w:val="single" w:sz="4" w:space="0" w:color="auto"/>
              <w:right w:val="nil"/>
            </w:tcBorders>
            <w:noWrap/>
            <w:vAlign w:val="center"/>
            <w:hideMark/>
          </w:tcPr>
          <w:p w14:paraId="07681EBD" w14:textId="77777777" w:rsidR="001B3B0E" w:rsidRPr="007647EB" w:rsidRDefault="001B3B0E" w:rsidP="002801FA">
            <w:pPr>
              <w:jc w:val="right"/>
              <w:rPr>
                <w:rFonts w:asciiTheme="majorBidi" w:hAnsiTheme="majorBidi" w:cstheme="majorBidi"/>
                <w:b/>
                <w:bCs/>
              </w:rPr>
            </w:pPr>
            <w:r w:rsidRPr="007647EB">
              <w:rPr>
                <w:b/>
                <w:bCs/>
                <w:color w:val="000000"/>
              </w:rPr>
              <w:t>7</w:t>
            </w:r>
          </w:p>
        </w:tc>
        <w:tc>
          <w:tcPr>
            <w:tcW w:w="1426" w:type="dxa"/>
            <w:tcBorders>
              <w:top w:val="single" w:sz="4" w:space="0" w:color="auto"/>
              <w:left w:val="nil"/>
              <w:bottom w:val="single" w:sz="4" w:space="0" w:color="auto"/>
              <w:right w:val="nil"/>
            </w:tcBorders>
            <w:noWrap/>
            <w:vAlign w:val="center"/>
            <w:hideMark/>
          </w:tcPr>
          <w:p w14:paraId="406FFB92" w14:textId="77777777" w:rsidR="001B3B0E" w:rsidRPr="007647EB" w:rsidRDefault="001B3B0E" w:rsidP="002801FA">
            <w:pPr>
              <w:jc w:val="right"/>
              <w:rPr>
                <w:rFonts w:asciiTheme="majorBidi" w:hAnsiTheme="majorBidi" w:cstheme="majorBidi"/>
                <w:b/>
                <w:bCs/>
              </w:rPr>
            </w:pPr>
            <w:r w:rsidRPr="007647EB">
              <w:rPr>
                <w:b/>
                <w:bCs/>
                <w:color w:val="000000"/>
              </w:rPr>
              <w:t>1</w:t>
            </w:r>
          </w:p>
        </w:tc>
        <w:tc>
          <w:tcPr>
            <w:tcW w:w="1842" w:type="dxa"/>
            <w:tcBorders>
              <w:top w:val="single" w:sz="4" w:space="0" w:color="auto"/>
              <w:left w:val="nil"/>
              <w:bottom w:val="single" w:sz="4" w:space="0" w:color="auto"/>
              <w:right w:val="nil"/>
            </w:tcBorders>
            <w:noWrap/>
            <w:vAlign w:val="center"/>
            <w:hideMark/>
          </w:tcPr>
          <w:p w14:paraId="2312F1BF" w14:textId="77777777" w:rsidR="001B3B0E" w:rsidRPr="007647EB" w:rsidRDefault="001B3B0E" w:rsidP="002801FA">
            <w:pPr>
              <w:jc w:val="right"/>
              <w:rPr>
                <w:rFonts w:asciiTheme="majorBidi" w:hAnsiTheme="majorBidi" w:cstheme="majorBidi"/>
                <w:b/>
                <w:bCs/>
              </w:rPr>
            </w:pPr>
            <w:r w:rsidRPr="007647EB">
              <w:rPr>
                <w:b/>
                <w:bCs/>
                <w:color w:val="000000"/>
              </w:rPr>
              <w:t>2</w:t>
            </w:r>
          </w:p>
        </w:tc>
        <w:tc>
          <w:tcPr>
            <w:tcW w:w="1431" w:type="dxa"/>
            <w:tcBorders>
              <w:top w:val="single" w:sz="4" w:space="0" w:color="auto"/>
              <w:left w:val="nil"/>
              <w:bottom w:val="single" w:sz="4" w:space="0" w:color="auto"/>
              <w:right w:val="nil"/>
            </w:tcBorders>
            <w:noWrap/>
            <w:vAlign w:val="center"/>
            <w:hideMark/>
          </w:tcPr>
          <w:p w14:paraId="28D100D5" w14:textId="77777777" w:rsidR="001B3B0E" w:rsidRPr="007647EB" w:rsidRDefault="001B3B0E" w:rsidP="002801FA">
            <w:pPr>
              <w:jc w:val="right"/>
              <w:rPr>
                <w:rFonts w:asciiTheme="majorBidi" w:hAnsiTheme="majorBidi" w:cstheme="majorBidi"/>
                <w:b/>
                <w:bCs/>
              </w:rPr>
            </w:pPr>
            <w:r w:rsidRPr="007647EB">
              <w:rPr>
                <w:b/>
                <w:bCs/>
                <w:color w:val="000000"/>
              </w:rPr>
              <w:t>10</w:t>
            </w:r>
          </w:p>
        </w:tc>
      </w:tr>
      <w:tr w:rsidR="001B3B0E" w:rsidRPr="007647EB" w14:paraId="5B771C35" w14:textId="77777777" w:rsidTr="002801FA">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77037A48" w14:textId="77777777" w:rsidR="001B3B0E" w:rsidRPr="007647EB" w:rsidRDefault="001B3B0E" w:rsidP="002801FA">
            <w:pPr>
              <w:rPr>
                <w:rFonts w:asciiTheme="majorBidi" w:hAnsiTheme="majorBidi" w:cstheme="majorBidi"/>
                <w:b/>
                <w:bCs/>
              </w:rPr>
            </w:pPr>
            <w:r w:rsidRPr="007647EB">
              <w:rPr>
                <w:b/>
                <w:bCs/>
                <w:color w:val="000000"/>
              </w:rPr>
              <w:t>B.</w:t>
            </w:r>
            <w:r w:rsidRPr="007647EB">
              <w:rPr>
                <w:color w:val="000000"/>
              </w:rPr>
              <w:t xml:space="preserve"> </w:t>
            </w:r>
            <w:r w:rsidRPr="007647EB">
              <w:rPr>
                <w:b/>
                <w:bCs/>
                <w:color w:val="000000"/>
              </w:rPr>
              <w:t>Catégorie des services généraux</w:t>
            </w:r>
          </w:p>
        </w:tc>
      </w:tr>
      <w:tr w:rsidR="001B3B0E" w:rsidRPr="007647EB" w14:paraId="3F884FD4" w14:textId="77777777" w:rsidTr="002801FA">
        <w:trPr>
          <w:trHeight w:val="313"/>
          <w:jc w:val="right"/>
        </w:trPr>
        <w:tc>
          <w:tcPr>
            <w:tcW w:w="2182" w:type="dxa"/>
            <w:tcBorders>
              <w:top w:val="single" w:sz="4" w:space="0" w:color="auto"/>
              <w:left w:val="nil"/>
              <w:bottom w:val="single" w:sz="4" w:space="0" w:color="auto"/>
              <w:right w:val="nil"/>
            </w:tcBorders>
            <w:noWrap/>
            <w:vAlign w:val="center"/>
            <w:hideMark/>
          </w:tcPr>
          <w:p w14:paraId="0382076E" w14:textId="097C04F1" w:rsidR="001B3B0E" w:rsidRPr="007647EB" w:rsidRDefault="001B3B0E" w:rsidP="002801FA">
            <w:pPr>
              <w:rPr>
                <w:rFonts w:asciiTheme="majorBidi" w:hAnsiTheme="majorBidi" w:cstheme="majorBidi"/>
              </w:rPr>
            </w:pPr>
            <w:r w:rsidRPr="007647EB">
              <w:rPr>
                <w:color w:val="000000"/>
              </w:rPr>
              <w:t>Services généraux</w:t>
            </w:r>
            <w:r w:rsidRPr="007647EB">
              <w:rPr>
                <w:i/>
                <w:iCs/>
                <w:color w:val="000000"/>
                <w:vertAlign w:val="superscript"/>
              </w:rPr>
              <w:t>b</w:t>
            </w:r>
          </w:p>
        </w:tc>
        <w:tc>
          <w:tcPr>
            <w:tcW w:w="1426" w:type="dxa"/>
            <w:tcBorders>
              <w:top w:val="single" w:sz="4" w:space="0" w:color="auto"/>
              <w:left w:val="nil"/>
              <w:bottom w:val="single" w:sz="4" w:space="0" w:color="auto"/>
              <w:right w:val="nil"/>
            </w:tcBorders>
            <w:noWrap/>
            <w:vAlign w:val="center"/>
            <w:hideMark/>
          </w:tcPr>
          <w:p w14:paraId="2E63C933" w14:textId="77777777" w:rsidR="001B3B0E" w:rsidRPr="007647EB" w:rsidRDefault="001B3B0E" w:rsidP="002801FA">
            <w:pPr>
              <w:jc w:val="right"/>
              <w:rPr>
                <w:rFonts w:asciiTheme="majorBidi" w:hAnsiTheme="majorBidi" w:cstheme="majorBidi"/>
              </w:rPr>
            </w:pPr>
            <w:r w:rsidRPr="007647EB">
              <w:rPr>
                <w:color w:val="000000"/>
              </w:rPr>
              <w:t>4</w:t>
            </w:r>
          </w:p>
        </w:tc>
        <w:tc>
          <w:tcPr>
            <w:tcW w:w="1426" w:type="dxa"/>
            <w:tcBorders>
              <w:top w:val="single" w:sz="4" w:space="0" w:color="auto"/>
              <w:left w:val="nil"/>
              <w:bottom w:val="single" w:sz="4" w:space="0" w:color="auto"/>
              <w:right w:val="nil"/>
            </w:tcBorders>
            <w:noWrap/>
            <w:vAlign w:val="center"/>
            <w:hideMark/>
          </w:tcPr>
          <w:p w14:paraId="452A72E2" w14:textId="77777777" w:rsidR="001B3B0E" w:rsidRPr="007647EB" w:rsidRDefault="001B3B0E" w:rsidP="002801FA">
            <w:pPr>
              <w:jc w:val="right"/>
              <w:rPr>
                <w:rFonts w:asciiTheme="majorBidi" w:hAnsiTheme="majorBidi" w:cstheme="majorBidi"/>
              </w:rPr>
            </w:pPr>
          </w:p>
        </w:tc>
        <w:tc>
          <w:tcPr>
            <w:tcW w:w="1842" w:type="dxa"/>
            <w:tcBorders>
              <w:top w:val="single" w:sz="4" w:space="0" w:color="auto"/>
              <w:left w:val="nil"/>
              <w:bottom w:val="single" w:sz="4" w:space="0" w:color="auto"/>
              <w:right w:val="nil"/>
            </w:tcBorders>
            <w:noWrap/>
            <w:vAlign w:val="center"/>
            <w:hideMark/>
          </w:tcPr>
          <w:p w14:paraId="08861B47" w14:textId="77777777" w:rsidR="001B3B0E" w:rsidRPr="007647EB" w:rsidRDefault="001B3B0E" w:rsidP="002801FA">
            <w:pPr>
              <w:jc w:val="right"/>
              <w:rPr>
                <w:rFonts w:asciiTheme="majorBidi" w:hAnsiTheme="majorBidi" w:cstheme="majorBidi"/>
              </w:rPr>
            </w:pPr>
            <w:r w:rsidRPr="007647EB">
              <w:rPr>
                <w:color w:val="000000"/>
              </w:rPr>
              <w:t>1</w:t>
            </w:r>
          </w:p>
        </w:tc>
        <w:tc>
          <w:tcPr>
            <w:tcW w:w="1431" w:type="dxa"/>
            <w:tcBorders>
              <w:top w:val="single" w:sz="4" w:space="0" w:color="auto"/>
              <w:left w:val="nil"/>
              <w:bottom w:val="single" w:sz="4" w:space="0" w:color="auto"/>
              <w:right w:val="nil"/>
            </w:tcBorders>
            <w:noWrap/>
            <w:vAlign w:val="center"/>
            <w:hideMark/>
          </w:tcPr>
          <w:p w14:paraId="1BD117BC" w14:textId="77777777" w:rsidR="001B3B0E" w:rsidRPr="007647EB" w:rsidRDefault="001B3B0E" w:rsidP="002801FA">
            <w:pPr>
              <w:jc w:val="right"/>
              <w:rPr>
                <w:rFonts w:asciiTheme="majorBidi" w:hAnsiTheme="majorBidi" w:cstheme="majorBidi"/>
              </w:rPr>
            </w:pPr>
            <w:r w:rsidRPr="007647EB">
              <w:rPr>
                <w:color w:val="000000"/>
              </w:rPr>
              <w:t>5</w:t>
            </w:r>
          </w:p>
        </w:tc>
      </w:tr>
      <w:tr w:rsidR="001B3B0E" w:rsidRPr="007647EB" w14:paraId="7A8690FB" w14:textId="77777777" w:rsidTr="002801FA">
        <w:trPr>
          <w:trHeight w:val="313"/>
          <w:jc w:val="right"/>
        </w:trPr>
        <w:tc>
          <w:tcPr>
            <w:tcW w:w="2182" w:type="dxa"/>
            <w:tcBorders>
              <w:top w:val="single" w:sz="4" w:space="0" w:color="auto"/>
              <w:left w:val="nil"/>
              <w:bottom w:val="single" w:sz="4" w:space="0" w:color="auto"/>
              <w:right w:val="nil"/>
            </w:tcBorders>
            <w:noWrap/>
            <w:vAlign w:val="center"/>
            <w:hideMark/>
          </w:tcPr>
          <w:p w14:paraId="6B6B4B42" w14:textId="77777777" w:rsidR="001B3B0E" w:rsidRPr="007647EB" w:rsidRDefault="001B3B0E" w:rsidP="002801FA">
            <w:pPr>
              <w:rPr>
                <w:rFonts w:asciiTheme="majorBidi" w:hAnsiTheme="majorBidi" w:cstheme="majorBidi"/>
                <w:b/>
                <w:bCs/>
              </w:rPr>
            </w:pPr>
            <w:r w:rsidRPr="007647EB">
              <w:rPr>
                <w:b/>
                <w:bCs/>
                <w:color w:val="000000"/>
              </w:rPr>
              <w:t>Total partiel (B)</w:t>
            </w:r>
          </w:p>
        </w:tc>
        <w:tc>
          <w:tcPr>
            <w:tcW w:w="1426" w:type="dxa"/>
            <w:tcBorders>
              <w:top w:val="single" w:sz="4" w:space="0" w:color="auto"/>
              <w:left w:val="nil"/>
              <w:bottom w:val="single" w:sz="4" w:space="0" w:color="auto"/>
              <w:right w:val="nil"/>
            </w:tcBorders>
            <w:noWrap/>
            <w:vAlign w:val="center"/>
            <w:hideMark/>
          </w:tcPr>
          <w:p w14:paraId="0E331B9D" w14:textId="77777777" w:rsidR="001B3B0E" w:rsidRPr="007647EB" w:rsidRDefault="001B3B0E" w:rsidP="002801FA">
            <w:pPr>
              <w:jc w:val="right"/>
              <w:rPr>
                <w:rFonts w:asciiTheme="majorBidi" w:hAnsiTheme="majorBidi" w:cstheme="majorBidi"/>
                <w:b/>
                <w:bCs/>
              </w:rPr>
            </w:pPr>
            <w:r w:rsidRPr="007647EB">
              <w:rPr>
                <w:b/>
                <w:bCs/>
                <w:color w:val="000000"/>
              </w:rPr>
              <w:t>4</w:t>
            </w:r>
          </w:p>
        </w:tc>
        <w:tc>
          <w:tcPr>
            <w:tcW w:w="1426" w:type="dxa"/>
            <w:tcBorders>
              <w:top w:val="single" w:sz="4" w:space="0" w:color="auto"/>
              <w:left w:val="nil"/>
              <w:bottom w:val="single" w:sz="4" w:space="0" w:color="auto"/>
              <w:right w:val="nil"/>
            </w:tcBorders>
            <w:noWrap/>
            <w:vAlign w:val="center"/>
            <w:hideMark/>
          </w:tcPr>
          <w:p w14:paraId="59B71A72" w14:textId="77777777" w:rsidR="001B3B0E" w:rsidRPr="007647EB" w:rsidRDefault="001B3B0E" w:rsidP="002801FA">
            <w:pPr>
              <w:jc w:val="right"/>
              <w:rPr>
                <w:rFonts w:asciiTheme="majorBidi" w:hAnsiTheme="majorBidi" w:cstheme="majorBidi"/>
                <w:b/>
                <w:bCs/>
              </w:rPr>
            </w:pPr>
            <w:r w:rsidRPr="007647EB">
              <w:rPr>
                <w:b/>
                <w:bCs/>
                <w:color w:val="000000"/>
              </w:rPr>
              <w:t>0</w:t>
            </w:r>
          </w:p>
        </w:tc>
        <w:tc>
          <w:tcPr>
            <w:tcW w:w="1842" w:type="dxa"/>
            <w:tcBorders>
              <w:top w:val="single" w:sz="4" w:space="0" w:color="auto"/>
              <w:left w:val="nil"/>
              <w:bottom w:val="single" w:sz="4" w:space="0" w:color="auto"/>
              <w:right w:val="nil"/>
            </w:tcBorders>
            <w:noWrap/>
            <w:vAlign w:val="center"/>
            <w:hideMark/>
          </w:tcPr>
          <w:p w14:paraId="607E5B08" w14:textId="77777777" w:rsidR="001B3B0E" w:rsidRPr="007647EB" w:rsidRDefault="001B3B0E" w:rsidP="002801FA">
            <w:pPr>
              <w:jc w:val="right"/>
              <w:rPr>
                <w:rFonts w:asciiTheme="majorBidi" w:hAnsiTheme="majorBidi" w:cstheme="majorBidi"/>
                <w:b/>
                <w:bCs/>
              </w:rPr>
            </w:pPr>
            <w:r w:rsidRPr="007647EB">
              <w:rPr>
                <w:b/>
                <w:bCs/>
                <w:color w:val="000000"/>
              </w:rPr>
              <w:t>1</w:t>
            </w:r>
          </w:p>
        </w:tc>
        <w:tc>
          <w:tcPr>
            <w:tcW w:w="1431" w:type="dxa"/>
            <w:tcBorders>
              <w:top w:val="single" w:sz="4" w:space="0" w:color="auto"/>
              <w:left w:val="nil"/>
              <w:bottom w:val="single" w:sz="4" w:space="0" w:color="auto"/>
              <w:right w:val="nil"/>
            </w:tcBorders>
            <w:noWrap/>
            <w:vAlign w:val="center"/>
            <w:hideMark/>
          </w:tcPr>
          <w:p w14:paraId="6A773704" w14:textId="77777777" w:rsidR="001B3B0E" w:rsidRPr="007647EB" w:rsidRDefault="001B3B0E" w:rsidP="002801FA">
            <w:pPr>
              <w:jc w:val="right"/>
              <w:rPr>
                <w:rFonts w:asciiTheme="majorBidi" w:hAnsiTheme="majorBidi" w:cstheme="majorBidi"/>
                <w:b/>
                <w:bCs/>
              </w:rPr>
            </w:pPr>
            <w:r w:rsidRPr="007647EB">
              <w:rPr>
                <w:b/>
                <w:bCs/>
                <w:color w:val="000000"/>
              </w:rPr>
              <w:t>5</w:t>
            </w:r>
          </w:p>
        </w:tc>
      </w:tr>
      <w:tr w:rsidR="001B3B0E" w:rsidRPr="007647EB" w14:paraId="0EB01C75" w14:textId="77777777" w:rsidTr="002801FA">
        <w:trPr>
          <w:trHeight w:val="313"/>
          <w:jc w:val="right"/>
        </w:trPr>
        <w:tc>
          <w:tcPr>
            <w:tcW w:w="2182" w:type="dxa"/>
            <w:tcBorders>
              <w:top w:val="single" w:sz="4" w:space="0" w:color="auto"/>
              <w:left w:val="nil"/>
              <w:bottom w:val="single" w:sz="12" w:space="0" w:color="auto"/>
              <w:right w:val="nil"/>
            </w:tcBorders>
            <w:noWrap/>
            <w:vAlign w:val="center"/>
            <w:hideMark/>
          </w:tcPr>
          <w:p w14:paraId="1774E90B" w14:textId="77777777" w:rsidR="001B3B0E" w:rsidRPr="007647EB" w:rsidRDefault="001B3B0E" w:rsidP="002801FA">
            <w:pPr>
              <w:rPr>
                <w:rFonts w:asciiTheme="majorBidi" w:hAnsiTheme="majorBidi" w:cstheme="majorBidi"/>
                <w:b/>
                <w:bCs/>
              </w:rPr>
            </w:pPr>
            <w:r w:rsidRPr="007647EB">
              <w:rPr>
                <w:b/>
                <w:bCs/>
                <w:color w:val="000000"/>
              </w:rPr>
              <w:t>Total (A+B)</w:t>
            </w:r>
          </w:p>
        </w:tc>
        <w:tc>
          <w:tcPr>
            <w:tcW w:w="1426" w:type="dxa"/>
            <w:tcBorders>
              <w:top w:val="single" w:sz="4" w:space="0" w:color="auto"/>
              <w:left w:val="nil"/>
              <w:bottom w:val="single" w:sz="12" w:space="0" w:color="auto"/>
              <w:right w:val="nil"/>
            </w:tcBorders>
            <w:noWrap/>
            <w:vAlign w:val="center"/>
            <w:hideMark/>
          </w:tcPr>
          <w:p w14:paraId="7B1D0836" w14:textId="77777777" w:rsidR="001B3B0E" w:rsidRPr="007647EB" w:rsidRDefault="001B3B0E" w:rsidP="002801FA">
            <w:pPr>
              <w:jc w:val="right"/>
              <w:rPr>
                <w:rFonts w:asciiTheme="majorBidi" w:hAnsiTheme="majorBidi" w:cstheme="majorBidi"/>
                <w:b/>
                <w:bCs/>
              </w:rPr>
            </w:pPr>
            <w:r w:rsidRPr="007647EB">
              <w:rPr>
                <w:b/>
                <w:bCs/>
                <w:color w:val="000000"/>
              </w:rPr>
              <w:t>11</w:t>
            </w:r>
          </w:p>
        </w:tc>
        <w:tc>
          <w:tcPr>
            <w:tcW w:w="1426" w:type="dxa"/>
            <w:tcBorders>
              <w:top w:val="single" w:sz="4" w:space="0" w:color="auto"/>
              <w:left w:val="nil"/>
              <w:bottom w:val="single" w:sz="12" w:space="0" w:color="auto"/>
              <w:right w:val="nil"/>
            </w:tcBorders>
            <w:noWrap/>
            <w:vAlign w:val="center"/>
            <w:hideMark/>
          </w:tcPr>
          <w:p w14:paraId="23D0E8D2" w14:textId="77777777" w:rsidR="001B3B0E" w:rsidRPr="007647EB" w:rsidRDefault="001B3B0E" w:rsidP="002801FA">
            <w:pPr>
              <w:jc w:val="right"/>
              <w:rPr>
                <w:rFonts w:asciiTheme="majorBidi" w:hAnsiTheme="majorBidi" w:cstheme="majorBidi"/>
                <w:b/>
                <w:bCs/>
              </w:rPr>
            </w:pPr>
            <w:r w:rsidRPr="007647EB">
              <w:rPr>
                <w:b/>
                <w:bCs/>
                <w:color w:val="000000"/>
              </w:rPr>
              <w:t>1</w:t>
            </w:r>
          </w:p>
        </w:tc>
        <w:tc>
          <w:tcPr>
            <w:tcW w:w="1842" w:type="dxa"/>
            <w:tcBorders>
              <w:top w:val="single" w:sz="4" w:space="0" w:color="auto"/>
              <w:left w:val="nil"/>
              <w:bottom w:val="single" w:sz="12" w:space="0" w:color="auto"/>
              <w:right w:val="nil"/>
            </w:tcBorders>
            <w:noWrap/>
            <w:vAlign w:val="center"/>
            <w:hideMark/>
          </w:tcPr>
          <w:p w14:paraId="208074AB" w14:textId="77777777" w:rsidR="001B3B0E" w:rsidRPr="007647EB" w:rsidRDefault="001B3B0E" w:rsidP="002801FA">
            <w:pPr>
              <w:jc w:val="right"/>
              <w:rPr>
                <w:rFonts w:asciiTheme="majorBidi" w:hAnsiTheme="majorBidi" w:cstheme="majorBidi"/>
                <w:b/>
                <w:bCs/>
              </w:rPr>
            </w:pPr>
            <w:r w:rsidRPr="007647EB">
              <w:rPr>
                <w:b/>
                <w:bCs/>
                <w:color w:val="000000"/>
              </w:rPr>
              <w:t>3</w:t>
            </w:r>
          </w:p>
        </w:tc>
        <w:tc>
          <w:tcPr>
            <w:tcW w:w="1431" w:type="dxa"/>
            <w:tcBorders>
              <w:top w:val="single" w:sz="4" w:space="0" w:color="auto"/>
              <w:left w:val="nil"/>
              <w:bottom w:val="single" w:sz="12" w:space="0" w:color="auto"/>
              <w:right w:val="nil"/>
            </w:tcBorders>
            <w:noWrap/>
            <w:vAlign w:val="center"/>
            <w:hideMark/>
          </w:tcPr>
          <w:p w14:paraId="7B087652" w14:textId="77777777" w:rsidR="001B3B0E" w:rsidRPr="007647EB" w:rsidRDefault="001B3B0E" w:rsidP="002801FA">
            <w:pPr>
              <w:jc w:val="right"/>
              <w:rPr>
                <w:rFonts w:asciiTheme="majorBidi" w:hAnsiTheme="majorBidi" w:cstheme="majorBidi"/>
                <w:b/>
                <w:bCs/>
              </w:rPr>
            </w:pPr>
            <w:r w:rsidRPr="007647EB">
              <w:rPr>
                <w:b/>
                <w:bCs/>
                <w:color w:val="000000"/>
              </w:rPr>
              <w:t>15</w:t>
            </w:r>
          </w:p>
        </w:tc>
      </w:tr>
    </w:tbl>
    <w:p w14:paraId="2DB82680" w14:textId="10DF4F6F" w:rsidR="00587EA7" w:rsidRPr="007647EB" w:rsidRDefault="00942585" w:rsidP="002164C7">
      <w:pPr>
        <w:pStyle w:val="Normal-pool"/>
        <w:tabs>
          <w:tab w:val="left" w:pos="4990"/>
        </w:tabs>
        <w:spacing w:before="60"/>
        <w:ind w:left="1247"/>
        <w:rPr>
          <w:rFonts w:asciiTheme="majorBidi" w:eastAsia="Times New Roman" w:hAnsiTheme="majorBidi" w:cstheme="majorBidi"/>
          <w:sz w:val="17"/>
          <w:szCs w:val="17"/>
        </w:rPr>
      </w:pPr>
      <w:r w:rsidRPr="007647EB">
        <w:rPr>
          <w:rFonts w:asciiTheme="majorBidi" w:eastAsia="Times New Roman" w:hAnsiTheme="majorBidi" w:cstheme="majorBidi"/>
          <w:sz w:val="17"/>
          <w:szCs w:val="17"/>
        </w:rPr>
        <w:tab/>
      </w:r>
      <w:r w:rsidR="00587EA7" w:rsidRPr="007647EB">
        <w:rPr>
          <w:rFonts w:asciiTheme="majorBidi" w:eastAsia="Times New Roman" w:hAnsiTheme="majorBidi" w:cstheme="majorBidi"/>
          <w:sz w:val="17"/>
          <w:szCs w:val="17"/>
        </w:rPr>
        <w:t>Abréviation</w:t>
      </w:r>
      <w:r w:rsidR="00CB37AD" w:rsidRPr="007647EB">
        <w:rPr>
          <w:rFonts w:asciiTheme="majorBidi" w:eastAsia="Times New Roman" w:hAnsiTheme="majorBidi" w:cstheme="majorBidi"/>
          <w:sz w:val="17"/>
          <w:szCs w:val="17"/>
        </w:rPr>
        <w:t> </w:t>
      </w:r>
      <w:r w:rsidR="00587EA7" w:rsidRPr="007647EB">
        <w:rPr>
          <w:rFonts w:asciiTheme="majorBidi" w:eastAsia="Times New Roman" w:hAnsiTheme="majorBidi" w:cstheme="majorBidi"/>
          <w:sz w:val="17"/>
          <w:szCs w:val="17"/>
        </w:rPr>
        <w:t>: PNUE = Programme des Nations Unies pour l</w:t>
      </w:r>
      <w:r w:rsidR="00D82E47" w:rsidRPr="007647EB">
        <w:rPr>
          <w:rFonts w:asciiTheme="majorBidi" w:eastAsia="Times New Roman" w:hAnsiTheme="majorBidi" w:cstheme="majorBidi"/>
          <w:sz w:val="17"/>
          <w:szCs w:val="17"/>
        </w:rPr>
        <w:t>’</w:t>
      </w:r>
      <w:r w:rsidR="00587EA7" w:rsidRPr="007647EB">
        <w:rPr>
          <w:rFonts w:asciiTheme="majorBidi" w:eastAsia="Times New Roman" w:hAnsiTheme="majorBidi" w:cstheme="majorBidi"/>
          <w:sz w:val="17"/>
          <w:szCs w:val="17"/>
        </w:rPr>
        <w:t>environnement.</w:t>
      </w:r>
    </w:p>
    <w:p w14:paraId="0CA9D2BF" w14:textId="059B8508" w:rsidR="00587EA7" w:rsidRPr="007647EB" w:rsidRDefault="00587EA7" w:rsidP="002164C7">
      <w:pPr>
        <w:pStyle w:val="Normal-pool"/>
        <w:tabs>
          <w:tab w:val="left" w:pos="4990"/>
        </w:tabs>
        <w:spacing w:before="60"/>
        <w:ind w:left="1247"/>
        <w:rPr>
          <w:rFonts w:asciiTheme="majorBidi" w:eastAsia="Times New Roman" w:hAnsiTheme="majorBidi" w:cstheme="majorBidi"/>
          <w:sz w:val="17"/>
          <w:szCs w:val="17"/>
        </w:rPr>
      </w:pPr>
      <w:r w:rsidRPr="007647EB">
        <w:rPr>
          <w:rFonts w:asciiTheme="majorBidi" w:eastAsia="Times New Roman" w:hAnsiTheme="majorBidi" w:cstheme="majorBidi"/>
          <w:sz w:val="17"/>
          <w:szCs w:val="17"/>
        </w:rPr>
        <w:tab/>
      </w:r>
      <w:r w:rsidRPr="007647EB">
        <w:rPr>
          <w:rFonts w:asciiTheme="majorBidi" w:eastAsia="Times New Roman" w:hAnsiTheme="majorBidi" w:cstheme="majorBidi"/>
          <w:i/>
          <w:iCs/>
          <w:sz w:val="17"/>
          <w:szCs w:val="17"/>
          <w:vertAlign w:val="superscript"/>
        </w:rPr>
        <w:t>a</w:t>
      </w:r>
      <w:r w:rsidRPr="007647EB">
        <w:rPr>
          <w:rFonts w:asciiTheme="majorBidi" w:eastAsia="Times New Roman" w:hAnsiTheme="majorBidi" w:cstheme="majorBidi"/>
          <w:sz w:val="17"/>
          <w:szCs w:val="17"/>
        </w:rPr>
        <w:t xml:space="preserve"> Un(e) fonctionnaire d</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administration (adjoint(e) de 1</w:t>
      </w:r>
      <w:r w:rsidRPr="007647EB">
        <w:rPr>
          <w:rFonts w:asciiTheme="majorBidi" w:eastAsia="Times New Roman" w:hAnsiTheme="majorBidi" w:cstheme="majorBidi"/>
          <w:sz w:val="17"/>
          <w:szCs w:val="17"/>
          <w:vertAlign w:val="superscript"/>
        </w:rPr>
        <w:t>re</w:t>
      </w:r>
      <w:r w:rsidRPr="007647EB">
        <w:rPr>
          <w:rFonts w:asciiTheme="majorBidi" w:eastAsia="Times New Roman" w:hAnsiTheme="majorBidi" w:cstheme="majorBidi"/>
          <w:sz w:val="17"/>
          <w:szCs w:val="17"/>
        </w:rPr>
        <w:t xml:space="preserve"> classe) (P-2), dont le poste était financé par les dépenses d</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appui au programme du PNUE, a rejoint l</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équipe en décembre 2024 (emploi à mi-temps).</w:t>
      </w:r>
    </w:p>
    <w:p w14:paraId="6A069F7C" w14:textId="7557AFFF" w:rsidR="00587EA7" w:rsidRPr="007647EB" w:rsidRDefault="00587EA7" w:rsidP="002164C7">
      <w:pPr>
        <w:pStyle w:val="Normal-pool"/>
        <w:tabs>
          <w:tab w:val="left" w:pos="4990"/>
        </w:tabs>
        <w:spacing w:before="60"/>
        <w:ind w:left="1247"/>
        <w:rPr>
          <w:rFonts w:asciiTheme="majorBidi" w:eastAsia="Times New Roman" w:hAnsiTheme="majorBidi" w:cstheme="majorBidi"/>
          <w:sz w:val="17"/>
          <w:szCs w:val="17"/>
        </w:rPr>
      </w:pPr>
      <w:r w:rsidRPr="007647EB">
        <w:rPr>
          <w:rFonts w:asciiTheme="majorBidi" w:eastAsia="Times New Roman" w:hAnsiTheme="majorBidi" w:cstheme="majorBidi"/>
          <w:sz w:val="17"/>
          <w:szCs w:val="17"/>
        </w:rPr>
        <w:tab/>
      </w:r>
      <w:r w:rsidRPr="007647EB">
        <w:rPr>
          <w:rFonts w:asciiTheme="majorBidi" w:eastAsia="Times New Roman" w:hAnsiTheme="majorBidi" w:cstheme="majorBidi"/>
          <w:i/>
          <w:iCs/>
          <w:sz w:val="17"/>
          <w:szCs w:val="17"/>
          <w:vertAlign w:val="superscript"/>
        </w:rPr>
        <w:t>b</w:t>
      </w:r>
      <w:r w:rsidRPr="007647EB">
        <w:rPr>
          <w:rFonts w:asciiTheme="majorBidi" w:eastAsia="Times New Roman" w:hAnsiTheme="majorBidi" w:cstheme="majorBidi"/>
          <w:sz w:val="17"/>
          <w:szCs w:val="17"/>
        </w:rPr>
        <w:t xml:space="preserve"> Le poste d</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assistant(e) administratif(ve) (G-5) reste vacant pour l</w:t>
      </w:r>
      <w:r w:rsidR="00D82E47" w:rsidRPr="007647EB">
        <w:rPr>
          <w:rFonts w:asciiTheme="majorBidi" w:eastAsia="Times New Roman" w:hAnsiTheme="majorBidi" w:cstheme="majorBidi"/>
          <w:sz w:val="17"/>
          <w:szCs w:val="17"/>
        </w:rPr>
        <w:t>’</w:t>
      </w:r>
      <w:r w:rsidRPr="007647EB">
        <w:rPr>
          <w:rFonts w:asciiTheme="majorBidi" w:eastAsia="Times New Roman" w:hAnsiTheme="majorBidi" w:cstheme="majorBidi"/>
          <w:sz w:val="17"/>
          <w:szCs w:val="17"/>
        </w:rPr>
        <w:t>exercice biennal 2026-2027 et devrait être pourvu dès que des fonds seront disponibles.</w:t>
      </w:r>
    </w:p>
    <w:p w14:paraId="0141588F" w14:textId="5F1D5FCD" w:rsidR="00312042" w:rsidRPr="007647EB" w:rsidRDefault="00312042" w:rsidP="00312042">
      <w:pPr>
        <w:pStyle w:val="Normal-pool"/>
      </w:pPr>
    </w:p>
    <w:p w14:paraId="7CFE178C" w14:textId="070FE29E" w:rsidR="00312042" w:rsidRPr="007647EB" w:rsidRDefault="00312042" w:rsidP="002D2ADA">
      <w:pPr>
        <w:pStyle w:val="Normal-pool"/>
        <w:tabs>
          <w:tab w:val="clear" w:pos="1247"/>
          <w:tab w:val="clear" w:pos="1871"/>
          <w:tab w:val="clear" w:pos="2495"/>
          <w:tab w:val="clear" w:pos="3119"/>
          <w:tab w:val="clear" w:pos="3742"/>
          <w:tab w:val="clear" w:pos="4366"/>
        </w:tabs>
        <w:spacing w:after="120"/>
        <w:ind w:left="249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300193">
      <w:headerReference w:type="first" r:id="rId21"/>
      <w:footerReference w:type="first" r:id="rId22"/>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BBEE" w14:textId="77777777" w:rsidR="00707DF1" w:rsidRPr="00300193" w:rsidRDefault="00707DF1">
      <w:r w:rsidRPr="00300193">
        <w:separator/>
      </w:r>
    </w:p>
  </w:endnote>
  <w:endnote w:type="continuationSeparator" w:id="0">
    <w:p w14:paraId="014D60D7" w14:textId="77777777" w:rsidR="00707DF1" w:rsidRPr="00300193" w:rsidRDefault="00707DF1">
      <w:r w:rsidRPr="00300193">
        <w:continuationSeparator/>
      </w:r>
    </w:p>
  </w:endnote>
  <w:endnote w:type="continuationNotice" w:id="1">
    <w:p w14:paraId="680006F1" w14:textId="77777777" w:rsidR="00707DF1" w:rsidRPr="00300193" w:rsidRDefault="00707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556D77B1" w:rsidR="00312042" w:rsidRPr="00977E49" w:rsidRDefault="00300193" w:rsidP="00300193">
    <w:pPr>
      <w:pStyle w:val="Footer-pool"/>
      <w:rPr>
        <w:b w:val="0"/>
      </w:rPr>
    </w:pPr>
    <w:r w:rsidRPr="00977E49">
      <w:rPr>
        <w:rStyle w:val="PageNumber"/>
        <w:b/>
      </w:rPr>
      <w:fldChar w:fldCharType="begin"/>
    </w:r>
    <w:r w:rsidRPr="00977E49">
      <w:rPr>
        <w:rStyle w:val="PageNumber"/>
        <w:b/>
      </w:rPr>
      <w:instrText xml:space="preserve"> PAGE </w:instrText>
    </w:r>
    <w:r w:rsidRPr="00977E49">
      <w:rPr>
        <w:rStyle w:val="PageNumber"/>
        <w:b/>
      </w:rPr>
      <w:fldChar w:fldCharType="separate"/>
    </w:r>
    <w:r w:rsidRPr="00977E49">
      <w:rPr>
        <w:rStyle w:val="PageNumber"/>
        <w:b/>
        <w:noProof/>
      </w:rPr>
      <w:t>3</w:t>
    </w:r>
    <w:r w:rsidRPr="00977E4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41F6187D" w:rsidR="00312042" w:rsidRPr="00977E49" w:rsidRDefault="00300193" w:rsidP="00300193">
    <w:pPr>
      <w:pStyle w:val="Footer-pool"/>
      <w:jc w:val="right"/>
      <w:rPr>
        <w:b w:val="0"/>
      </w:rPr>
    </w:pPr>
    <w:r w:rsidRPr="00977E49">
      <w:rPr>
        <w:rStyle w:val="PageNumber"/>
        <w:b/>
      </w:rPr>
      <w:fldChar w:fldCharType="begin"/>
    </w:r>
    <w:r w:rsidRPr="00977E49">
      <w:rPr>
        <w:rStyle w:val="PageNumber"/>
        <w:b/>
      </w:rPr>
      <w:instrText xml:space="preserve"> PAGE \* MERGEFORMAT </w:instrText>
    </w:r>
    <w:r w:rsidRPr="00977E49">
      <w:rPr>
        <w:rStyle w:val="PageNumber"/>
        <w:b/>
      </w:rPr>
      <w:fldChar w:fldCharType="separate"/>
    </w:r>
    <w:r w:rsidRPr="00977E49">
      <w:rPr>
        <w:rStyle w:val="PageNumber"/>
        <w:b/>
        <w:noProof/>
      </w:rPr>
      <w:t>4</w:t>
    </w:r>
    <w:r w:rsidRPr="00977E4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423E800A" w:rsidR="00312042" w:rsidRPr="00300193" w:rsidRDefault="002D2205" w:rsidP="00300193">
    <w:pPr>
      <w:pStyle w:val="Normal-pool"/>
    </w:pPr>
    <w:bookmarkStart w:id="9" w:name="FooterJobDate"/>
    <w:r>
      <w:tab/>
    </w:r>
    <w:r>
      <w:tab/>
    </w:r>
    <w:r>
      <w:tab/>
    </w:r>
    <w:r w:rsidR="0016722D">
      <w:t>1</w:t>
    </w:r>
    <w:r w:rsidR="00F42E90">
      <w:t>304</w:t>
    </w:r>
    <w:r w:rsidR="00E6738C" w:rsidRPr="00300193">
      <w:t>26</w:t>
    </w:r>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CA35" w14:textId="77777777" w:rsidR="00B34FD4" w:rsidRDefault="00B34FD4" w:rsidP="00E84D8D">
    <w:pPr>
      <w:pStyle w:val="Footer-jobnumber"/>
    </w:pPr>
    <w:r>
      <w:t>K2519185[E]</w:t>
    </w:r>
    <w:r>
      <w:tab/>
      <w:t>270126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AC4B" w14:textId="77777777" w:rsidR="00707DF1" w:rsidRPr="00300193" w:rsidRDefault="00707DF1" w:rsidP="00300193">
      <w:pPr>
        <w:pStyle w:val="Footnote-Separator"/>
        <w:ind w:left="624"/>
        <w:rPr>
          <w:szCs w:val="18"/>
        </w:rPr>
      </w:pPr>
      <w:r w:rsidRPr="00300193">
        <w:separator/>
      </w:r>
    </w:p>
  </w:footnote>
  <w:footnote w:type="continuationSeparator" w:id="0">
    <w:p w14:paraId="37515D5A" w14:textId="77777777" w:rsidR="00707DF1" w:rsidRPr="00300193" w:rsidRDefault="00707DF1" w:rsidP="00300193">
      <w:pPr>
        <w:pStyle w:val="Footnote-Separator"/>
      </w:pPr>
      <w:r w:rsidRPr="00300193">
        <w:continuationSeparator/>
      </w:r>
    </w:p>
  </w:footnote>
  <w:footnote w:type="continuationNotice" w:id="1">
    <w:p w14:paraId="3C2A88AC" w14:textId="77777777" w:rsidR="00707DF1" w:rsidRPr="00300193" w:rsidRDefault="00707DF1" w:rsidP="00300193">
      <w:pPr>
        <w:pStyle w:val="ASpacer"/>
      </w:pPr>
    </w:p>
  </w:footnote>
  <w:footnote w:id="2">
    <w:p w14:paraId="55363D85" w14:textId="7E5DA664"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UNEP/MC/COP.6/23.</w:t>
      </w:r>
    </w:p>
  </w:footnote>
  <w:footnote w:id="3">
    <w:p w14:paraId="1CE2E82B" w14:textId="0F9AE717"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UNEP/MC/COP.6/INF/37.</w:t>
      </w:r>
    </w:p>
  </w:footnote>
  <w:footnote w:id="4">
    <w:p w14:paraId="47F16CB9" w14:textId="607283F1"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UNEP/MC/COP.6/INF/38.</w:t>
      </w:r>
    </w:p>
  </w:footnote>
  <w:footnote w:id="5">
    <w:p w14:paraId="13E4CA67" w14:textId="2C927E65"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UNEP/MC/COP.6/INF/36.</w:t>
      </w:r>
    </w:p>
  </w:footnote>
  <w:footnote w:id="6">
    <w:p w14:paraId="4B35990D" w14:textId="1447552A"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UNEP/MC/COP.6/INF/37.</w:t>
      </w:r>
    </w:p>
  </w:footnote>
  <w:footnote w:id="7">
    <w:p w14:paraId="623D5413" w14:textId="4F2CE1F0"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UNEP/MC/COP.6/INF/36.</w:t>
      </w:r>
    </w:p>
  </w:footnote>
  <w:footnote w:id="8">
    <w:p w14:paraId="65CF3A43" w14:textId="37567D0E"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UNEP/MC/COP.6/23.</w:t>
      </w:r>
    </w:p>
  </w:footnote>
  <w:footnote w:id="9">
    <w:p w14:paraId="59FB029E" w14:textId="02583F74" w:rsidR="00C65D89" w:rsidRPr="007B3B11" w:rsidRDefault="00300193" w:rsidP="00300193">
      <w:pPr>
        <w:pStyle w:val="Footnote-Text"/>
        <w:rPr>
          <w:szCs w:val="18"/>
          <w:lang w:val="en-GB"/>
        </w:rPr>
      </w:pPr>
      <w:r w:rsidRPr="00300193">
        <w:rPr>
          <w:rStyle w:val="FootnoteReference"/>
          <w:rFonts w:eastAsia="SimSun"/>
          <w:sz w:val="20"/>
        </w:rPr>
        <w:footnoteRef/>
      </w:r>
      <w:r w:rsidR="00C65D89" w:rsidRPr="007B3B11">
        <w:rPr>
          <w:lang w:val="en-GB"/>
        </w:rPr>
        <w:t xml:space="preserve"> UNEP/MC/COP.6/INF/37.</w:t>
      </w:r>
    </w:p>
  </w:footnote>
  <w:footnote w:id="10">
    <w:p w14:paraId="0DA03EEB" w14:textId="4ED65CFE" w:rsidR="00C65D89" w:rsidRPr="00DE412B" w:rsidRDefault="00300193" w:rsidP="00300193">
      <w:pPr>
        <w:pStyle w:val="Footnote-Text"/>
        <w:rPr>
          <w:szCs w:val="18"/>
        </w:rPr>
      </w:pPr>
      <w:r w:rsidRPr="00300193">
        <w:rPr>
          <w:rStyle w:val="FootnoteReference"/>
          <w:rFonts w:eastAsia="SimSun"/>
          <w:sz w:val="20"/>
        </w:rPr>
        <w:footnoteRef/>
      </w:r>
      <w:r w:rsidR="00C65D89" w:rsidRPr="00DE412B">
        <w:t xml:space="preserve"> UNEP/MC/COP.6/INF/38.</w:t>
      </w:r>
    </w:p>
  </w:footnote>
  <w:footnote w:id="11">
    <w:p w14:paraId="579A76D7" w14:textId="066D8944" w:rsidR="00C65D89" w:rsidRPr="00DE412B" w:rsidRDefault="00300193" w:rsidP="00300193">
      <w:pPr>
        <w:pStyle w:val="Footnote-Text"/>
        <w:rPr>
          <w:szCs w:val="18"/>
        </w:rPr>
      </w:pPr>
      <w:r w:rsidRPr="00300193">
        <w:rPr>
          <w:rStyle w:val="FootnoteReference"/>
          <w:rFonts w:eastAsia="SimSun"/>
          <w:sz w:val="20"/>
        </w:rPr>
        <w:footnoteRef/>
      </w:r>
      <w:r w:rsidR="00C65D89" w:rsidRPr="00DE412B">
        <w:t xml:space="preserve"> UNEP/MC/COP.6/11.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192932BF" w:rsidR="00312042" w:rsidRPr="00300193" w:rsidRDefault="008949EE" w:rsidP="00300193">
    <w:pPr>
      <w:pStyle w:val="Header-pool"/>
    </w:pPr>
    <w:r>
      <w:fldChar w:fldCharType="begin"/>
    </w:r>
    <w:r>
      <w:instrText xml:space="preserve"> StyleRef A_Symbol </w:instrText>
    </w:r>
    <w:r>
      <w:fldChar w:fldCharType="separate"/>
    </w:r>
    <w:r w:rsidR="00BB5702">
      <w:rPr>
        <w:noProof/>
      </w:rPr>
      <w:t>UNEP/MC/COP.6/Dec.21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172E5E79" w:rsidR="00312042" w:rsidRPr="00300193" w:rsidRDefault="008949EE" w:rsidP="00300193">
    <w:pPr>
      <w:pStyle w:val="Header-pool"/>
      <w:jc w:val="right"/>
    </w:pPr>
    <w:r>
      <w:fldChar w:fldCharType="begin"/>
    </w:r>
    <w:r>
      <w:instrText xml:space="preserve"> StyleRef A_Symbol </w:instrText>
    </w:r>
    <w:r>
      <w:fldChar w:fldCharType="separate"/>
    </w:r>
    <w:r w:rsidR="00BB5702">
      <w:rPr>
        <w:noProof/>
      </w:rPr>
      <w:t>UNEP/MC/COP.6/Dec.21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FBB0" w14:textId="77777777" w:rsidR="00DA18FA" w:rsidRDefault="00DA18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39A1"/>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ADA"/>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247"/>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07DF1"/>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2D76"/>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0B47"/>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702"/>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7D0"/>
    <w:rsid w:val="00D97FEC"/>
    <w:rsid w:val="00DA039B"/>
    <w:rsid w:val="00DA18FA"/>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inamataconvention.org/en/parties/v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32AE78C2-BD2D-4BF1-90F4-6930B1338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5</TotalTime>
  <Pages>14</Pages>
  <Words>3957</Words>
  <Characters>22559</Characters>
  <Application>Microsoft Office Word</Application>
  <DocSecurity>0</DocSecurity>
  <PresentationFormat/>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26464</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8</cp:revision>
  <cp:lastPrinted>2026-04-13T18:39:00Z</cp:lastPrinted>
  <dcterms:created xsi:type="dcterms:W3CDTF">2026-04-13T18:39:00Z</dcterms:created>
  <dcterms:modified xsi:type="dcterms:W3CDTF">2026-04-15T10:26:00Z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