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5591EF2A"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B42AEF">
              <w:t>8</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44267BE" w14:textId="0D1423F2" w:rsidR="00312042" w:rsidRPr="00175AD6" w:rsidRDefault="008254E5" w:rsidP="00175AD6">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bookmarkStart w:id="7" w:name="_Toc213853071"/>
    </w:p>
    <w:p w14:paraId="423A2A49" w14:textId="52AD0D21" w:rsidR="008F64AF" w:rsidRPr="007647EB" w:rsidRDefault="008F64AF" w:rsidP="003C458C">
      <w:pPr>
        <w:pStyle w:val="TOC1"/>
        <w:ind w:left="1245"/>
      </w:pPr>
      <w:bookmarkStart w:id="8" w:name="_Toc213853075"/>
      <w:bookmarkStart w:id="9" w:name="_Toc219712816"/>
      <w:bookmarkEnd w:id="7"/>
      <w:r w:rsidRPr="007647EB">
        <w:t>Décision</w:t>
      </w:r>
      <w:r w:rsidR="00312042" w:rsidRPr="007647EB">
        <w:t xml:space="preserve"> MC-6/18</w:t>
      </w:r>
      <w:r w:rsidR="005832DB" w:rsidRPr="007647EB">
        <w:t> </w:t>
      </w:r>
      <w:r w:rsidR="00312042" w:rsidRPr="007647EB">
        <w:t xml:space="preserve">: </w:t>
      </w:r>
      <w:bookmarkEnd w:id="8"/>
      <w:bookmarkEnd w:id="9"/>
      <w:r w:rsidRPr="007647EB">
        <w:t>Feuille de route pour renforcer les avantages mutuels découlant de la mise en œuvre de la Convention de Minamata et du Cadre mondial de la biodiversité de Kunming-Montréal</w:t>
      </w:r>
    </w:p>
    <w:p w14:paraId="4C7500D2" w14:textId="77777777" w:rsidR="008F64AF" w:rsidRPr="007647EB" w:rsidRDefault="008F64AF" w:rsidP="008F64AF">
      <w:pPr>
        <w:pStyle w:val="NormalNonumber"/>
        <w:ind w:firstLine="624"/>
        <w:rPr>
          <w:i/>
          <w:iCs/>
          <w:shd w:val="clear" w:color="auto" w:fill="FFFFFF"/>
        </w:rPr>
      </w:pPr>
      <w:r w:rsidRPr="007647EB">
        <w:rPr>
          <w:i/>
          <w:iCs/>
        </w:rPr>
        <w:t>La Conférence des Parties</w:t>
      </w:r>
      <w:r w:rsidRPr="007647EB">
        <w:t>,</w:t>
      </w:r>
    </w:p>
    <w:p w14:paraId="3FAD4B03" w14:textId="6B0877E9" w:rsidR="008F64AF" w:rsidRPr="007647EB" w:rsidRDefault="008F64AF" w:rsidP="008F64AF">
      <w:pPr>
        <w:pStyle w:val="NormalNonumber"/>
        <w:tabs>
          <w:tab w:val="clear" w:pos="1247"/>
          <w:tab w:val="clear" w:pos="1871"/>
          <w:tab w:val="clear" w:pos="2495"/>
          <w:tab w:val="clear" w:pos="3119"/>
          <w:tab w:val="clear" w:pos="3742"/>
          <w:tab w:val="clear" w:pos="4366"/>
        </w:tabs>
        <w:ind w:firstLine="624"/>
        <w:rPr>
          <w:rStyle w:val="normaltextrun"/>
        </w:rPr>
      </w:pPr>
      <w:r w:rsidRPr="007647EB">
        <w:rPr>
          <w:i/>
          <w:iCs/>
        </w:rPr>
        <w:t>Se félicitant</w:t>
      </w:r>
      <w:r w:rsidRPr="007647EB">
        <w:t xml:space="preserve"> des travaux accomplis par le secrétariat pour donner suite à la décision MC-5/17 sur le mercure et le Cadre mondial de la biodiversité de Kunming-Montréal, y compris la contribution élaborée en réponse aux appels lancés par la Secrétaire exécutive de la Convention sur la diversité biologique au sujet des indicateurs, comme indiqué à la s</w:t>
      </w:r>
      <w:r w:rsidR="008F2E99" w:rsidRPr="007647EB">
        <w:t>ix</w:t>
      </w:r>
      <w:r w:rsidRPr="007647EB">
        <w:t>ième réunion de la Conférence des Parties à la Convention de Minamata</w:t>
      </w:r>
      <w:r w:rsidR="00B67120" w:rsidRPr="007647EB">
        <w:rPr>
          <w:rFonts w:asciiTheme="majorBidi" w:hAnsiTheme="majorBidi" w:cstheme="majorBidi"/>
        </w:rPr>
        <w:t xml:space="preserve"> </w:t>
      </w:r>
      <w:r w:rsidR="00237D69" w:rsidRPr="007647EB">
        <w:rPr>
          <w:rFonts w:asciiTheme="majorBidi" w:hAnsiTheme="majorBidi" w:cstheme="majorBidi"/>
        </w:rPr>
        <w:t>sur le m</w:t>
      </w:r>
      <w:r w:rsidR="00B67120" w:rsidRPr="007647EB">
        <w:rPr>
          <w:rFonts w:asciiTheme="majorBidi" w:hAnsiTheme="majorBidi" w:cstheme="majorBidi"/>
        </w:rPr>
        <w:t>ercur</w:t>
      </w:r>
      <w:r w:rsidR="00237D69" w:rsidRPr="007647EB">
        <w:rPr>
          <w:rFonts w:asciiTheme="majorBidi" w:hAnsiTheme="majorBidi" w:cstheme="majorBidi"/>
        </w:rPr>
        <w:t>e</w:t>
      </w:r>
      <w:r w:rsidRPr="007647EB">
        <w:t>,</w:t>
      </w:r>
    </w:p>
    <w:p w14:paraId="762379F1" w14:textId="40FE8F6B" w:rsidR="008F64AF" w:rsidRPr="007647EB" w:rsidRDefault="008F64AF" w:rsidP="008F64AF">
      <w:pPr>
        <w:pStyle w:val="NormalNonumber"/>
        <w:tabs>
          <w:tab w:val="clear" w:pos="1247"/>
          <w:tab w:val="clear" w:pos="1871"/>
          <w:tab w:val="clear" w:pos="2495"/>
          <w:tab w:val="clear" w:pos="3119"/>
          <w:tab w:val="clear" w:pos="3742"/>
          <w:tab w:val="clear" w:pos="4366"/>
        </w:tabs>
        <w:ind w:firstLine="624"/>
        <w:rPr>
          <w:rFonts w:asciiTheme="majorBidi" w:hAnsiTheme="majorBidi" w:cstheme="majorBidi"/>
          <w:shd w:val="clear" w:color="auto" w:fill="FFFFFF"/>
        </w:rPr>
      </w:pPr>
      <w:r w:rsidRPr="007647EB">
        <w:rPr>
          <w:i/>
          <w:iCs/>
        </w:rPr>
        <w:t>Prenant acte</w:t>
      </w:r>
      <w:r w:rsidRPr="007647EB">
        <w:t xml:space="preserve"> de l</w:t>
      </w:r>
      <w:r w:rsidR="00D82E47" w:rsidRPr="007647EB">
        <w:t>’</w:t>
      </w:r>
      <w:r w:rsidRPr="007647EB">
        <w:t>invitation faite par la Conférence des Parties à la Convention sur la diversité biologique, dans sa décision 16/35, à la Conférence des Parties à la Convention de Minamata, ainsi qu</w:t>
      </w:r>
      <w:r w:rsidR="00D82E47" w:rsidRPr="007647EB">
        <w:t>’</w:t>
      </w:r>
      <w:r w:rsidRPr="007647EB">
        <w:t>aux organes directeurs des autres conventions relatives aux produits chimiques et aux déchets, de l</w:t>
      </w:r>
      <w:r w:rsidR="00D82E47" w:rsidRPr="007647EB">
        <w:t>’</w:t>
      </w:r>
      <w:r w:rsidRPr="007647EB">
        <w:t>Organisation des Nations Unies pour l</w:t>
      </w:r>
      <w:r w:rsidR="00D82E47" w:rsidRPr="007647EB">
        <w:t>’</w:t>
      </w:r>
      <w:r w:rsidRPr="007647EB">
        <w:t>alimentation et l</w:t>
      </w:r>
      <w:r w:rsidR="00D82E47" w:rsidRPr="007647EB">
        <w:t>’</w:t>
      </w:r>
      <w:r w:rsidRPr="007647EB">
        <w:t xml:space="preserve">agriculture et des autres conventions et organisations concernées, y compris le Cadre mondial relatif aux produits chimiques – Pour une planète sans produits chimiques ni déchets nocifs, à collaborer avec les trois conventions de Rio en ce qui concerne la cible 7 du Cadre (réduire la pollution en la portant à des niveaux sans danger pour la biodiversité), </w:t>
      </w:r>
    </w:p>
    <w:p w14:paraId="4A0A1A2C" w14:textId="645BF30A" w:rsidR="008F64AF" w:rsidRPr="007647EB" w:rsidRDefault="008F64AF" w:rsidP="008F64AF">
      <w:pPr>
        <w:pStyle w:val="NormalNonumber"/>
        <w:tabs>
          <w:tab w:val="clear" w:pos="1247"/>
          <w:tab w:val="clear" w:pos="1871"/>
          <w:tab w:val="clear" w:pos="2495"/>
          <w:tab w:val="clear" w:pos="3119"/>
          <w:tab w:val="clear" w:pos="3742"/>
          <w:tab w:val="clear" w:pos="4366"/>
        </w:tabs>
        <w:ind w:firstLine="624"/>
        <w:rPr>
          <w:rStyle w:val="normaltextrun"/>
        </w:rPr>
      </w:pPr>
      <w:r w:rsidRPr="007647EB">
        <w:rPr>
          <w:i/>
          <w:iCs/>
        </w:rPr>
        <w:t>Se félicitant</w:t>
      </w:r>
      <w:r w:rsidRPr="007647EB">
        <w:t xml:space="preserve"> des travaux facilités par le Programme des Nations Unies pour l</w:t>
      </w:r>
      <w:r w:rsidR="00D82E47" w:rsidRPr="007647EB">
        <w:t>’</w:t>
      </w:r>
      <w:r w:rsidRPr="007647EB">
        <w:t>environnement dans le cadre du processus de Berne, y compris les résultats issus de la troisième conférence organisée dans le cadre de ce processus</w:t>
      </w:r>
      <w:r w:rsidR="005A5213" w:rsidRPr="007647EB">
        <w:rPr>
          <w:rStyle w:val="FootnoteReference"/>
          <w:rFonts w:eastAsia="SimSun"/>
        </w:rPr>
        <w:footnoteReference w:id="2"/>
      </w:r>
      <w:r w:rsidRPr="007647EB">
        <w:t>,</w:t>
      </w:r>
    </w:p>
    <w:p w14:paraId="009ADB23" w14:textId="10B60A76" w:rsidR="008F64AF" w:rsidRPr="007647EB" w:rsidRDefault="008F64AF" w:rsidP="00330D4E">
      <w:pPr>
        <w:numPr>
          <w:ilvl w:val="0"/>
          <w:numId w:val="54"/>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rPr>
      </w:pPr>
      <w:r w:rsidRPr="007647EB">
        <w:rPr>
          <w:i/>
          <w:iCs/>
        </w:rPr>
        <w:t>Accueille avec satisfaction</w:t>
      </w:r>
      <w:r w:rsidRPr="007647EB">
        <w:t xml:space="preserve"> la feuille de route pour renforcer les avantages mutuels découlant de la mise en œuvre de la Convention de Minamata </w:t>
      </w:r>
      <w:r w:rsidR="00237D69" w:rsidRPr="007647EB">
        <w:t xml:space="preserve">sur le mercure </w:t>
      </w:r>
      <w:r w:rsidRPr="007647EB">
        <w:t>et du Cadre mondial pour la diversité biologique de Kunming-Montréal d</w:t>
      </w:r>
      <w:r w:rsidR="00D82E47" w:rsidRPr="007647EB">
        <w:t>’</w:t>
      </w:r>
      <w:r w:rsidRPr="007647EB">
        <w:t>ici à 2030</w:t>
      </w:r>
      <w:r w:rsidRPr="007647EB">
        <w:rPr>
          <w:rStyle w:val="FootnoteReference"/>
          <w:rFonts w:eastAsia="SimSun" w:cstheme="majorBidi"/>
          <w:shd w:val="clear" w:color="auto" w:fill="FFFFFF"/>
        </w:rPr>
        <w:footnoteReference w:id="3"/>
      </w:r>
      <w:r w:rsidRPr="007647EB">
        <w:t xml:space="preserve"> élaborée par le secrétariat en application de la décision</w:t>
      </w:r>
      <w:r w:rsidR="00237D69" w:rsidRPr="007647EB">
        <w:t xml:space="preserve"> MC-</w:t>
      </w:r>
      <w:r w:rsidRPr="007647EB">
        <w:t>5/17 ;</w:t>
      </w:r>
    </w:p>
    <w:p w14:paraId="7A297F14" w14:textId="309FA898" w:rsidR="00C421EC" w:rsidRPr="007647EB" w:rsidRDefault="008F64AF" w:rsidP="00330D4E">
      <w:pPr>
        <w:pStyle w:val="NormalNonumber"/>
        <w:numPr>
          <w:ilvl w:val="0"/>
          <w:numId w:val="54"/>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7647EB">
        <w:rPr>
          <w:i/>
          <w:iCs/>
        </w:rPr>
        <w:t>Engage</w:t>
      </w:r>
      <w:r w:rsidRPr="007647EB">
        <w:t xml:space="preserve"> les Parties et les autres parties prenantes concernées, selon qu</w:t>
      </w:r>
      <w:r w:rsidR="00D82E47" w:rsidRPr="007647EB">
        <w:t>’</w:t>
      </w:r>
      <w:r w:rsidRPr="007647EB">
        <w:t>il conviendra, à</w:t>
      </w:r>
      <w:r w:rsidR="003127E5" w:rsidRPr="007647EB">
        <w:t> </w:t>
      </w:r>
      <w:r w:rsidRPr="007647EB">
        <w:t xml:space="preserve">entreprendre </w:t>
      </w:r>
      <w:r w:rsidR="005A5213" w:rsidRPr="007647EB">
        <w:t xml:space="preserve">volontairement </w:t>
      </w:r>
      <w:r w:rsidRPr="007647EB">
        <w:t xml:space="preserve">les mesures </w:t>
      </w:r>
      <w:r w:rsidR="005A5213" w:rsidRPr="007647EB">
        <w:t xml:space="preserve">préconisées </w:t>
      </w:r>
      <w:r w:rsidRPr="007647EB">
        <w:t>dans la feuille de route</w:t>
      </w:r>
      <w:r w:rsidR="009616EE" w:rsidRPr="007647EB">
        <w:rPr>
          <w:rFonts w:asciiTheme="majorBidi" w:hAnsiTheme="majorBidi" w:cstheme="majorBidi"/>
        </w:rPr>
        <w:t xml:space="preserve">, </w:t>
      </w:r>
      <w:r w:rsidR="005A5213" w:rsidRPr="007647EB">
        <w:rPr>
          <w:rFonts w:asciiTheme="majorBidi" w:hAnsiTheme="majorBidi" w:cstheme="majorBidi"/>
        </w:rPr>
        <w:t xml:space="preserve">compte tenu des </w:t>
      </w:r>
      <w:r w:rsidR="005A5213" w:rsidRPr="007647EB">
        <w:rPr>
          <w:rFonts w:asciiTheme="majorBidi" w:hAnsiTheme="majorBidi" w:cstheme="majorBidi"/>
        </w:rPr>
        <w:lastRenderedPageBreak/>
        <w:t>priorités, des circonstances et des capacités nationales, et sous la direction des gouvernements nationaux</w:t>
      </w:r>
      <w:r w:rsidR="00F914A8" w:rsidRPr="007647EB">
        <w:rPr>
          <w:rFonts w:asciiTheme="majorBidi" w:hAnsiTheme="majorBidi" w:cstheme="majorBidi"/>
        </w:rPr>
        <w:t> </w:t>
      </w:r>
      <w:r w:rsidRPr="007647EB">
        <w:t>;</w:t>
      </w:r>
    </w:p>
    <w:p w14:paraId="4B29393A" w14:textId="6E163792" w:rsidR="008F64AF" w:rsidRPr="007647EB" w:rsidRDefault="008F64AF" w:rsidP="00330D4E">
      <w:pPr>
        <w:pStyle w:val="NormalNonumber"/>
        <w:numPr>
          <w:ilvl w:val="0"/>
          <w:numId w:val="54"/>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7647EB">
        <w:rPr>
          <w:i/>
          <w:iCs/>
        </w:rPr>
        <w:t xml:space="preserve">Engage également </w:t>
      </w:r>
      <w:r w:rsidRPr="007647EB">
        <w:t>les Parties et invite les autres gouvernements qui ont soumis des notifications conformément au paragraphe 3 de l</w:t>
      </w:r>
      <w:r w:rsidR="00D82E47" w:rsidRPr="007647EB">
        <w:t>’</w:t>
      </w:r>
      <w:r w:rsidRPr="007647EB">
        <w:t>article 7 sur l</w:t>
      </w:r>
      <w:r w:rsidR="00D82E47" w:rsidRPr="007647EB">
        <w:t>’</w:t>
      </w:r>
      <w:r w:rsidRPr="007647EB">
        <w:t>extraction minière artisanale et à petite échelle d</w:t>
      </w:r>
      <w:r w:rsidR="00D82E47" w:rsidRPr="007647EB">
        <w:t>’</w:t>
      </w:r>
      <w:r w:rsidRPr="007647EB">
        <w:t>or, à utiliser le document d</w:t>
      </w:r>
      <w:r w:rsidR="00D82E47" w:rsidRPr="007647EB">
        <w:t>’</w:t>
      </w:r>
      <w:r w:rsidRPr="007647EB">
        <w:t>appui technique élaboré par le secrétariat sur l</w:t>
      </w:r>
      <w:r w:rsidR="00D82E47" w:rsidRPr="007647EB">
        <w:t>’</w:t>
      </w:r>
      <w:r w:rsidRPr="007647EB">
        <w:t>intégration des mesures de réduction de la pollution par le mercure provenant de l</w:t>
      </w:r>
      <w:r w:rsidR="00D82E47" w:rsidRPr="007647EB">
        <w:t>’</w:t>
      </w:r>
      <w:r w:rsidRPr="007647EB">
        <w:t>extraction minière artisanale et à petite échelle d</w:t>
      </w:r>
      <w:r w:rsidR="00D82E47" w:rsidRPr="007647EB">
        <w:t>’</w:t>
      </w:r>
      <w:r w:rsidRPr="007647EB">
        <w:t>or aux stratégies et plans d</w:t>
      </w:r>
      <w:r w:rsidR="00D82E47" w:rsidRPr="007647EB">
        <w:t>’</w:t>
      </w:r>
      <w:r w:rsidRPr="007647EB">
        <w:t>action nationaux pour la biodiversité alignés sur le Cadre mondial de la biodiversité de Kunming-Montréal</w:t>
      </w:r>
      <w:r w:rsidR="001479CD" w:rsidRPr="007647EB">
        <w:rPr>
          <w:rStyle w:val="FootnoteReference"/>
          <w:rFonts w:eastAsia="SimSun"/>
        </w:rPr>
        <w:footnoteReference w:id="4"/>
      </w:r>
      <w:r w:rsidR="00F763FE" w:rsidRPr="007647EB">
        <w:t>,</w:t>
      </w:r>
      <w:r w:rsidRPr="007647EB">
        <w:t xml:space="preserve"> </w:t>
      </w:r>
      <w:r w:rsidR="00F763FE" w:rsidRPr="007647EB">
        <w:rPr>
          <w:rFonts w:asciiTheme="majorBidi" w:hAnsiTheme="majorBidi" w:cstheme="majorBidi"/>
        </w:rPr>
        <w:t>selon qu</w:t>
      </w:r>
      <w:r w:rsidR="00D82E47" w:rsidRPr="007647EB">
        <w:rPr>
          <w:rFonts w:asciiTheme="majorBidi" w:hAnsiTheme="majorBidi" w:cstheme="majorBidi"/>
        </w:rPr>
        <w:t>’</w:t>
      </w:r>
      <w:r w:rsidR="00F763FE" w:rsidRPr="007647EB">
        <w:rPr>
          <w:rFonts w:asciiTheme="majorBidi" w:hAnsiTheme="majorBidi" w:cstheme="majorBidi"/>
        </w:rPr>
        <w:t>il convient</w:t>
      </w:r>
      <w:r w:rsidR="00763A1D" w:rsidRPr="007647EB">
        <w:rPr>
          <w:rFonts w:asciiTheme="majorBidi" w:hAnsiTheme="majorBidi" w:cstheme="majorBidi"/>
        </w:rPr>
        <w:t xml:space="preserve"> </w:t>
      </w:r>
      <w:r w:rsidR="00F763FE" w:rsidRPr="007647EB">
        <w:rPr>
          <w:rFonts w:asciiTheme="majorBidi" w:hAnsiTheme="majorBidi" w:cstheme="majorBidi"/>
        </w:rPr>
        <w:t xml:space="preserve">et sans </w:t>
      </w:r>
      <w:r w:rsidR="00763A1D" w:rsidRPr="007647EB">
        <w:rPr>
          <w:rFonts w:asciiTheme="majorBidi" w:hAnsiTheme="majorBidi" w:cstheme="majorBidi"/>
        </w:rPr>
        <w:t>pr</w:t>
      </w:r>
      <w:r w:rsidR="00F763FE" w:rsidRPr="007647EB">
        <w:rPr>
          <w:rFonts w:asciiTheme="majorBidi" w:hAnsiTheme="majorBidi" w:cstheme="majorBidi"/>
        </w:rPr>
        <w:t>é</w:t>
      </w:r>
      <w:r w:rsidR="00763A1D" w:rsidRPr="007647EB">
        <w:rPr>
          <w:rFonts w:asciiTheme="majorBidi" w:hAnsiTheme="majorBidi" w:cstheme="majorBidi"/>
        </w:rPr>
        <w:t xml:space="preserve">judice </w:t>
      </w:r>
      <w:r w:rsidR="00F763FE" w:rsidRPr="007647EB">
        <w:rPr>
          <w:rFonts w:asciiTheme="majorBidi" w:hAnsiTheme="majorBidi" w:cstheme="majorBidi"/>
        </w:rPr>
        <w:t xml:space="preserve">des circonstances et des cadres de politique générale </w:t>
      </w:r>
      <w:r w:rsidR="00763A1D" w:rsidRPr="007647EB">
        <w:rPr>
          <w:rFonts w:asciiTheme="majorBidi" w:hAnsiTheme="majorBidi" w:cstheme="majorBidi"/>
        </w:rPr>
        <w:t>nationa</w:t>
      </w:r>
      <w:r w:rsidR="00F763FE" w:rsidRPr="007647EB">
        <w:rPr>
          <w:rFonts w:asciiTheme="majorBidi" w:hAnsiTheme="majorBidi" w:cstheme="majorBidi"/>
        </w:rPr>
        <w:t>ux</w:t>
      </w:r>
      <w:r w:rsidR="00F914A8" w:rsidRPr="007647EB">
        <w:rPr>
          <w:rFonts w:asciiTheme="majorBidi" w:hAnsiTheme="majorBidi" w:cstheme="majorBidi"/>
        </w:rPr>
        <w:t> </w:t>
      </w:r>
      <w:r w:rsidR="00763A1D" w:rsidRPr="007647EB">
        <w:rPr>
          <w:rFonts w:asciiTheme="majorBidi" w:hAnsiTheme="majorBidi" w:cstheme="majorBidi"/>
        </w:rPr>
        <w:t>;</w:t>
      </w:r>
    </w:p>
    <w:p w14:paraId="07853AAB" w14:textId="35D1A4AB" w:rsidR="008F64AF" w:rsidRPr="007647EB" w:rsidRDefault="008F64AF" w:rsidP="00330D4E">
      <w:pPr>
        <w:pStyle w:val="NormalNonumber"/>
        <w:numPr>
          <w:ilvl w:val="0"/>
          <w:numId w:val="54"/>
        </w:numPr>
        <w:tabs>
          <w:tab w:val="clear" w:pos="1247"/>
          <w:tab w:val="clear" w:pos="1871"/>
          <w:tab w:val="clear" w:pos="2495"/>
          <w:tab w:val="clear" w:pos="3119"/>
          <w:tab w:val="clear" w:pos="3742"/>
          <w:tab w:val="clear" w:pos="4366"/>
        </w:tabs>
        <w:ind w:left="1247" w:firstLine="624"/>
        <w:rPr>
          <w:rFonts w:asciiTheme="majorBidi" w:hAnsiTheme="majorBidi" w:cstheme="majorBidi"/>
          <w:shd w:val="clear" w:color="auto" w:fill="FFFFFF"/>
        </w:rPr>
      </w:pPr>
      <w:r w:rsidRPr="007647EB">
        <w:rPr>
          <w:i/>
          <w:iCs/>
        </w:rPr>
        <w:t>Se félicite</w:t>
      </w:r>
      <w:r w:rsidRPr="007647EB">
        <w:t xml:space="preserve"> de la décision de la Conférence des Parties à la Convention sur la diversité biologique d</w:t>
      </w:r>
      <w:r w:rsidR="00D82E47" w:rsidRPr="007647EB">
        <w:t>’</w:t>
      </w:r>
      <w:r w:rsidRPr="007647EB">
        <w:t>inviter la Plateforme intergouvernementale scientifique et politique sur la biodiversité et les services écosystémiques à envisager d</w:t>
      </w:r>
      <w:r w:rsidR="00D82E47" w:rsidRPr="007647EB">
        <w:t>’</w:t>
      </w:r>
      <w:r w:rsidRPr="007647EB">
        <w:t>ajouter une évaluation de la pollution et de la biodiversité à son programme de travail glissant</w:t>
      </w:r>
      <w:r w:rsidRPr="007647EB">
        <w:rPr>
          <w:rStyle w:val="FootnoteReference"/>
          <w:rFonts w:eastAsia="SimSun" w:cstheme="majorBidi"/>
          <w:shd w:val="clear" w:color="auto" w:fill="FFFFFF"/>
        </w:rPr>
        <w:footnoteReference w:id="5"/>
      </w:r>
      <w:r w:rsidRPr="007647EB">
        <w:t xml:space="preserve"> et prie le secrétariat d</w:t>
      </w:r>
      <w:r w:rsidR="00D82E47" w:rsidRPr="007647EB">
        <w:t>’</w:t>
      </w:r>
      <w:r w:rsidRPr="007647EB">
        <w:t xml:space="preserve">amorcer la coopération avec le secrétariat de la Plateforme, </w:t>
      </w:r>
      <w:r w:rsidR="00F763FE" w:rsidRPr="007647EB">
        <w:rPr>
          <w:rFonts w:asciiTheme="majorBidi" w:hAnsiTheme="majorBidi" w:cstheme="majorBidi"/>
          <w:shd w:val="clear" w:color="auto" w:fill="FFFFFF"/>
        </w:rPr>
        <w:t>en évitant toute redondance avec les travaux déjà menés</w:t>
      </w:r>
      <w:r w:rsidR="00C421EC" w:rsidRPr="007647EB">
        <w:rPr>
          <w:rFonts w:asciiTheme="majorBidi" w:hAnsiTheme="majorBidi" w:cstheme="majorBidi"/>
          <w:shd w:val="clear" w:color="auto" w:fill="FFFFFF"/>
        </w:rPr>
        <w:t xml:space="preserve"> </w:t>
      </w:r>
      <w:r w:rsidR="00F763FE" w:rsidRPr="007647EB">
        <w:rPr>
          <w:rFonts w:asciiTheme="majorBidi" w:hAnsiTheme="majorBidi" w:cstheme="majorBidi"/>
          <w:shd w:val="clear" w:color="auto" w:fill="FFFFFF"/>
        </w:rPr>
        <w:t>au titre de la</w:t>
      </w:r>
      <w:r w:rsidR="00C421EC" w:rsidRPr="007647EB">
        <w:rPr>
          <w:rFonts w:asciiTheme="majorBidi" w:hAnsiTheme="majorBidi" w:cstheme="majorBidi"/>
          <w:shd w:val="clear" w:color="auto" w:fill="FFFFFF"/>
        </w:rPr>
        <w:t xml:space="preserve"> </w:t>
      </w:r>
      <w:r w:rsidR="00F763FE" w:rsidRPr="007647EB">
        <w:rPr>
          <w:rFonts w:asciiTheme="majorBidi" w:hAnsiTheme="majorBidi" w:cstheme="majorBidi"/>
          <w:shd w:val="clear" w:color="auto" w:fill="FFFFFF"/>
        </w:rPr>
        <w:t>Convention</w:t>
      </w:r>
      <w:r w:rsidR="00F763FE" w:rsidRPr="007647EB">
        <w:t xml:space="preserve"> de </w:t>
      </w:r>
      <w:r w:rsidR="00C421EC" w:rsidRPr="007647EB">
        <w:rPr>
          <w:rFonts w:asciiTheme="majorBidi" w:hAnsiTheme="majorBidi" w:cstheme="majorBidi"/>
          <w:shd w:val="clear" w:color="auto" w:fill="FFFFFF"/>
        </w:rPr>
        <w:t>Minamata</w:t>
      </w:r>
      <w:r w:rsidR="00F763FE" w:rsidRPr="007647EB">
        <w:rPr>
          <w:rFonts w:asciiTheme="majorBidi" w:hAnsiTheme="majorBidi" w:cstheme="majorBidi"/>
          <w:shd w:val="clear" w:color="auto" w:fill="FFFFFF"/>
        </w:rPr>
        <w:t>,</w:t>
      </w:r>
      <w:r w:rsidR="00C421EC" w:rsidRPr="007647EB">
        <w:rPr>
          <w:rFonts w:asciiTheme="majorBidi" w:hAnsiTheme="majorBidi" w:cstheme="majorBidi"/>
          <w:shd w:val="clear" w:color="auto" w:fill="FFFFFF"/>
        </w:rPr>
        <w:t xml:space="preserve"> </w:t>
      </w:r>
      <w:r w:rsidRPr="007647EB">
        <w:t>en vue d</w:t>
      </w:r>
      <w:r w:rsidR="00D82E47" w:rsidRPr="007647EB">
        <w:t>’</w:t>
      </w:r>
      <w:r w:rsidRPr="007647EB">
        <w:t>étudier les moyens par lesquels les travaux de cette dernière pourraient appuyer la mise en œuvre de la Convention de Minamata ;</w:t>
      </w:r>
    </w:p>
    <w:p w14:paraId="1D28685F" w14:textId="62F86DD0" w:rsidR="008F64AF" w:rsidRPr="007647EB" w:rsidRDefault="008F64AF" w:rsidP="00330D4E">
      <w:pPr>
        <w:pStyle w:val="NormalNonumber"/>
        <w:numPr>
          <w:ilvl w:val="0"/>
          <w:numId w:val="54"/>
        </w:numPr>
        <w:tabs>
          <w:tab w:val="clear" w:pos="1247"/>
          <w:tab w:val="clear" w:pos="1871"/>
          <w:tab w:val="clear" w:pos="2495"/>
          <w:tab w:val="clear" w:pos="3119"/>
          <w:tab w:val="clear" w:pos="3742"/>
          <w:tab w:val="clear" w:pos="4366"/>
        </w:tabs>
        <w:ind w:left="1247" w:firstLine="624"/>
        <w:rPr>
          <w:rStyle w:val="normaltextrun"/>
        </w:rPr>
      </w:pPr>
      <w:r w:rsidRPr="007647EB">
        <w:rPr>
          <w:i/>
          <w:iCs/>
        </w:rPr>
        <w:t>Engage</w:t>
      </w:r>
      <w:r w:rsidRPr="007647EB">
        <w:t xml:space="preserve"> les Parties à participer au processus de Berne et à promouvoir activement la coopération et la cohérence </w:t>
      </w:r>
      <w:r w:rsidR="002C473B" w:rsidRPr="007647EB">
        <w:t xml:space="preserve">des </w:t>
      </w:r>
      <w:r w:rsidRPr="007647EB">
        <w:t>politique</w:t>
      </w:r>
      <w:r w:rsidR="002C473B" w:rsidRPr="007647EB">
        <w:t>s</w:t>
      </w:r>
      <w:r w:rsidRPr="007647EB">
        <w:t xml:space="preserve"> entre les accords multilatéraux sur l</w:t>
      </w:r>
      <w:r w:rsidR="00D82E47" w:rsidRPr="007647EB">
        <w:t>’</w:t>
      </w:r>
      <w:r w:rsidRPr="007647EB">
        <w:t xml:space="preserve">environnement au niveau national, compte tenu des circonstances, des besoins et des priorités </w:t>
      </w:r>
      <w:r w:rsidR="002C473B" w:rsidRPr="007647EB">
        <w:t xml:space="preserve">nationaux, et dans le plein respect de la souveraineté des pays et de leurs politiques, </w:t>
      </w:r>
      <w:r w:rsidRPr="007647EB">
        <w:t>au moyen</w:t>
      </w:r>
      <w:r w:rsidR="00763A1D" w:rsidRPr="007647EB">
        <w:rPr>
          <w:rFonts w:asciiTheme="majorBidi" w:hAnsiTheme="majorBidi" w:cstheme="majorBidi"/>
        </w:rPr>
        <w:t>,</w:t>
      </w:r>
      <w:r w:rsidR="002C473B" w:rsidRPr="007647EB">
        <w:rPr>
          <w:rFonts w:asciiTheme="majorBidi" w:hAnsiTheme="majorBidi" w:cstheme="majorBidi"/>
        </w:rPr>
        <w:t xml:space="preserve"> </w:t>
      </w:r>
      <w:r w:rsidRPr="007647EB">
        <w:t>selon qu</w:t>
      </w:r>
      <w:r w:rsidR="00D82E47" w:rsidRPr="007647EB">
        <w:t>’</w:t>
      </w:r>
      <w:r w:rsidRPr="007647EB">
        <w:t>il conviendra, d</w:t>
      </w:r>
      <w:r w:rsidR="00D82E47" w:rsidRPr="007647EB">
        <w:t>’</w:t>
      </w:r>
      <w:r w:rsidRPr="007647EB">
        <w:t xml:space="preserve">une approche </w:t>
      </w:r>
      <w:r w:rsidR="002C473B" w:rsidRPr="007647EB">
        <w:t>faisant intervenir</w:t>
      </w:r>
      <w:r w:rsidRPr="007647EB">
        <w:t xml:space="preserve"> l</w:t>
      </w:r>
      <w:r w:rsidR="00D82E47" w:rsidRPr="007647EB">
        <w:t>’</w:t>
      </w:r>
      <w:r w:rsidRPr="007647EB">
        <w:t>ensemble des pouvoirs publics et de la société</w:t>
      </w:r>
      <w:r w:rsidR="002C473B" w:rsidRPr="007647EB">
        <w:t>, tout en évitant toute charge de travail supplémentaire</w:t>
      </w:r>
      <w:r w:rsidR="00B620F2" w:rsidRPr="007647EB">
        <w:t xml:space="preserve"> inutile en matière de rapports</w:t>
      </w:r>
      <w:r w:rsidRPr="007647EB">
        <w:t> ;</w:t>
      </w:r>
    </w:p>
    <w:p w14:paraId="3238CB78" w14:textId="02F1986E" w:rsidR="008F64AF" w:rsidRPr="007647EB" w:rsidRDefault="008F64AF" w:rsidP="00330D4E">
      <w:pPr>
        <w:pStyle w:val="NormalNonumber"/>
        <w:keepNext/>
        <w:keepLines/>
        <w:numPr>
          <w:ilvl w:val="0"/>
          <w:numId w:val="54"/>
        </w:numPr>
        <w:tabs>
          <w:tab w:val="clear" w:pos="1247"/>
          <w:tab w:val="clear" w:pos="1871"/>
          <w:tab w:val="clear" w:pos="2495"/>
          <w:tab w:val="clear" w:pos="3119"/>
          <w:tab w:val="clear" w:pos="3742"/>
          <w:tab w:val="clear" w:pos="4366"/>
        </w:tabs>
        <w:ind w:left="1247" w:firstLine="624"/>
      </w:pPr>
      <w:r w:rsidRPr="007647EB">
        <w:rPr>
          <w:i/>
          <w:iCs/>
        </w:rPr>
        <w:t xml:space="preserve">Prie </w:t>
      </w:r>
      <w:r w:rsidRPr="007647EB">
        <w:t>le secrétariat, sous réserve de la disponibilité de ressources, de contribuer à la mise en œuvre de la feuille de route et de poursuivre sa participation au processus de Berne, en collaboration avec d</w:t>
      </w:r>
      <w:r w:rsidR="00D82E47" w:rsidRPr="007647EB">
        <w:t>’</w:t>
      </w:r>
      <w:r w:rsidRPr="007647EB">
        <w:t>autres accords multilatéraux sur l</w:t>
      </w:r>
      <w:r w:rsidR="00D82E47" w:rsidRPr="007647EB">
        <w:t>’</w:t>
      </w:r>
      <w:r w:rsidRPr="007647EB">
        <w:t>environnement</w:t>
      </w:r>
      <w:r w:rsidR="00EB4F6B" w:rsidRPr="007647EB">
        <w:t xml:space="preserve"> et le Programme des Nations</w:t>
      </w:r>
      <w:r w:rsidR="00ED32A3" w:rsidRPr="007647EB">
        <w:t> </w:t>
      </w:r>
      <w:r w:rsidR="00EB4F6B" w:rsidRPr="007647EB">
        <w:t>Unies pour l'environnement, sans créer de nouvelles obligations pour les Parties et sous réserve d'un soutien financier et technique adéquat, en particulier pour les pays en développement</w:t>
      </w:r>
      <w:r w:rsidRPr="007647EB">
        <w:t>.</w:t>
      </w:r>
    </w:p>
    <w:p w14:paraId="7CFE178C" w14:textId="453FA240" w:rsidR="00312042" w:rsidRPr="007647EB" w:rsidRDefault="00312042" w:rsidP="008F152F">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175AD6">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0D33" w14:textId="77777777" w:rsidR="00880F7A" w:rsidRPr="00300193" w:rsidRDefault="00880F7A">
      <w:r w:rsidRPr="00300193">
        <w:separator/>
      </w:r>
    </w:p>
  </w:endnote>
  <w:endnote w:type="continuationSeparator" w:id="0">
    <w:p w14:paraId="629D75E7" w14:textId="77777777" w:rsidR="00880F7A" w:rsidRPr="00300193" w:rsidRDefault="00880F7A">
      <w:r w:rsidRPr="00300193">
        <w:continuationSeparator/>
      </w:r>
    </w:p>
  </w:endnote>
  <w:endnote w:type="continuationNotice" w:id="1">
    <w:p w14:paraId="017E0059" w14:textId="77777777" w:rsidR="00880F7A" w:rsidRPr="00300193" w:rsidRDefault="00880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50890"/>
      <w:docPartObj>
        <w:docPartGallery w:val="Page Numbers (Bottom of Page)"/>
        <w:docPartUnique/>
      </w:docPartObj>
    </w:sdtPr>
    <w:sdtEndPr>
      <w:rPr>
        <w:b/>
        <w:bCs/>
        <w:noProof/>
      </w:rPr>
    </w:sdtEndPr>
    <w:sdtContent>
      <w:p w14:paraId="0C20CF6E" w14:textId="75E705B6" w:rsidR="00175AD6" w:rsidRPr="00A547CC" w:rsidRDefault="00A547CC" w:rsidP="00A547CC">
        <w:pPr>
          <w:pStyle w:val="Footer"/>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414466"/>
      <w:docPartObj>
        <w:docPartGallery w:val="Page Numbers (Bottom of Page)"/>
        <w:docPartUnique/>
      </w:docPartObj>
    </w:sdtPr>
    <w:sdtEndPr>
      <w:rPr>
        <w:b/>
        <w:bCs/>
        <w:noProof/>
      </w:rPr>
    </w:sdtEndPr>
    <w:sdtContent>
      <w:p w14:paraId="7A276A45" w14:textId="0F2FE093" w:rsidR="00175AD6" w:rsidRPr="00A547CC" w:rsidRDefault="00A547CC" w:rsidP="00A547CC">
        <w:pPr>
          <w:pStyle w:val="Footer"/>
          <w:jc w:val="right"/>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24D0CF9" w:rsidR="00CD5597" w:rsidRPr="00175AD6" w:rsidRDefault="00175AD6"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A972" w14:textId="77777777" w:rsidR="00880F7A" w:rsidRPr="00300193" w:rsidRDefault="00880F7A" w:rsidP="00300193">
      <w:pPr>
        <w:pStyle w:val="Footnote-Separator"/>
        <w:ind w:left="624"/>
        <w:rPr>
          <w:szCs w:val="18"/>
        </w:rPr>
      </w:pPr>
      <w:r w:rsidRPr="00300193">
        <w:separator/>
      </w:r>
    </w:p>
  </w:footnote>
  <w:footnote w:type="continuationSeparator" w:id="0">
    <w:p w14:paraId="31CC9A33" w14:textId="77777777" w:rsidR="00880F7A" w:rsidRPr="00300193" w:rsidRDefault="00880F7A" w:rsidP="00300193">
      <w:pPr>
        <w:pStyle w:val="Footnote-Separator"/>
      </w:pPr>
      <w:r w:rsidRPr="00300193">
        <w:continuationSeparator/>
      </w:r>
    </w:p>
  </w:footnote>
  <w:footnote w:type="continuationNotice" w:id="1">
    <w:p w14:paraId="07CE8C63" w14:textId="77777777" w:rsidR="00880F7A" w:rsidRPr="00300193" w:rsidRDefault="00880F7A" w:rsidP="00300193">
      <w:pPr>
        <w:pStyle w:val="ASpacer"/>
      </w:pPr>
    </w:p>
  </w:footnote>
  <w:footnote w:id="2">
    <w:p w14:paraId="01D97E04" w14:textId="16584E98" w:rsidR="005A5213" w:rsidRPr="00300193" w:rsidRDefault="00300193" w:rsidP="00300193">
      <w:pPr>
        <w:pStyle w:val="Footnote-Text"/>
      </w:pPr>
      <w:r w:rsidRPr="00300193">
        <w:rPr>
          <w:rStyle w:val="FootnoteReference"/>
          <w:rFonts w:eastAsia="SimSun"/>
          <w:sz w:val="20"/>
        </w:rPr>
        <w:footnoteRef/>
      </w:r>
      <w:r w:rsidR="005A5213" w:rsidRPr="00300193">
        <w:t xml:space="preserve"> </w:t>
      </w:r>
      <w:r w:rsidR="005A5213" w:rsidRPr="00300193">
        <w:rPr>
          <w:szCs w:val="18"/>
        </w:rPr>
        <w:t xml:space="preserve">Voir </w:t>
      </w:r>
      <w:hyperlink r:id="rId1" w:history="1">
        <w:r w:rsidR="005A5213" w:rsidRPr="00300193">
          <w:rPr>
            <w:rStyle w:val="Hyperlink"/>
            <w:szCs w:val="18"/>
          </w:rPr>
          <w:t>https://www.unep.org/events/conference/bern-iii-conference-cooperation-among-biodiversity-related-conventions</w:t>
        </w:r>
      </w:hyperlink>
      <w:r w:rsidR="005A5213" w:rsidRPr="00300193">
        <w:t>.</w:t>
      </w:r>
    </w:p>
  </w:footnote>
  <w:footnote w:id="3">
    <w:p w14:paraId="7C0EF042" w14:textId="054C75CA" w:rsidR="008F64AF" w:rsidRPr="00300193" w:rsidRDefault="00300193" w:rsidP="00300193">
      <w:pPr>
        <w:pStyle w:val="Footnote-Text"/>
      </w:pPr>
      <w:r w:rsidRPr="00300193">
        <w:rPr>
          <w:rStyle w:val="FootnoteReference"/>
          <w:rFonts w:eastAsia="SimSun"/>
          <w:sz w:val="20"/>
        </w:rPr>
        <w:footnoteRef/>
      </w:r>
      <w:r w:rsidR="008F64AF" w:rsidRPr="00300193">
        <w:t xml:space="preserve"> Telle que présentée dans la section III du document UNEP/MC/COP.6/20.</w:t>
      </w:r>
    </w:p>
  </w:footnote>
  <w:footnote w:id="4">
    <w:p w14:paraId="0ED1FBD0" w14:textId="4DB9C887" w:rsidR="001479CD" w:rsidRPr="00300193" w:rsidRDefault="00300193" w:rsidP="00300193">
      <w:pPr>
        <w:pStyle w:val="Footnote-Text"/>
      </w:pPr>
      <w:r w:rsidRPr="00300193">
        <w:rPr>
          <w:rStyle w:val="FootnoteReference"/>
          <w:rFonts w:eastAsia="SimSun"/>
          <w:sz w:val="20"/>
        </w:rPr>
        <w:footnoteRef/>
      </w:r>
      <w:r w:rsidR="001479CD" w:rsidRPr="00300193">
        <w:t xml:space="preserve"> UNEP/MC/COP.6/INF/27</w:t>
      </w:r>
      <w:r w:rsidR="0010494E">
        <w:t>.</w:t>
      </w:r>
    </w:p>
  </w:footnote>
  <w:footnote w:id="5">
    <w:p w14:paraId="64240B30" w14:textId="54651209" w:rsidR="008F64AF" w:rsidRPr="00300193" w:rsidRDefault="00300193" w:rsidP="00300193">
      <w:pPr>
        <w:pStyle w:val="Footnote-Text"/>
      </w:pPr>
      <w:r w:rsidRPr="00300193">
        <w:rPr>
          <w:rStyle w:val="FootnoteReference"/>
          <w:rFonts w:eastAsia="SimSun"/>
          <w:sz w:val="20"/>
        </w:rPr>
        <w:footnoteRef/>
      </w:r>
      <w:r w:rsidR="008F64AF" w:rsidRPr="00300193">
        <w:t xml:space="preserve"> </w:t>
      </w:r>
      <w:r w:rsidR="005A5213" w:rsidRPr="00C622D5">
        <w:t>Conférence de</w:t>
      </w:r>
      <w:r w:rsidR="005A5213" w:rsidRPr="00300193">
        <w:t xml:space="preserve">s Parties à la </w:t>
      </w:r>
      <w:r w:rsidR="008F64AF" w:rsidRPr="00300193">
        <w:t>Convention sur la diversité biologique, décision 16/11, par.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D80" w14:textId="203EC290" w:rsidR="00175AD6" w:rsidRDefault="00175AD6" w:rsidP="00175AD6">
    <w:pPr>
      <w:pStyle w:val="Header-pool"/>
    </w:pPr>
    <w:r>
      <w:fldChar w:fldCharType="begin"/>
    </w:r>
    <w:r>
      <w:instrText xml:space="preserve"> StyleRef A_Symbol </w:instrText>
    </w:r>
    <w:r>
      <w:fldChar w:fldCharType="separate"/>
    </w:r>
    <w:r w:rsidR="00B42AEF">
      <w:rPr>
        <w:noProof/>
      </w:rPr>
      <w:t>UNEP/MC/COP.6/Dec.18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3143" w14:textId="75E14F3E" w:rsidR="00175AD6" w:rsidRDefault="00A547CC" w:rsidP="00A547CC">
    <w:pPr>
      <w:pStyle w:val="Header-pool"/>
      <w:jc w:val="right"/>
    </w:pPr>
    <w:r>
      <w:fldChar w:fldCharType="begin"/>
    </w:r>
    <w:r>
      <w:instrText xml:space="preserve"> StyleRef A_Symbol </w:instrText>
    </w:r>
    <w:r>
      <w:fldChar w:fldCharType="separate"/>
    </w:r>
    <w:r w:rsidR="00B42AEF">
      <w:rPr>
        <w:noProof/>
      </w:rPr>
      <w:t>UNEP/MC/COP.6/Dec.17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5AD6"/>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07D8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1D7C"/>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4B8"/>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0F7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152F"/>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7CC"/>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29F2"/>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2AEF"/>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1953"/>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428"/>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9BEC65EF-3833-4E6E-863B-997220949BE9}"/>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2</Pages>
  <Words>729</Words>
  <Characters>4157</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4877</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10</cp:revision>
  <cp:lastPrinted>2026-04-13T18:39:00Z</cp:lastPrinted>
  <dcterms:created xsi:type="dcterms:W3CDTF">2026-04-13T18:39:00Z</dcterms:created>
  <dcterms:modified xsi:type="dcterms:W3CDTF">2026-04-15T10:20:00Z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