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437176B7"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A775C3">
              <w:t>1</w:t>
            </w:r>
            <w:r w:rsidR="00CA0037">
              <w:t>7</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5C3AE1A4" w14:textId="4583B019" w:rsidR="00312042" w:rsidRPr="00631C1C" w:rsidRDefault="00312042" w:rsidP="00CA0037">
      <w:pPr>
        <w:pStyle w:val="CH2"/>
      </w:pPr>
      <w:r w:rsidRPr="00631C1C">
        <w:tab/>
      </w:r>
      <w:r w:rsidRPr="00631C1C">
        <w:tab/>
      </w:r>
      <w:bookmarkStart w:id="7" w:name="_Toc213853074"/>
      <w:bookmarkStart w:id="8" w:name="_Toc219712815"/>
      <w:r w:rsidRPr="00631C1C">
        <w:t>Decision MC-6/17: Knowledge management and implementation of the digital strategy</w:t>
      </w:r>
      <w:bookmarkEnd w:id="7"/>
      <w:bookmarkEnd w:id="8"/>
    </w:p>
    <w:p w14:paraId="59EF3475" w14:textId="77777777" w:rsidR="00312042" w:rsidRPr="00631C1C" w:rsidRDefault="00312042" w:rsidP="00312042">
      <w:pPr>
        <w:pStyle w:val="Normal-pool"/>
        <w:tabs>
          <w:tab w:val="clear" w:pos="1247"/>
        </w:tabs>
        <w:spacing w:after="120"/>
        <w:ind w:left="1247" w:firstLine="624"/>
        <w:rPr>
          <w:rFonts w:asciiTheme="majorBidi" w:hAnsiTheme="majorBidi" w:cstheme="majorBidi"/>
          <w:i/>
          <w:iCs/>
        </w:rPr>
      </w:pPr>
      <w:r w:rsidRPr="00631C1C">
        <w:rPr>
          <w:rFonts w:asciiTheme="majorBidi" w:hAnsiTheme="majorBidi" w:cstheme="majorBidi"/>
          <w:i/>
          <w:iCs/>
        </w:rPr>
        <w:t>The Conference of the Parties,</w:t>
      </w:r>
    </w:p>
    <w:p w14:paraId="48BC4B37" w14:textId="3829988F"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Recalling</w:t>
      </w:r>
      <w:r w:rsidRPr="00631C1C">
        <w:rPr>
          <w:rFonts w:asciiTheme="majorBidi" w:hAnsiTheme="majorBidi" w:cstheme="majorBidi"/>
        </w:rPr>
        <w:t xml:space="preserve"> the digital strategy </w:t>
      </w:r>
      <w:r w:rsidR="00765EE7" w:rsidRPr="00631C1C">
        <w:rPr>
          <w:rFonts w:asciiTheme="majorBidi" w:hAnsiTheme="majorBidi" w:cstheme="majorBidi"/>
        </w:rPr>
        <w:t xml:space="preserve">for </w:t>
      </w:r>
      <w:r w:rsidRPr="00631C1C">
        <w:rPr>
          <w:rFonts w:asciiTheme="majorBidi" w:hAnsiTheme="majorBidi" w:cstheme="majorBidi"/>
        </w:rPr>
        <w:t>the Minamata Convention on Mercury,</w:t>
      </w:r>
      <w:r w:rsidR="0036758B">
        <w:rPr>
          <w:rStyle w:val="FootnoteReference"/>
          <w:rFonts w:cstheme="majorBidi"/>
        </w:rPr>
        <w:footnoteReference w:id="2"/>
      </w:r>
      <w:r w:rsidRPr="00631C1C">
        <w:rPr>
          <w:rFonts w:asciiTheme="majorBidi" w:hAnsiTheme="majorBidi" w:cstheme="majorBidi"/>
        </w:rPr>
        <w:t xml:space="preserve"> as noted with appreciation in decision MC-5/16, to guide the work of the secretariat </w:t>
      </w:r>
      <w:r w:rsidRPr="00631C1C" w:rsidDel="00E63E2B">
        <w:rPr>
          <w:rFonts w:asciiTheme="majorBidi" w:hAnsiTheme="majorBidi" w:cstheme="majorBidi"/>
        </w:rPr>
        <w:t xml:space="preserve">in </w:t>
      </w:r>
      <w:r w:rsidRPr="00631C1C">
        <w:rPr>
          <w:rFonts w:asciiTheme="majorBidi" w:hAnsiTheme="majorBidi" w:cstheme="majorBidi"/>
        </w:rPr>
        <w:t>leveraging technology and managing knowledge effectively to support the implementation of the Convention,</w:t>
      </w:r>
    </w:p>
    <w:p w14:paraId="7A9E473B"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Emphasizing </w:t>
      </w:r>
      <w:r w:rsidRPr="00631C1C">
        <w:rPr>
          <w:rFonts w:asciiTheme="majorBidi" w:hAnsiTheme="majorBidi" w:cstheme="majorBidi"/>
        </w:rPr>
        <w:t>the benefits of digitalization in knowledge management and capacity-building for advancing progress towards the objective of the Convention, in accordance with the forward-looking vision of the United Nations 2.0 initiative of fostering innovation, collaboration, and a digital culture across the United Nations system,</w:t>
      </w:r>
    </w:p>
    <w:p w14:paraId="251FA2DD"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i/>
          <w:iCs/>
        </w:rPr>
        <w:t xml:space="preserve">Recognizing </w:t>
      </w:r>
      <w:r w:rsidRPr="00631C1C">
        <w:rPr>
          <w:rFonts w:asciiTheme="majorBidi" w:hAnsiTheme="majorBidi" w:cstheme="majorBidi"/>
        </w:rPr>
        <w:t>the need for information exchange in accordance with articles 17 and 24 of the Convention to facilitate cooperation in the exchange of information between parties and relevant stakeholders,</w:t>
      </w:r>
    </w:p>
    <w:p w14:paraId="49B7B8A6" w14:textId="522F54ED"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1.</w:t>
      </w:r>
      <w:r w:rsidRPr="00631C1C">
        <w:rPr>
          <w:rFonts w:asciiTheme="majorBidi" w:hAnsiTheme="majorBidi" w:cstheme="majorBidi"/>
          <w:i/>
          <w:iCs/>
        </w:rPr>
        <w:tab/>
        <w:t>Welcomes</w:t>
      </w:r>
      <w:r w:rsidRPr="00631C1C">
        <w:rPr>
          <w:rFonts w:asciiTheme="majorBidi" w:hAnsiTheme="majorBidi" w:cstheme="majorBidi"/>
        </w:rPr>
        <w:t xml:space="preserve"> the progress made by the secretariat in implementing the digital strategy during the biennium 2024–2025;</w:t>
      </w:r>
      <w:r w:rsidR="00086C02" w:rsidRPr="00631C1C">
        <w:rPr>
          <w:rFonts w:asciiTheme="majorBidi" w:hAnsiTheme="majorBidi" w:cstheme="majorBidi"/>
          <w:shd w:val="clear" w:color="auto" w:fill="FFFFFF"/>
          <w:vertAlign w:val="superscript"/>
        </w:rPr>
        <w:footnoteReference w:id="3"/>
      </w:r>
    </w:p>
    <w:p w14:paraId="28339345"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2.</w:t>
      </w:r>
      <w:r w:rsidRPr="00631C1C">
        <w:tab/>
      </w:r>
      <w:r w:rsidRPr="00631C1C">
        <w:rPr>
          <w:rFonts w:asciiTheme="majorBidi" w:hAnsiTheme="majorBidi" w:cstheme="majorBidi"/>
          <w:i/>
          <w:iCs/>
        </w:rPr>
        <w:t>Requests</w:t>
      </w:r>
      <w:r w:rsidRPr="00631C1C">
        <w:rPr>
          <w:rFonts w:asciiTheme="majorBidi" w:hAnsiTheme="majorBidi" w:cstheme="majorBidi"/>
        </w:rPr>
        <w:t xml:space="preserve"> the secretariat to continue the implementation of the digital strategy in accordance with the programme of work and budget for the Minamata Convention on Mercury for the biennium 2026–2027 and to prioritize relevant activities for progressive advancement of the strategy in future bienniums, </w:t>
      </w:r>
      <w:r w:rsidRPr="00B92164">
        <w:rPr>
          <w:rFonts w:asciiTheme="majorBidi" w:hAnsiTheme="majorBidi" w:cstheme="majorBidi"/>
        </w:rPr>
        <w:t>including the potential for the use of artificial intelligence</w:t>
      </w:r>
      <w:r w:rsidRPr="00631C1C">
        <w:rPr>
          <w:rFonts w:asciiTheme="majorBidi" w:hAnsiTheme="majorBidi" w:cstheme="majorBidi"/>
        </w:rPr>
        <w:t>;</w:t>
      </w:r>
    </w:p>
    <w:p w14:paraId="5DA5852C" w14:textId="693CA163"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3.</w:t>
      </w:r>
      <w:r w:rsidRPr="00631C1C">
        <w:tab/>
      </w:r>
      <w:r w:rsidRPr="00631C1C">
        <w:rPr>
          <w:rFonts w:asciiTheme="majorBidi" w:hAnsiTheme="majorBidi" w:cstheme="majorBidi"/>
          <w:i/>
          <w:iCs/>
        </w:rPr>
        <w:t>Recognizes</w:t>
      </w:r>
      <w:r w:rsidRPr="00631C1C">
        <w:rPr>
          <w:rFonts w:asciiTheme="majorBidi" w:hAnsiTheme="majorBidi" w:cstheme="majorBidi"/>
        </w:rPr>
        <w:t xml:space="preserve"> the Convention website as the primary source of public information and knowledge about the Convention, and requests the secretariat to keep it updated in accordance with the digital strategy;</w:t>
      </w:r>
    </w:p>
    <w:p w14:paraId="31F2D149" w14:textId="0DE8680B"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4.</w:t>
      </w:r>
      <w:r w:rsidRPr="00631C1C">
        <w:tab/>
      </w:r>
      <w:r w:rsidRPr="00631C1C">
        <w:rPr>
          <w:rFonts w:asciiTheme="majorBidi" w:hAnsiTheme="majorBidi" w:cstheme="majorBidi"/>
          <w:i/>
          <w:iCs/>
        </w:rPr>
        <w:t>Agrees</w:t>
      </w:r>
      <w:r w:rsidRPr="00631C1C">
        <w:rPr>
          <w:rFonts w:asciiTheme="majorBidi" w:hAnsiTheme="majorBidi" w:cstheme="majorBidi"/>
        </w:rPr>
        <w:t xml:space="preserve"> to support the development of the Minamata </w:t>
      </w:r>
      <w:r w:rsidRPr="00B92164">
        <w:rPr>
          <w:rFonts w:asciiTheme="majorBidi" w:hAnsiTheme="majorBidi" w:cstheme="majorBidi"/>
        </w:rPr>
        <w:t xml:space="preserve">Convention </w:t>
      </w:r>
      <w:r w:rsidRPr="00631C1C">
        <w:rPr>
          <w:rFonts w:asciiTheme="majorBidi" w:hAnsiTheme="majorBidi" w:cstheme="majorBidi"/>
        </w:rPr>
        <w:t xml:space="preserve">Exchange Platform </w:t>
      </w:r>
      <w:r w:rsidRPr="00B92164">
        <w:rPr>
          <w:rFonts w:asciiTheme="majorBidi" w:hAnsiTheme="majorBidi" w:cstheme="majorBidi"/>
        </w:rPr>
        <w:t>as a cost-effective and transparent vehicle</w:t>
      </w:r>
      <w:r w:rsidRPr="00631C1C">
        <w:rPr>
          <w:rFonts w:asciiTheme="majorBidi" w:hAnsiTheme="majorBidi" w:cstheme="majorBidi"/>
        </w:rPr>
        <w:t xml:space="preserve"> for information exchange pursuant to articles 17 and 24, subject to the availability of resources;</w:t>
      </w:r>
    </w:p>
    <w:p w14:paraId="4B53B15D" w14:textId="13D97EEE"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5.</w:t>
      </w:r>
      <w:r w:rsidRPr="00631C1C">
        <w:tab/>
      </w:r>
      <w:r w:rsidRPr="00631C1C">
        <w:rPr>
          <w:rFonts w:asciiTheme="majorBidi" w:hAnsiTheme="majorBidi" w:cstheme="majorBidi"/>
          <w:i/>
          <w:iCs/>
        </w:rPr>
        <w:t>Encourages</w:t>
      </w:r>
      <w:r w:rsidRPr="00631C1C">
        <w:rPr>
          <w:rFonts w:asciiTheme="majorBidi" w:hAnsiTheme="majorBidi" w:cstheme="majorBidi"/>
        </w:rPr>
        <w:t xml:space="preserve"> the secretariat, </w:t>
      </w:r>
      <w:r w:rsidRPr="00B92164">
        <w:rPr>
          <w:rFonts w:asciiTheme="majorBidi" w:hAnsiTheme="majorBidi" w:cstheme="majorBidi"/>
        </w:rPr>
        <w:t>subject to the availability of resources</w:t>
      </w:r>
      <w:r w:rsidRPr="00631C1C">
        <w:rPr>
          <w:rFonts w:asciiTheme="majorBidi" w:hAnsiTheme="majorBidi" w:cstheme="majorBidi"/>
        </w:rPr>
        <w:t xml:space="preserve">, to continue cooperation and coordination activities with the Global Mercury Partnership to advance shared </w:t>
      </w:r>
      <w:r w:rsidRPr="00631C1C">
        <w:rPr>
          <w:rFonts w:asciiTheme="majorBidi" w:hAnsiTheme="majorBidi" w:cstheme="majorBidi"/>
        </w:rPr>
        <w:lastRenderedPageBreak/>
        <w:t>knowledge initiatives concerning mercury-related issues, including the joint development of data products, communication tools and knowledge platforms, while ensuring complementarity;</w:t>
      </w:r>
    </w:p>
    <w:p w14:paraId="64C82070"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6.</w:t>
      </w:r>
      <w:r w:rsidRPr="00631C1C">
        <w:tab/>
      </w:r>
      <w:r w:rsidRPr="00631C1C">
        <w:rPr>
          <w:rFonts w:asciiTheme="majorBidi" w:hAnsiTheme="majorBidi" w:cstheme="majorBidi"/>
          <w:i/>
          <w:iCs/>
        </w:rPr>
        <w:t>Requests</w:t>
      </w:r>
      <w:r w:rsidRPr="00631C1C">
        <w:rPr>
          <w:rFonts w:asciiTheme="majorBidi" w:hAnsiTheme="majorBidi" w:cstheme="majorBidi"/>
        </w:rPr>
        <w:t xml:space="preserve"> the secretariat to continue collaborating with the secretariats of other multilateral environmental agreements and other partners, including the United Nations Information Portal on Multilateral Environmental Agreements (</w:t>
      </w:r>
      <w:proofErr w:type="spellStart"/>
      <w:r w:rsidRPr="00631C1C">
        <w:rPr>
          <w:rFonts w:asciiTheme="majorBidi" w:hAnsiTheme="majorBidi" w:cstheme="majorBidi"/>
        </w:rPr>
        <w:t>InforMEA</w:t>
      </w:r>
      <w:proofErr w:type="spellEnd"/>
      <w:r w:rsidRPr="00631C1C">
        <w:rPr>
          <w:rFonts w:asciiTheme="majorBidi" w:hAnsiTheme="majorBidi" w:cstheme="majorBidi"/>
        </w:rPr>
        <w:t>) initiative, on knowledge management, digitalization and information exchange;</w:t>
      </w:r>
    </w:p>
    <w:p w14:paraId="6C9158DA" w14:textId="77777777" w:rsidR="00312042" w:rsidRPr="00631C1C"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7.</w:t>
      </w:r>
      <w:r w:rsidRPr="00631C1C">
        <w:tab/>
      </w:r>
      <w:r w:rsidRPr="00631C1C">
        <w:rPr>
          <w:rFonts w:asciiTheme="majorBidi" w:hAnsiTheme="majorBidi" w:cstheme="majorBidi"/>
          <w:i/>
          <w:iCs/>
        </w:rPr>
        <w:t xml:space="preserve">Also requests </w:t>
      </w:r>
      <w:r w:rsidRPr="00631C1C">
        <w:rPr>
          <w:rFonts w:asciiTheme="majorBidi" w:hAnsiTheme="majorBidi" w:cstheme="majorBidi"/>
        </w:rPr>
        <w:t>the secretariat to continue collaborating with the secretariat of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to exchange information and share experiences and best practices relating to knowledge management and digitalization;</w:t>
      </w:r>
    </w:p>
    <w:p w14:paraId="339650A6" w14:textId="77777777" w:rsidR="00312042" w:rsidRDefault="00312042" w:rsidP="00312042">
      <w:pPr>
        <w:pStyle w:val="Normal-pool"/>
        <w:tabs>
          <w:tab w:val="clear" w:pos="1247"/>
        </w:tabs>
        <w:spacing w:after="120"/>
        <w:ind w:left="1247" w:firstLine="624"/>
        <w:rPr>
          <w:rFonts w:asciiTheme="majorBidi" w:hAnsiTheme="majorBidi" w:cstheme="majorBidi"/>
        </w:rPr>
      </w:pPr>
      <w:r w:rsidRPr="00631C1C">
        <w:rPr>
          <w:rFonts w:asciiTheme="majorBidi" w:hAnsiTheme="majorBidi" w:cstheme="majorBidi"/>
        </w:rPr>
        <w:t>8.</w:t>
      </w:r>
      <w:r w:rsidRPr="00631C1C">
        <w:tab/>
      </w:r>
      <w:r w:rsidRPr="00631C1C">
        <w:rPr>
          <w:rFonts w:asciiTheme="majorBidi" w:hAnsiTheme="majorBidi" w:cstheme="majorBidi"/>
          <w:i/>
          <w:iCs/>
        </w:rPr>
        <w:t>Further requests</w:t>
      </w:r>
      <w:r w:rsidRPr="00631C1C">
        <w:rPr>
          <w:rFonts w:asciiTheme="majorBidi" w:hAnsiTheme="majorBidi" w:cstheme="majorBidi"/>
        </w:rPr>
        <w:t xml:space="preserve"> the secretariat to report on progress in the implementation of the digital strategy to the Conference of the Parties at its seventh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468BC192"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54755F">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7B2E" w14:textId="77777777" w:rsidR="002C6038" w:rsidRPr="00CD5597" w:rsidRDefault="002C6038">
      <w:r w:rsidRPr="00CD5597">
        <w:separator/>
      </w:r>
    </w:p>
  </w:endnote>
  <w:endnote w:type="continuationSeparator" w:id="0">
    <w:p w14:paraId="212AD460" w14:textId="77777777" w:rsidR="002C6038" w:rsidRPr="00CD5597" w:rsidRDefault="002C6038">
      <w:r w:rsidRPr="00CD5597">
        <w:continuationSeparator/>
      </w:r>
    </w:p>
  </w:endnote>
  <w:endnote w:type="continuationNotice" w:id="1">
    <w:p w14:paraId="51E057C2" w14:textId="77777777" w:rsidR="002C6038" w:rsidRDefault="002C6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303906"/>
      <w:docPartObj>
        <w:docPartGallery w:val="Page Numbers (Bottom of Page)"/>
        <w:docPartUnique/>
      </w:docPartObj>
    </w:sdtPr>
    <w:sdtEndPr>
      <w:rPr>
        <w:b/>
        <w:bCs/>
        <w:noProof/>
      </w:rPr>
    </w:sdtEndPr>
    <w:sdtContent>
      <w:p w14:paraId="3D6BF299" w14:textId="236CA0B6" w:rsidR="0054755F" w:rsidRPr="0054755F" w:rsidRDefault="0054755F" w:rsidP="0054755F">
        <w:pPr>
          <w:pStyle w:val="Footer"/>
          <w:rPr>
            <w:b/>
            <w:bCs/>
          </w:rPr>
        </w:pPr>
        <w:r w:rsidRPr="0054755F">
          <w:rPr>
            <w:b/>
            <w:bCs/>
          </w:rPr>
          <w:fldChar w:fldCharType="begin"/>
        </w:r>
        <w:r w:rsidRPr="0054755F">
          <w:rPr>
            <w:b/>
            <w:bCs/>
          </w:rPr>
          <w:instrText xml:space="preserve"> PAGE   \* MERGEFORMAT </w:instrText>
        </w:r>
        <w:r w:rsidRPr="0054755F">
          <w:rPr>
            <w:b/>
            <w:bCs/>
          </w:rPr>
          <w:fldChar w:fldCharType="separate"/>
        </w:r>
        <w:r w:rsidRPr="0054755F">
          <w:rPr>
            <w:b/>
            <w:bCs/>
            <w:noProof/>
          </w:rPr>
          <w:t>2</w:t>
        </w:r>
        <w:r w:rsidRPr="0054755F">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4DC8B0E6" w:rsidR="00CD5597" w:rsidRPr="0054755F" w:rsidRDefault="0054755F"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9607" w14:textId="77777777" w:rsidR="002C6038" w:rsidRPr="00CD5597" w:rsidRDefault="002C6038" w:rsidP="00C70B49">
      <w:pPr>
        <w:pStyle w:val="Footnote-Separator"/>
        <w:rPr>
          <w:szCs w:val="18"/>
        </w:rPr>
      </w:pPr>
      <w:r w:rsidRPr="00CD5597">
        <w:separator/>
      </w:r>
    </w:p>
  </w:footnote>
  <w:footnote w:type="continuationSeparator" w:id="0">
    <w:p w14:paraId="52BC9A3E" w14:textId="77777777" w:rsidR="002C6038" w:rsidRPr="00CD5597" w:rsidRDefault="002C6038" w:rsidP="00C70B49">
      <w:pPr>
        <w:pStyle w:val="Footnote-Separator"/>
      </w:pPr>
      <w:r w:rsidRPr="00CD5597">
        <w:continuationSeparator/>
      </w:r>
    </w:p>
  </w:footnote>
  <w:footnote w:type="continuationNotice" w:id="1">
    <w:p w14:paraId="585B3BE4" w14:textId="77777777" w:rsidR="002C6038" w:rsidRPr="00CD5597" w:rsidRDefault="002C6038" w:rsidP="00C70B49">
      <w:pPr>
        <w:pStyle w:val="ASpacer"/>
      </w:pPr>
    </w:p>
  </w:footnote>
  <w:footnote w:id="2">
    <w:p w14:paraId="29046661" w14:textId="0CD609CF" w:rsidR="0036758B" w:rsidRPr="0036758B" w:rsidRDefault="0036758B" w:rsidP="0036758B">
      <w:pPr>
        <w:pStyle w:val="Footnote-Text"/>
        <w:rPr>
          <w:lang w:val="en-US"/>
        </w:rPr>
      </w:pPr>
      <w:r>
        <w:rPr>
          <w:rStyle w:val="FootnoteReference"/>
        </w:rPr>
        <w:footnoteRef/>
      </w:r>
      <w:r>
        <w:t xml:space="preserve"> </w:t>
      </w:r>
      <w:r w:rsidRPr="00631C1C">
        <w:t>UNEP/MC/COP.5/19, annex I.</w:t>
      </w:r>
    </w:p>
  </w:footnote>
  <w:footnote w:id="3">
    <w:p w14:paraId="7CD9D7D1" w14:textId="5C744986" w:rsidR="00086C02" w:rsidRPr="00631C1C" w:rsidRDefault="00086C02" w:rsidP="00086C02">
      <w:pPr>
        <w:pStyle w:val="Footnote-Text"/>
        <w:rPr>
          <w:szCs w:val="18"/>
        </w:rPr>
      </w:pPr>
      <w:r w:rsidRPr="00631C1C">
        <w:rPr>
          <w:rStyle w:val="FootnoteReference"/>
          <w:sz w:val="18"/>
        </w:rPr>
        <w:footnoteRef/>
      </w:r>
      <w:r w:rsidRPr="00631C1C">
        <w:rPr>
          <w:szCs w:val="18"/>
        </w:rPr>
        <w:t xml:space="preserve"> As </w:t>
      </w:r>
      <w:r>
        <w:t xml:space="preserve">outlined in document </w:t>
      </w:r>
      <w:r w:rsidRPr="003F5EDF">
        <w:t>UNEP/MC/COP.6/19</w:t>
      </w:r>
      <w:r w:rsidRPr="00631C1C">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3894FF7" w:rsidR="002C072B" w:rsidRDefault="00703E96" w:rsidP="00703E96">
    <w:pPr>
      <w:pStyle w:val="Header-pool"/>
    </w:pPr>
    <w:r>
      <w:fldChar w:fldCharType="begin"/>
    </w:r>
    <w:r>
      <w:instrText xml:space="preserve"> StyleRef A_Symbol </w:instrText>
    </w:r>
    <w:r>
      <w:fldChar w:fldCharType="separate"/>
    </w:r>
    <w:r w:rsidR="0054755F">
      <w:rPr>
        <w:noProof/>
      </w:rPr>
      <w:t>UNEP/MC/COP.6/Dec.17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09336E0C" w:rsidR="002C072B" w:rsidRDefault="00703E96" w:rsidP="00703E96">
    <w:pPr>
      <w:pStyle w:val="Header-pool"/>
      <w:jc w:val="right"/>
    </w:pPr>
    <w:r>
      <w:fldChar w:fldCharType="begin"/>
    </w:r>
    <w:r>
      <w:instrText xml:space="preserve"> StyleRef A_Symbol </w:instrText>
    </w:r>
    <w:r>
      <w:fldChar w:fldCharType="separate"/>
    </w:r>
    <w:r w:rsidR="0054755F">
      <w:rPr>
        <w:noProof/>
      </w:rPr>
      <w:t>UNEP/MC/COP.6/Dec.17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7AA"/>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C6038"/>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391"/>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56A6"/>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14E7"/>
    <w:rsid w:val="00532E47"/>
    <w:rsid w:val="00533786"/>
    <w:rsid w:val="005340CD"/>
    <w:rsid w:val="005344AB"/>
    <w:rsid w:val="0053492C"/>
    <w:rsid w:val="005349EB"/>
    <w:rsid w:val="0053589B"/>
    <w:rsid w:val="00536186"/>
    <w:rsid w:val="00536826"/>
    <w:rsid w:val="005370B9"/>
    <w:rsid w:val="005414BE"/>
    <w:rsid w:val="005439E0"/>
    <w:rsid w:val="00543AC8"/>
    <w:rsid w:val="00544CBB"/>
    <w:rsid w:val="00546438"/>
    <w:rsid w:val="0054668F"/>
    <w:rsid w:val="0054755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2CB5"/>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3C95"/>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3EF4"/>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24B"/>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775C3"/>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16CC"/>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2ADB"/>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B7BC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037"/>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00B"/>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12</TotalTime>
  <Pages>2</Pages>
  <Words>523</Words>
  <Characters>2986</Characters>
  <Application>Microsoft Office Word</Application>
  <DocSecurity>0</DocSecurity>
  <PresentationFormat/>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3502</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20</cp:revision>
  <cp:lastPrinted>2026-03-17T15:22:00Z</cp:lastPrinted>
  <dcterms:created xsi:type="dcterms:W3CDTF">2026-03-17T15:21:00Z</dcterms:created>
  <dcterms:modified xsi:type="dcterms:W3CDTF">2026-04-14T11:49:00Z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