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78BF1AC3" w:rsidR="007E73EA" w:rsidRPr="00035D73" w:rsidRDefault="007E73EA" w:rsidP="00907D21">
            <w:pPr>
              <w:pStyle w:val="ASymbol"/>
              <w:rPr>
                <w:lang w:eastAsia="zh-CN"/>
              </w:rPr>
            </w:pPr>
            <w:r w:rsidRPr="00035D73">
              <w:rPr>
                <w:b/>
                <w:sz w:val="28"/>
              </w:rPr>
              <w:t>UNEP</w:t>
            </w:r>
            <w:r w:rsidRPr="00035D73">
              <w:t>/MC/COP.6</w:t>
            </w:r>
            <w:r>
              <w:t>/</w:t>
            </w:r>
            <w:r w:rsidR="00060AA9">
              <w:t>Dec.1</w:t>
            </w:r>
            <w:r w:rsidR="001F293E">
              <w:t>7</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5C3AE1A4" w14:textId="01A507ED" w:rsidR="00312042" w:rsidRPr="00BE0F79" w:rsidRDefault="00312042" w:rsidP="001F293E">
      <w:pPr>
        <w:pStyle w:val="CH2"/>
        <w:rPr>
          <w:rFonts w:eastAsia="SimHei"/>
          <w:sz w:val="28"/>
          <w:szCs w:val="28"/>
          <w:lang w:eastAsia="zh-CN"/>
        </w:rPr>
      </w:pPr>
      <w:r>
        <w:rPr>
          <w:lang w:val="zh-CN"/>
        </w:rPr>
        <w:tab/>
      </w:r>
      <w:r>
        <w:rPr>
          <w:lang w:val="zh-CN"/>
        </w:rPr>
        <w:tab/>
      </w:r>
      <w:bookmarkStart w:id="0" w:name="_Toc213853074"/>
      <w:bookmarkStart w:id="1" w:name="_Toc221799048"/>
      <w:r w:rsidRPr="00BE0F79">
        <w:rPr>
          <w:rFonts w:eastAsia="SimHei"/>
          <w:bCs/>
          <w:sz w:val="28"/>
          <w:szCs w:val="28"/>
          <w:lang w:val="zh-CN" w:eastAsia="zh-CN"/>
        </w:rPr>
        <w:t>MC-6/17</w:t>
      </w:r>
      <w:r w:rsidRPr="00BE0F79">
        <w:rPr>
          <w:rFonts w:eastAsia="SimHei"/>
          <w:bCs/>
          <w:sz w:val="28"/>
          <w:szCs w:val="28"/>
          <w:lang w:val="zh-CN" w:eastAsia="zh-CN"/>
        </w:rPr>
        <w:t>号决定：知识管理和数字战略的执行</w:t>
      </w:r>
      <w:bookmarkEnd w:id="0"/>
      <w:bookmarkEnd w:id="1"/>
    </w:p>
    <w:p w14:paraId="59EF3475" w14:textId="77777777" w:rsidR="00312042" w:rsidRPr="007E2484" w:rsidRDefault="00312042" w:rsidP="007E2484">
      <w:pPr>
        <w:pStyle w:val="Normal-pool"/>
        <w:tabs>
          <w:tab w:val="clear" w:pos="1247"/>
        </w:tabs>
        <w:spacing w:after="120"/>
        <w:ind w:left="1253" w:firstLine="619"/>
        <w:jc w:val="both"/>
        <w:rPr>
          <w:rFonts w:ascii="KaiTi" w:eastAsia="KaiTi" w:hAnsi="KaiTi"/>
          <w:sz w:val="24"/>
          <w:szCs w:val="24"/>
          <w:lang w:eastAsia="zh-CN"/>
        </w:rPr>
      </w:pPr>
      <w:r w:rsidRPr="007E2484">
        <w:rPr>
          <w:rFonts w:ascii="KaiTi" w:eastAsia="KaiTi" w:hAnsi="KaiTi"/>
          <w:sz w:val="24"/>
          <w:szCs w:val="24"/>
          <w:lang w:val="zh-CN" w:eastAsia="zh-CN"/>
        </w:rPr>
        <w:t>缔约方大会，</w:t>
      </w:r>
    </w:p>
    <w:p w14:paraId="48BC4B37" w14:textId="6C861628"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ascii="KaiTi" w:eastAsia="KaiTi" w:hAnsi="KaiTi"/>
          <w:spacing w:val="-6"/>
          <w:sz w:val="24"/>
          <w:szCs w:val="24"/>
          <w:lang w:val="zh-CN" w:eastAsia="zh-CN"/>
        </w:rPr>
        <w:t>回顾</w:t>
      </w:r>
      <w:r w:rsidRPr="007E2484">
        <w:rPr>
          <w:rFonts w:eastAsia="SimSun"/>
          <w:spacing w:val="-6"/>
          <w:sz w:val="24"/>
          <w:szCs w:val="24"/>
          <w:lang w:val="zh-CN" w:eastAsia="zh-CN"/>
        </w:rPr>
        <w:t>MC-5/16</w:t>
      </w:r>
      <w:r w:rsidRPr="007E2484">
        <w:rPr>
          <w:rFonts w:eastAsia="SimSun"/>
          <w:spacing w:val="-6"/>
          <w:sz w:val="24"/>
          <w:szCs w:val="24"/>
          <w:lang w:val="zh-CN" w:eastAsia="zh-CN"/>
        </w:rPr>
        <w:t>号</w:t>
      </w:r>
      <w:proofErr w:type="gramStart"/>
      <w:r w:rsidRPr="007E2484">
        <w:rPr>
          <w:rFonts w:eastAsia="SimSun"/>
          <w:spacing w:val="-6"/>
          <w:sz w:val="24"/>
          <w:szCs w:val="24"/>
          <w:lang w:val="zh-CN" w:eastAsia="zh-CN"/>
        </w:rPr>
        <w:t>决定赞赏</w:t>
      </w:r>
      <w:proofErr w:type="gramEnd"/>
      <w:r w:rsidRPr="007E2484">
        <w:rPr>
          <w:rFonts w:eastAsia="SimSun"/>
          <w:spacing w:val="-6"/>
          <w:sz w:val="24"/>
          <w:szCs w:val="24"/>
          <w:lang w:val="zh-CN" w:eastAsia="zh-CN"/>
        </w:rPr>
        <w:t>地注意到的《关于汞的水俣公约》的数字战略，</w:t>
      </w:r>
      <w:r w:rsidR="0036758B" w:rsidRPr="007E2484">
        <w:rPr>
          <w:rStyle w:val="FootnoteReference"/>
          <w:spacing w:val="-6"/>
          <w:w w:val="100"/>
          <w:position w:val="0"/>
          <w:sz w:val="24"/>
          <w:szCs w:val="24"/>
          <w:lang w:val="zh-CN"/>
        </w:rPr>
        <w:footnoteReference w:id="2"/>
      </w:r>
      <w:r w:rsidRPr="007E2484">
        <w:rPr>
          <w:rFonts w:eastAsia="SimSun"/>
          <w:sz w:val="24"/>
          <w:szCs w:val="24"/>
          <w:lang w:val="zh-CN" w:eastAsia="zh-CN"/>
        </w:rPr>
        <w:t>该战略旨在指导秘书处有效利用技术和管理知识来支持《公约》的执行工作；</w:t>
      </w:r>
    </w:p>
    <w:p w14:paraId="7A9E473B"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ascii="KaiTi" w:eastAsia="KaiTi" w:hAnsi="KaiTi"/>
          <w:sz w:val="24"/>
          <w:szCs w:val="24"/>
          <w:lang w:val="zh-CN" w:eastAsia="zh-CN"/>
        </w:rPr>
        <w:t>强调</w:t>
      </w:r>
      <w:r w:rsidRPr="007E2484">
        <w:rPr>
          <w:rFonts w:eastAsia="SimSun"/>
          <w:sz w:val="24"/>
          <w:szCs w:val="24"/>
          <w:lang w:val="zh-CN" w:eastAsia="zh-CN"/>
        </w:rPr>
        <w:t>根据联合国</w:t>
      </w:r>
      <w:r w:rsidRPr="007E2484">
        <w:rPr>
          <w:rFonts w:eastAsia="SimSun"/>
          <w:sz w:val="24"/>
          <w:szCs w:val="24"/>
          <w:lang w:val="zh-CN" w:eastAsia="zh-CN"/>
        </w:rPr>
        <w:t>2.0</w:t>
      </w:r>
      <w:r w:rsidRPr="007E2484">
        <w:rPr>
          <w:rFonts w:eastAsia="SimSun"/>
          <w:sz w:val="24"/>
          <w:szCs w:val="24"/>
          <w:lang w:val="zh-CN" w:eastAsia="zh-CN"/>
        </w:rPr>
        <w:t>倡议关于在整个联合国系统促进创新、协作和数字文化的前瞻性愿景，知识管理和能力建设数字化有益于推进在实现《公约》目标方面取得进展，</w:t>
      </w:r>
    </w:p>
    <w:p w14:paraId="251FA2DD"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ascii="KaiTi" w:eastAsia="KaiTi" w:hAnsi="KaiTi"/>
          <w:sz w:val="24"/>
          <w:szCs w:val="24"/>
          <w:lang w:val="zh-CN" w:eastAsia="zh-CN"/>
        </w:rPr>
        <w:t>认识到</w:t>
      </w:r>
      <w:r w:rsidRPr="007E2484">
        <w:rPr>
          <w:rFonts w:eastAsia="SimSun"/>
          <w:sz w:val="24"/>
          <w:szCs w:val="24"/>
          <w:lang w:val="zh-CN" w:eastAsia="zh-CN"/>
        </w:rPr>
        <w:t>需要根据《公约》第十七和第二十四条交流信息，以促进缔约方和相关利益攸关方之间在交流信息方面的合作，</w:t>
      </w:r>
    </w:p>
    <w:p w14:paraId="49B7B8A6" w14:textId="522F54ED"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1.</w:t>
      </w:r>
      <w:r w:rsidRPr="007E2484">
        <w:rPr>
          <w:rFonts w:eastAsia="SimSun"/>
          <w:sz w:val="24"/>
          <w:szCs w:val="24"/>
          <w:lang w:val="zh-CN" w:eastAsia="zh-CN"/>
        </w:rPr>
        <w:tab/>
      </w:r>
      <w:r w:rsidRPr="007E2484">
        <w:rPr>
          <w:rFonts w:ascii="KaiTi" w:eastAsia="KaiTi" w:hAnsi="KaiTi"/>
          <w:sz w:val="24"/>
          <w:szCs w:val="24"/>
          <w:lang w:val="zh-CN" w:eastAsia="zh-CN"/>
        </w:rPr>
        <w:t>欢迎</w:t>
      </w:r>
      <w:r w:rsidRPr="007E2484">
        <w:rPr>
          <w:rFonts w:eastAsia="SimSun"/>
          <w:sz w:val="24"/>
          <w:szCs w:val="24"/>
          <w:lang w:val="zh-CN" w:eastAsia="zh-CN"/>
        </w:rPr>
        <w:t>秘书处在执行</w:t>
      </w:r>
      <w:r w:rsidRPr="007E2484">
        <w:rPr>
          <w:rFonts w:eastAsia="SimSun"/>
          <w:sz w:val="24"/>
          <w:szCs w:val="24"/>
          <w:lang w:val="zh-CN" w:eastAsia="zh-CN"/>
        </w:rPr>
        <w:t>2024–2025</w:t>
      </w:r>
      <w:r w:rsidRPr="007E2484">
        <w:rPr>
          <w:rFonts w:eastAsia="SimSun"/>
          <w:sz w:val="24"/>
          <w:szCs w:val="24"/>
          <w:lang w:val="zh-CN" w:eastAsia="zh-CN"/>
        </w:rPr>
        <w:t>两年</w:t>
      </w:r>
      <w:proofErr w:type="gramStart"/>
      <w:r w:rsidRPr="007E2484">
        <w:rPr>
          <w:rFonts w:eastAsia="SimSun"/>
          <w:sz w:val="24"/>
          <w:szCs w:val="24"/>
          <w:lang w:val="zh-CN" w:eastAsia="zh-CN"/>
        </w:rPr>
        <w:t>期数字</w:t>
      </w:r>
      <w:proofErr w:type="gramEnd"/>
      <w:r w:rsidRPr="007E2484">
        <w:rPr>
          <w:rFonts w:eastAsia="SimSun"/>
          <w:sz w:val="24"/>
          <w:szCs w:val="24"/>
          <w:lang w:val="zh-CN" w:eastAsia="zh-CN"/>
        </w:rPr>
        <w:t>战略方面取得的进展；</w:t>
      </w:r>
      <w:r w:rsidR="00086C02" w:rsidRPr="007E2484">
        <w:rPr>
          <w:rFonts w:eastAsia="SimSun"/>
          <w:sz w:val="24"/>
          <w:szCs w:val="24"/>
          <w:shd w:val="clear" w:color="auto" w:fill="FFFFFF"/>
          <w:vertAlign w:val="superscript"/>
          <w:lang w:val="zh-CN"/>
        </w:rPr>
        <w:footnoteReference w:id="3"/>
      </w:r>
    </w:p>
    <w:p w14:paraId="28339345"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2.</w:t>
      </w:r>
      <w:r w:rsidRPr="007E2484">
        <w:rPr>
          <w:rFonts w:eastAsia="SimSun"/>
          <w:sz w:val="24"/>
          <w:szCs w:val="24"/>
          <w:lang w:val="zh-CN" w:eastAsia="zh-CN"/>
        </w:rPr>
        <w:tab/>
      </w:r>
      <w:r w:rsidRPr="007E2484">
        <w:rPr>
          <w:rFonts w:ascii="KaiTi" w:eastAsia="KaiTi" w:hAnsi="KaiTi"/>
          <w:sz w:val="24"/>
          <w:szCs w:val="24"/>
          <w:lang w:val="zh-CN" w:eastAsia="zh-CN"/>
        </w:rPr>
        <w:t>请</w:t>
      </w:r>
      <w:r w:rsidRPr="007E2484">
        <w:rPr>
          <w:rFonts w:eastAsia="SimSun"/>
          <w:sz w:val="24"/>
          <w:szCs w:val="24"/>
          <w:lang w:val="zh-CN" w:eastAsia="zh-CN"/>
        </w:rPr>
        <w:t>秘书处根据《关于汞的水俣公约》</w:t>
      </w:r>
      <w:r w:rsidRPr="007E2484">
        <w:rPr>
          <w:rFonts w:eastAsia="SimSun"/>
          <w:sz w:val="24"/>
          <w:szCs w:val="24"/>
          <w:lang w:val="zh-CN" w:eastAsia="zh-CN"/>
        </w:rPr>
        <w:t>2026–2027</w:t>
      </w:r>
      <w:r w:rsidRPr="007E2484">
        <w:rPr>
          <w:rFonts w:eastAsia="SimSun"/>
          <w:sz w:val="24"/>
          <w:szCs w:val="24"/>
          <w:lang w:val="zh-CN" w:eastAsia="zh-CN"/>
        </w:rPr>
        <w:t>两年期工作方案和预算，继续执行数字战略，并在今后各两年期优先开展逐步推进该战略的相关活动，包括可能使用人工智能；</w:t>
      </w:r>
    </w:p>
    <w:p w14:paraId="5DA5852C" w14:textId="693CA163"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3.</w:t>
      </w:r>
      <w:r w:rsidRPr="007E2484">
        <w:rPr>
          <w:rFonts w:eastAsia="SimSun"/>
          <w:sz w:val="24"/>
          <w:szCs w:val="24"/>
          <w:lang w:val="zh-CN" w:eastAsia="zh-CN"/>
        </w:rPr>
        <w:tab/>
      </w:r>
      <w:r w:rsidRPr="007E2484">
        <w:rPr>
          <w:rFonts w:ascii="KaiTi" w:eastAsia="KaiTi" w:hAnsi="KaiTi"/>
          <w:sz w:val="24"/>
          <w:szCs w:val="24"/>
          <w:lang w:val="zh-CN" w:eastAsia="zh-CN"/>
        </w:rPr>
        <w:t>确认</w:t>
      </w:r>
      <w:r w:rsidRPr="007E2484">
        <w:rPr>
          <w:rFonts w:eastAsia="SimSun"/>
          <w:sz w:val="24"/>
          <w:szCs w:val="24"/>
          <w:lang w:val="zh-CN" w:eastAsia="zh-CN"/>
        </w:rPr>
        <w:t>公约网站是关于《公约》的公共信息和知识的主要来源，并请秘书处根据数字战略将其不断更新；</w:t>
      </w:r>
    </w:p>
    <w:p w14:paraId="31F2D149" w14:textId="0DE8680B"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4.</w:t>
      </w:r>
      <w:r w:rsidRPr="007E2484">
        <w:rPr>
          <w:rFonts w:eastAsia="SimSun"/>
          <w:sz w:val="24"/>
          <w:szCs w:val="24"/>
          <w:lang w:val="zh-CN" w:eastAsia="zh-CN"/>
        </w:rPr>
        <w:tab/>
      </w:r>
      <w:r w:rsidRPr="007E2484">
        <w:rPr>
          <w:rFonts w:ascii="KaiTi" w:eastAsia="KaiTi" w:hAnsi="KaiTi"/>
          <w:sz w:val="24"/>
          <w:szCs w:val="24"/>
          <w:lang w:val="zh-CN" w:eastAsia="zh-CN"/>
        </w:rPr>
        <w:t>同意</w:t>
      </w:r>
      <w:r w:rsidRPr="007E2484">
        <w:rPr>
          <w:rFonts w:eastAsia="SimSun"/>
          <w:sz w:val="24"/>
          <w:szCs w:val="24"/>
          <w:lang w:val="zh-CN" w:eastAsia="zh-CN"/>
        </w:rPr>
        <w:t>在资源允许的情况下，支持开发水</w:t>
      </w:r>
      <w:proofErr w:type="gramStart"/>
      <w:r w:rsidRPr="007E2484">
        <w:rPr>
          <w:rFonts w:eastAsia="SimSun"/>
          <w:sz w:val="24"/>
          <w:szCs w:val="24"/>
          <w:lang w:val="zh-CN" w:eastAsia="zh-CN"/>
        </w:rPr>
        <w:t>俣</w:t>
      </w:r>
      <w:proofErr w:type="gramEnd"/>
      <w:r w:rsidRPr="007E2484">
        <w:rPr>
          <w:rFonts w:eastAsia="SimSun"/>
          <w:sz w:val="24"/>
          <w:szCs w:val="24"/>
          <w:lang w:val="zh-CN" w:eastAsia="zh-CN"/>
        </w:rPr>
        <w:t>公约交流平台，将其作为根据第十七和第二十四条进行信息交流的具有成本效益的透明工具；</w:t>
      </w:r>
    </w:p>
    <w:p w14:paraId="4B53B15D" w14:textId="13D97EEE"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5.</w:t>
      </w:r>
      <w:r w:rsidRPr="007E2484">
        <w:rPr>
          <w:rFonts w:eastAsia="SimSun"/>
          <w:sz w:val="24"/>
          <w:szCs w:val="24"/>
          <w:lang w:val="zh-CN" w:eastAsia="zh-CN"/>
        </w:rPr>
        <w:tab/>
      </w:r>
      <w:r w:rsidRPr="007E2484">
        <w:rPr>
          <w:rFonts w:ascii="KaiTi" w:eastAsia="KaiTi" w:hAnsi="KaiTi"/>
          <w:sz w:val="24"/>
          <w:szCs w:val="24"/>
          <w:lang w:val="zh-CN" w:eastAsia="zh-CN"/>
        </w:rPr>
        <w:t>鼓励</w:t>
      </w:r>
      <w:r w:rsidRPr="007E2484">
        <w:rPr>
          <w:rFonts w:eastAsia="SimSun"/>
          <w:sz w:val="24"/>
          <w:szCs w:val="24"/>
          <w:lang w:val="zh-CN" w:eastAsia="zh-CN"/>
        </w:rPr>
        <w:t>秘书处在资源允许的情况下，继续与全球汞伙伴关系开展合作和协调活动，推进关于</w:t>
      </w:r>
      <w:proofErr w:type="gramStart"/>
      <w:r w:rsidRPr="007E2484">
        <w:rPr>
          <w:rFonts w:eastAsia="SimSun"/>
          <w:sz w:val="24"/>
          <w:szCs w:val="24"/>
          <w:lang w:val="zh-CN" w:eastAsia="zh-CN"/>
        </w:rPr>
        <w:t>汞相关</w:t>
      </w:r>
      <w:proofErr w:type="gramEnd"/>
      <w:r w:rsidRPr="007E2484">
        <w:rPr>
          <w:rFonts w:eastAsia="SimSun"/>
          <w:sz w:val="24"/>
          <w:szCs w:val="24"/>
          <w:lang w:val="zh-CN" w:eastAsia="zh-CN"/>
        </w:rPr>
        <w:t>问题的共享知识举措，包括联合开发数据产品、传播工具和知识平台，同时确保互补性；</w:t>
      </w:r>
    </w:p>
    <w:p w14:paraId="64C82070"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lastRenderedPageBreak/>
        <w:t>6.</w:t>
      </w:r>
      <w:r w:rsidRPr="007E2484">
        <w:rPr>
          <w:rFonts w:eastAsia="SimSun"/>
          <w:sz w:val="24"/>
          <w:szCs w:val="24"/>
          <w:lang w:val="zh-CN" w:eastAsia="zh-CN"/>
        </w:rPr>
        <w:tab/>
      </w:r>
      <w:r w:rsidRPr="007E2484">
        <w:rPr>
          <w:rFonts w:ascii="KaiTi" w:eastAsia="KaiTi" w:hAnsi="KaiTi"/>
          <w:sz w:val="24"/>
          <w:szCs w:val="24"/>
          <w:lang w:val="zh-CN" w:eastAsia="zh-CN"/>
        </w:rPr>
        <w:t>请</w:t>
      </w:r>
      <w:r w:rsidRPr="007E2484">
        <w:rPr>
          <w:rFonts w:eastAsia="SimSun"/>
          <w:sz w:val="24"/>
          <w:szCs w:val="24"/>
          <w:lang w:val="zh-CN" w:eastAsia="zh-CN"/>
        </w:rPr>
        <w:t>秘书处继续与其他多边环境协定秘书处和其他合作伙伴（包括联合国多边环境协定信息门户网站）协作开展知识管理、数字化和信息交流工作；</w:t>
      </w:r>
    </w:p>
    <w:p w14:paraId="6C9158DA" w14:textId="77777777" w:rsidR="00312042" w:rsidRPr="007E2484" w:rsidRDefault="00312042" w:rsidP="007E2484">
      <w:pPr>
        <w:pStyle w:val="Normal-pool"/>
        <w:tabs>
          <w:tab w:val="clear" w:pos="1247"/>
        </w:tabs>
        <w:spacing w:after="120"/>
        <w:ind w:left="1253" w:firstLine="619"/>
        <w:jc w:val="both"/>
        <w:rPr>
          <w:rFonts w:eastAsia="SimSun"/>
          <w:sz w:val="24"/>
          <w:szCs w:val="24"/>
          <w:lang w:eastAsia="zh-CN"/>
        </w:rPr>
      </w:pPr>
      <w:r w:rsidRPr="007E2484">
        <w:rPr>
          <w:rFonts w:eastAsia="SimSun"/>
          <w:sz w:val="24"/>
          <w:szCs w:val="24"/>
          <w:lang w:val="zh-CN" w:eastAsia="zh-CN"/>
        </w:rPr>
        <w:t>7.</w:t>
      </w:r>
      <w:r w:rsidRPr="007E2484">
        <w:rPr>
          <w:rFonts w:eastAsia="SimSun"/>
          <w:sz w:val="24"/>
          <w:szCs w:val="24"/>
          <w:lang w:val="zh-CN" w:eastAsia="zh-CN"/>
        </w:rPr>
        <w:tab/>
      </w:r>
      <w:r w:rsidRPr="007E2484">
        <w:rPr>
          <w:rFonts w:ascii="KaiTi" w:eastAsia="KaiTi" w:hAnsi="KaiTi"/>
          <w:sz w:val="24"/>
          <w:szCs w:val="24"/>
          <w:lang w:val="zh-CN" w:eastAsia="zh-CN"/>
        </w:rPr>
        <w:t>又请</w:t>
      </w:r>
      <w:r w:rsidRPr="007E2484">
        <w:rPr>
          <w:rFonts w:eastAsia="SimSun"/>
          <w:sz w:val="24"/>
          <w:szCs w:val="24"/>
          <w:lang w:val="zh-CN" w:eastAsia="zh-CN"/>
        </w:rPr>
        <w:t>秘书处继续与控制危险废物越境转移及其处置巴塞尔公约、关于在国际贸易中对某些危险化学品和农药采用事先知情同意程序的鹿特丹公约和关于持久性有机污染物的斯德哥尔摩公约秘书处进行协作，在知识管理和数字化方面交流信息并分享经验和最佳做法；</w:t>
      </w:r>
    </w:p>
    <w:p w14:paraId="4E896F2C" w14:textId="77777777" w:rsidR="00312042" w:rsidRDefault="00312042" w:rsidP="007E2484">
      <w:pPr>
        <w:pStyle w:val="Normal-pool"/>
        <w:tabs>
          <w:tab w:val="clear" w:pos="1247"/>
        </w:tabs>
        <w:spacing w:after="120"/>
        <w:ind w:left="1253" w:firstLine="619"/>
        <w:jc w:val="both"/>
        <w:rPr>
          <w:rFonts w:eastAsia="SimSun"/>
          <w:sz w:val="24"/>
          <w:szCs w:val="24"/>
          <w:lang w:val="fr-CH" w:eastAsia="zh-CN"/>
        </w:rPr>
      </w:pPr>
      <w:r w:rsidRPr="007E2484">
        <w:rPr>
          <w:rFonts w:eastAsia="SimSun"/>
          <w:sz w:val="24"/>
          <w:szCs w:val="24"/>
          <w:lang w:val="zh-CN" w:eastAsia="zh-CN"/>
        </w:rPr>
        <w:t>8.</w:t>
      </w:r>
      <w:r w:rsidRPr="007E2484">
        <w:rPr>
          <w:rFonts w:eastAsia="SimSun"/>
          <w:sz w:val="24"/>
          <w:szCs w:val="24"/>
          <w:lang w:val="zh-CN" w:eastAsia="zh-CN"/>
        </w:rPr>
        <w:tab/>
      </w:r>
      <w:r w:rsidR="00BE0F79" w:rsidRPr="007E2484">
        <w:rPr>
          <w:rFonts w:eastAsia="SimSun" w:hint="eastAsia"/>
          <w:sz w:val="24"/>
          <w:szCs w:val="24"/>
          <w:lang w:val="zh-CN" w:eastAsia="zh-CN"/>
        </w:rPr>
        <w:t xml:space="preserve"> </w:t>
      </w:r>
      <w:r w:rsidRPr="007E2484">
        <w:rPr>
          <w:rFonts w:ascii="KaiTi" w:eastAsia="KaiTi" w:hAnsi="KaiTi"/>
          <w:sz w:val="24"/>
          <w:szCs w:val="24"/>
          <w:lang w:val="zh-CN" w:eastAsia="zh-CN"/>
        </w:rPr>
        <w:t>还请</w:t>
      </w:r>
      <w:r w:rsidRPr="007E2484">
        <w:rPr>
          <w:rFonts w:eastAsia="SimSun"/>
          <w:sz w:val="24"/>
          <w:szCs w:val="24"/>
          <w:lang w:val="zh-CN" w:eastAsia="zh-CN"/>
        </w:rPr>
        <w:t>秘书处向缔约方大会第七次会议报告数字战略的执行进展情况。</w:t>
      </w:r>
    </w:p>
    <w:p w14:paraId="7CFE178C" w14:textId="163BE595" w:rsidR="00312042" w:rsidRPr="00EE4C8F" w:rsidRDefault="00312042" w:rsidP="00EE4C8F">
      <w:pPr>
        <w:spacing w:after="160" w:line="240" w:lineRule="auto"/>
        <w:rPr>
          <w:rFonts w:eastAsia="SimSun"/>
          <w:sz w:val="24"/>
          <w:szCs w:val="24"/>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0AD0" w14:textId="77777777" w:rsidR="005D794C" w:rsidRPr="00CD5597" w:rsidRDefault="005D794C">
      <w:r w:rsidRPr="00CD5597">
        <w:separator/>
      </w:r>
    </w:p>
  </w:endnote>
  <w:endnote w:type="continuationSeparator" w:id="0">
    <w:p w14:paraId="19727D2A" w14:textId="77777777" w:rsidR="005D794C" w:rsidRPr="00CD5597" w:rsidRDefault="005D794C">
      <w:r w:rsidRPr="00CD5597">
        <w:continuationSeparator/>
      </w:r>
    </w:p>
  </w:endnote>
  <w:endnote w:type="continuationNotice" w:id="1">
    <w:p w14:paraId="07E79DDA" w14:textId="77777777" w:rsidR="005D794C" w:rsidRDefault="005D7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61734217"/>
      <w:docPartObj>
        <w:docPartGallery w:val="Page Numbers (Bottom of Page)"/>
        <w:docPartUnique/>
      </w:docPartObj>
    </w:sdtPr>
    <w:sdtEndPr>
      <w:rPr>
        <w:noProof/>
      </w:rPr>
    </w:sdtEndPr>
    <w:sdtContent>
      <w:p w14:paraId="53E3D510" w14:textId="0DF39C45" w:rsidR="00622DFC" w:rsidRDefault="00622DFC" w:rsidP="00622DFC">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0DFCCF96" w:rsidR="00CD5597" w:rsidRPr="00622DFC" w:rsidRDefault="00622DFC"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3A86" w14:textId="77777777" w:rsidR="005D794C" w:rsidRPr="00CD5597" w:rsidRDefault="005D794C" w:rsidP="00C70B49">
      <w:pPr>
        <w:pStyle w:val="Footnote-Separator"/>
        <w:rPr>
          <w:szCs w:val="18"/>
        </w:rPr>
      </w:pPr>
      <w:r w:rsidRPr="00CD5597">
        <w:separator/>
      </w:r>
    </w:p>
  </w:footnote>
  <w:footnote w:type="continuationSeparator" w:id="0">
    <w:p w14:paraId="43E20674" w14:textId="77777777" w:rsidR="005D794C" w:rsidRPr="00CD5597" w:rsidRDefault="005D794C" w:rsidP="00C70B49">
      <w:pPr>
        <w:pStyle w:val="Footnote-Separator"/>
      </w:pPr>
      <w:r w:rsidRPr="00CD5597">
        <w:continuationSeparator/>
      </w:r>
    </w:p>
  </w:footnote>
  <w:footnote w:type="continuationNotice" w:id="1">
    <w:p w14:paraId="18E57C10" w14:textId="77777777" w:rsidR="005D794C" w:rsidRPr="00CD5597" w:rsidRDefault="005D794C" w:rsidP="00C70B49">
      <w:pPr>
        <w:pStyle w:val="ASpacer"/>
      </w:pPr>
    </w:p>
  </w:footnote>
  <w:footnote w:id="2">
    <w:p w14:paraId="29046661" w14:textId="0CD609CF" w:rsidR="0036758B" w:rsidRPr="00956EFA" w:rsidRDefault="0036758B" w:rsidP="00956EFA">
      <w:pPr>
        <w:pStyle w:val="Footnote-Text"/>
        <w:ind w:left="1253"/>
        <w:rPr>
          <w:rFonts w:eastAsia="SimSun"/>
          <w:sz w:val="20"/>
        </w:rPr>
      </w:pPr>
      <w:r w:rsidRPr="00956EFA">
        <w:rPr>
          <w:rStyle w:val="FootnoteReference"/>
          <w:spacing w:val="0"/>
          <w:w w:val="100"/>
          <w:position w:val="0"/>
          <w:szCs w:val="20"/>
          <w:lang w:val="zh-CN"/>
        </w:rPr>
        <w:footnoteRef/>
      </w:r>
      <w:r w:rsidRPr="00956EFA">
        <w:rPr>
          <w:rFonts w:eastAsia="SimSun"/>
          <w:sz w:val="20"/>
        </w:rPr>
        <w:t xml:space="preserve"> UNEP/MC/COP.5/19</w:t>
      </w:r>
      <w:r w:rsidRPr="00956EFA">
        <w:rPr>
          <w:rFonts w:eastAsia="SimSun"/>
          <w:sz w:val="20"/>
        </w:rPr>
        <w:t>，</w:t>
      </w:r>
      <w:proofErr w:type="spellStart"/>
      <w:r w:rsidRPr="00956EFA">
        <w:rPr>
          <w:rFonts w:eastAsia="SimSun"/>
          <w:sz w:val="20"/>
          <w:lang w:val="zh-CN"/>
        </w:rPr>
        <w:t>附件一</w:t>
      </w:r>
      <w:proofErr w:type="spellEnd"/>
      <w:r w:rsidRPr="00956EFA">
        <w:rPr>
          <w:rFonts w:eastAsia="SimSun"/>
          <w:sz w:val="20"/>
          <w:lang w:val="zh-CN"/>
        </w:rPr>
        <w:t>。</w:t>
      </w:r>
    </w:p>
  </w:footnote>
  <w:footnote w:id="3">
    <w:p w14:paraId="7CD9D7D1" w14:textId="5C744986" w:rsidR="00086C02" w:rsidRPr="00631C1C" w:rsidRDefault="00086C02" w:rsidP="00956EFA">
      <w:pPr>
        <w:pStyle w:val="Footnote-Text"/>
        <w:ind w:left="1253"/>
        <w:rPr>
          <w:szCs w:val="18"/>
        </w:rPr>
      </w:pPr>
      <w:r w:rsidRPr="00956EFA">
        <w:rPr>
          <w:rStyle w:val="FootnoteReference"/>
          <w:spacing w:val="0"/>
          <w:w w:val="100"/>
          <w:position w:val="0"/>
          <w:szCs w:val="20"/>
          <w:lang w:val="zh-CN"/>
        </w:rPr>
        <w:footnoteRef/>
      </w:r>
      <w:r w:rsidRPr="00956EFA">
        <w:rPr>
          <w:rFonts w:eastAsia="SimSun"/>
          <w:sz w:val="20"/>
        </w:rPr>
        <w:t xml:space="preserve"> </w:t>
      </w:r>
      <w:proofErr w:type="spellStart"/>
      <w:r w:rsidRPr="00956EFA">
        <w:rPr>
          <w:rFonts w:eastAsia="SimSun"/>
          <w:sz w:val="20"/>
          <w:lang w:val="zh-CN"/>
        </w:rPr>
        <w:t>概述见</w:t>
      </w:r>
      <w:proofErr w:type="spellEnd"/>
      <w:r w:rsidRPr="00956EFA">
        <w:rPr>
          <w:rFonts w:eastAsia="SimSun"/>
          <w:sz w:val="20"/>
        </w:rPr>
        <w:t>UNEP/MC/COP.6/19</w:t>
      </w:r>
      <w:proofErr w:type="spellStart"/>
      <w:r w:rsidRPr="00956EFA">
        <w:rPr>
          <w:rFonts w:eastAsia="SimSun"/>
          <w:sz w:val="20"/>
          <w:lang w:val="zh-CN"/>
        </w:rPr>
        <w:t>号文件</w:t>
      </w:r>
      <w:proofErr w:type="spellEnd"/>
      <w:r w:rsidRPr="00956EFA">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EA246A8" w:rsidR="002C072B" w:rsidRDefault="0065285C" w:rsidP="00703E96">
    <w:pPr>
      <w:pStyle w:val="Header-pool"/>
    </w:pPr>
    <w:r>
      <w:rPr>
        <w:noProof/>
      </w:rPr>
      <w:t>UNEP/MC/COP.6/</w:t>
    </w:r>
    <w:r w:rsidR="00622DFC">
      <w:rPr>
        <w:noProof/>
      </w:rPr>
      <w:t>Dec.1</w:t>
    </w:r>
    <w:r w:rsidR="001F293E">
      <w:rPr>
        <w:noProof/>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96E"/>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293E"/>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5790"/>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519"/>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8FB"/>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4F8"/>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4C"/>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2DFC"/>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8C5"/>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19CE"/>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37C5B"/>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6DC"/>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4C8F"/>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F6EA5191-D215-4B1A-9CDA-9E51A5F29362}"/>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17</TotalTime>
  <Pages>2</Pages>
  <Words>142</Words>
  <Characters>810</Characters>
  <Application>Microsoft Office Word</Application>
  <DocSecurity>0</DocSecurity>
  <PresentationFormat/>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951</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2026-03-18T14:31:00Z</cp:lastPrinted>
  <dcterms:created xsi:type="dcterms:W3CDTF">2026-03-11T09:20:00Z</dcterms:created>
  <dcterms:modified xsi:type="dcterms:W3CDTF">2026-04-15T09:33:00Z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