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01A4D5BA"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C93E54">
              <w:t>1</w:t>
            </w:r>
            <w:r w:rsidR="001F641F">
              <w:t>6</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4871C243" w14:textId="0B37E27B" w:rsidR="00107665" w:rsidRPr="00A659FB" w:rsidRDefault="00A659FB" w:rsidP="001F641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2"/>
      <w:r w:rsidRPr="00A22783">
        <w:rPr>
          <w:lang w:val="ru-RU"/>
        </w:rPr>
        <w:tab/>
      </w:r>
      <w:bookmarkStart w:id="1" w:name="_Toc213853073"/>
      <w:bookmarkStart w:id="2" w:name="_Toc222992823"/>
      <w:bookmarkEnd w:id="0"/>
      <w:r w:rsidR="00107665" w:rsidRPr="00A659FB">
        <w:rPr>
          <w:lang w:val="ru-RU"/>
        </w:rPr>
        <w:t>Решение МК-6/16. Решение вопросов здоровья женщин и детей</w:t>
      </w:r>
      <w:bookmarkEnd w:id="2"/>
      <w:r w:rsidR="00107665" w:rsidRPr="00A659FB">
        <w:rPr>
          <w:lang w:val="ru-RU"/>
        </w:rPr>
        <w:t xml:space="preserve"> </w:t>
      </w:r>
      <w:bookmarkStart w:id="3" w:name="_Toc219712814"/>
      <w:bookmarkEnd w:id="1"/>
      <w:bookmarkEnd w:id="3"/>
    </w:p>
    <w:p w14:paraId="4F364E98" w14:textId="63295933" w:rsidR="00107665" w:rsidRPr="00631C1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Pr>
          <w:i/>
          <w:iCs/>
          <w:lang w:val="ru-RU"/>
        </w:rPr>
        <w:t>Конференция Сторон</w:t>
      </w:r>
    </w:p>
    <w:p w14:paraId="7171F748" w14:textId="374A56E0"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с удовлетворением принимает к сведению</w:t>
      </w:r>
      <w:r>
        <w:rPr>
          <w:lang w:val="ru-RU"/>
        </w:rPr>
        <w:t xml:space="preserve"> мероприятия, осуществленные секретариатом, Сторонами и другими заинтересованными субъектами в течение двухгодичного периода 2024–2025 годов, как было предложено в решении МК-5/15 о плане действий по гендерным вопросам, включая мероприятия для решения вопросов здоровья женщин и детей;</w:t>
      </w:r>
    </w:p>
    <w:p w14:paraId="3C286BBC" w14:textId="0546B92B"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предлагает</w:t>
      </w:r>
      <w:r>
        <w:rPr>
          <w:lang w:val="ru-RU"/>
        </w:rPr>
        <w:t xml:space="preserve"> Сторонам продолжать осуществлять решение МК-5/15 о плане действий по гендерным вопросам, включая решение вопросов здоровья женщин и детей в течение двухгодичного периода 2026–2027 годов</w:t>
      </w:r>
      <w:r w:rsidR="00AC603D" w:rsidRPr="00631C1C">
        <w:rPr>
          <w:rStyle w:val="FootnoteReference"/>
          <w:rFonts w:cstheme="majorBidi"/>
          <w:lang w:val="ru-RU"/>
        </w:rPr>
        <w:footnoteReference w:id="2"/>
      </w:r>
      <w:r>
        <w:rPr>
          <w:lang w:val="ru-RU"/>
        </w:rPr>
        <w:t xml:space="preserve"> и представлять секретариату информацию об их опыте и передовых методах в этой области;</w:t>
      </w:r>
    </w:p>
    <w:p w14:paraId="75B9D865" w14:textId="746161B6"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предлагает также</w:t>
      </w:r>
      <w:r>
        <w:rPr>
          <w:lang w:val="ru-RU"/>
        </w:rPr>
        <w:t xml:space="preserve"> Сторонам представлять, </w:t>
      </w:r>
      <w:r w:rsidR="0006102E">
        <w:rPr>
          <w:lang w:val="ru-RU"/>
        </w:rPr>
        <w:t xml:space="preserve">в </w:t>
      </w:r>
      <w:r w:rsidR="007F1077">
        <w:rPr>
          <w:lang w:val="ru-RU"/>
        </w:rPr>
        <w:t>надлежащи</w:t>
      </w:r>
      <w:r w:rsidR="0006102E">
        <w:rPr>
          <w:lang w:val="ru-RU"/>
        </w:rPr>
        <w:t>х случаях</w:t>
      </w:r>
      <w:r>
        <w:rPr>
          <w:lang w:val="ru-RU"/>
        </w:rPr>
        <w:t xml:space="preserve">, замечания в отношении возможных мероприятий, которые секретариат, Стороны и другие заинтересованные субъекты будут проводить в течение двухгодичного периода </w:t>
      </w:r>
      <w:r w:rsidR="0094750E">
        <w:rPr>
          <w:lang w:val="ru-RU"/>
        </w:rPr>
        <w:t>2028</w:t>
      </w:r>
      <w:r w:rsidR="0094750E" w:rsidRPr="0094750E">
        <w:rPr>
          <w:lang w:val="ru-RU"/>
        </w:rPr>
        <w:noBreakHyphen/>
      </w:r>
      <w:r w:rsidR="0094750E">
        <w:rPr>
          <w:lang w:val="ru-RU"/>
        </w:rPr>
        <w:t>2029</w:t>
      </w:r>
      <w:r w:rsidR="0094750E">
        <w:rPr>
          <w:lang w:val="en-US"/>
        </w:rPr>
        <w:t> </w:t>
      </w:r>
      <w:r>
        <w:rPr>
          <w:lang w:val="ru-RU"/>
        </w:rPr>
        <w:t>годов;</w:t>
      </w:r>
    </w:p>
    <w:p w14:paraId="75AF975E" w14:textId="34D7411A"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поручает</w:t>
      </w:r>
      <w:r>
        <w:rPr>
          <w:lang w:val="ru-RU"/>
        </w:rPr>
        <w:t xml:space="preserve"> секретариату проводить мероприятия в течение двухгодичного периода 2026–2027 годов</w:t>
      </w:r>
      <w:r w:rsidR="004F7BAC" w:rsidRPr="00C14CF0">
        <w:rPr>
          <w:rStyle w:val="FootnoteReference"/>
          <w:rFonts w:asciiTheme="majorBidi" w:hAnsiTheme="majorBidi" w:cstheme="majorBidi"/>
          <w:lang w:val="ru-RU"/>
        </w:rPr>
        <w:footnoteReference w:id="3"/>
      </w:r>
      <w:r w:rsidR="00CF489F">
        <w:rPr>
          <w:lang w:val="ru-RU"/>
        </w:rPr>
        <w:t>,</w:t>
      </w:r>
      <w:r>
        <w:rPr>
          <w:lang w:val="ru-RU"/>
        </w:rPr>
        <w:t xml:space="preserve"> при наличии ресурсов; </w:t>
      </w:r>
    </w:p>
    <w:p w14:paraId="6C4EFAF0" w14:textId="56EE6D4A"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107665" w:rsidRPr="00DB6FFC" w:rsidSect="001F641F">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418" w:left="1418" w:header="539" w:footer="975" w:gutter="0"/>
          <w:cols w:space="539"/>
          <w:titlePg/>
          <w:docGrid w:linePitch="360"/>
        </w:sectPr>
      </w:pPr>
      <w:r w:rsidRPr="0094750E">
        <w:rPr>
          <w:i/>
          <w:iCs/>
          <w:lang w:val="ru-RU"/>
        </w:rPr>
        <w:t>поручает также</w:t>
      </w:r>
      <w:r>
        <w:rPr>
          <w:lang w:val="ru-RU"/>
        </w:rPr>
        <w:t xml:space="preserve"> секретариату представить Конференции Сторон доклад об осуществлении настоящего решения и предложить возможные мероприятия для осуществления секретариатом, Сторонами и другими заинтересованными субъектами в течение двухгодичного периода 2028–2029 годов, </w:t>
      </w:r>
      <w:r w:rsidR="0006102E">
        <w:rPr>
          <w:lang w:val="ru-RU"/>
        </w:rPr>
        <w:t>в надлежащих случаях</w:t>
      </w:r>
      <w:r>
        <w:rPr>
          <w:lang w:val="ru-RU"/>
        </w:rPr>
        <w:t>, для рассмотрения Конференцией на ее седьмом совещании.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DD67" w14:textId="77777777" w:rsidR="000C25CB" w:rsidRPr="00CD5597" w:rsidRDefault="000C25CB">
      <w:r w:rsidRPr="00CD5597">
        <w:separator/>
      </w:r>
    </w:p>
  </w:endnote>
  <w:endnote w:type="continuationSeparator" w:id="0">
    <w:p w14:paraId="49B5B76E" w14:textId="77777777" w:rsidR="000C25CB" w:rsidRPr="00CD5597" w:rsidRDefault="000C25CB">
      <w:r w:rsidRPr="00CD5597">
        <w:continuationSeparator/>
      </w:r>
    </w:p>
  </w:endnote>
  <w:endnote w:type="continuationNotice" w:id="1">
    <w:p w14:paraId="5DCF15F3" w14:textId="77777777" w:rsidR="000C25CB" w:rsidRDefault="000C2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3E20C1CB" w:rsidR="00107665" w:rsidRPr="00AA73D8" w:rsidRDefault="00AA73D8" w:rsidP="00164C33">
    <w:pPr>
      <w:pStyle w:val="Footer-jobnumber"/>
      <w:rPr>
        <w:lang w:val="fr-CH"/>
      </w:rPr>
    </w:pPr>
    <w:r>
      <w:rPr>
        <w:lang w:val="fr-CH"/>
      </w:rPr>
      <w:tab/>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07FB" w14:textId="77777777" w:rsidR="000C25CB" w:rsidRPr="00CD5597" w:rsidRDefault="000C25CB" w:rsidP="00C70B49">
      <w:pPr>
        <w:pStyle w:val="Footnote-Separator"/>
        <w:rPr>
          <w:szCs w:val="18"/>
        </w:rPr>
      </w:pPr>
      <w:r w:rsidRPr="00CD5597">
        <w:separator/>
      </w:r>
    </w:p>
  </w:footnote>
  <w:footnote w:type="continuationSeparator" w:id="0">
    <w:p w14:paraId="09A37B1C" w14:textId="77777777" w:rsidR="000C25CB" w:rsidRPr="00CD5597" w:rsidRDefault="000C25CB" w:rsidP="00C70B49">
      <w:pPr>
        <w:pStyle w:val="Footnote-Separator"/>
      </w:pPr>
      <w:r w:rsidRPr="00CD5597">
        <w:continuationSeparator/>
      </w:r>
    </w:p>
  </w:footnote>
  <w:footnote w:type="continuationNotice" w:id="1">
    <w:p w14:paraId="7BEA0508" w14:textId="77777777" w:rsidR="000C25CB" w:rsidRPr="00CD5597" w:rsidRDefault="000C25CB" w:rsidP="00C70B49">
      <w:pPr>
        <w:pStyle w:val="ASpacer"/>
      </w:pPr>
    </w:p>
  </w:footnote>
  <w:footnote w:id="2">
    <w:p w14:paraId="053A5980" w14:textId="77777777" w:rsidR="00AC603D" w:rsidRPr="0094750E" w:rsidRDefault="00AC603D" w:rsidP="00AC603D">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94750E">
        <w:rPr>
          <w:rStyle w:val="FootnoteReference"/>
          <w:sz w:val="18"/>
          <w:lang w:val="ru-RU"/>
        </w:rPr>
        <w:footnoteRef/>
      </w:r>
      <w:r w:rsidRPr="0094750E">
        <w:rPr>
          <w:szCs w:val="18"/>
          <w:lang w:val="ru-RU"/>
        </w:rPr>
        <w:t xml:space="preserve"> </w:t>
      </w:r>
      <w:r w:rsidRPr="0096634E">
        <w:rPr>
          <w:szCs w:val="18"/>
          <w:lang w:val="ru-RU"/>
        </w:rPr>
        <w:tab/>
      </w:r>
      <w:r w:rsidRPr="0094750E">
        <w:rPr>
          <w:szCs w:val="18"/>
          <w:lang w:val="ru-RU"/>
        </w:rPr>
        <w:t>Предлагаемые мероприятия изложены в документе UNEP/MC/COP.6/29, пункт 2.</w:t>
      </w:r>
    </w:p>
  </w:footnote>
  <w:footnote w:id="3">
    <w:p w14:paraId="464E9EAB" w14:textId="77777777" w:rsidR="004F7BAC" w:rsidRPr="0094750E" w:rsidRDefault="004F7BAC" w:rsidP="004F7BA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94750E">
        <w:rPr>
          <w:rStyle w:val="FootnoteReference"/>
          <w:sz w:val="18"/>
          <w:lang w:val="ru-RU"/>
        </w:rPr>
        <w:footnoteRef/>
      </w:r>
      <w:r w:rsidRPr="0094750E">
        <w:rPr>
          <w:szCs w:val="18"/>
          <w:lang w:val="ru-RU"/>
        </w:rPr>
        <w:t xml:space="preserve"> </w:t>
      </w:r>
      <w:r w:rsidRPr="0096634E">
        <w:rPr>
          <w:szCs w:val="18"/>
          <w:lang w:val="ru-RU"/>
        </w:rPr>
        <w:tab/>
      </w:r>
      <w:r w:rsidRPr="0094750E">
        <w:rPr>
          <w:szCs w:val="18"/>
          <w:lang w:val="ru-RU"/>
        </w:rPr>
        <w:t>Предлагаемые мероприятия изложены в документе UNEP/MC/COP.6/29, пункт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3949B704" w:rsidR="00107665" w:rsidRPr="00C93E54" w:rsidRDefault="00C93E54" w:rsidP="00C93E54">
    <w:pPr>
      <w:pStyle w:val="Header-pool"/>
    </w:pPr>
    <w:r>
      <w:fldChar w:fldCharType="begin"/>
    </w:r>
    <w:r>
      <w:instrText xml:space="preserve"> StyleRef A_Symbol </w:instrText>
    </w:r>
    <w:r>
      <w:fldChar w:fldCharType="separate"/>
    </w:r>
    <w:r w:rsidR="001F641F">
      <w:rPr>
        <w:noProof/>
      </w:rPr>
      <w:t>UNEP/MC/COP.6/Dec.15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78AD3C83" w:rsidR="00107665" w:rsidRPr="00C93E54" w:rsidRDefault="00C93E54" w:rsidP="00C93E54">
    <w:pPr>
      <w:pStyle w:val="Header-pool"/>
      <w:jc w:val="right"/>
    </w:pPr>
    <w:r>
      <w:fldChar w:fldCharType="begin"/>
    </w:r>
    <w:r>
      <w:instrText xml:space="preserve"> StyleRef A_Symbol </w:instrText>
    </w:r>
    <w:r>
      <w:fldChar w:fldCharType="separate"/>
    </w:r>
    <w:r w:rsidR="001F641F">
      <w:rPr>
        <w:noProof/>
      </w:rPr>
      <w:t>UNEP/MC/COP.6/Dec.16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5CB"/>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4C33"/>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41F"/>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5B9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1839"/>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77DB1"/>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68B3"/>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3F9B"/>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9D5"/>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A73D8"/>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27C94"/>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67F98"/>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3E54"/>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4CDB"/>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5E4"/>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5344"/>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650"/>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09F9BB01-7102-4AEC-9867-1448B284F12F}"/>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37</TotalTime>
  <Pages>1</Pages>
  <Words>255</Words>
  <Characters>1458</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2026-01-27T13:32:00Z</cp:lastPrinted>
  <dcterms:created xsi:type="dcterms:W3CDTF">2026-03-18T10:27:00Z</dcterms:created>
  <dcterms:modified xsi:type="dcterms:W3CDTF">2026-04-15T13:04:00Z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