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C64A918"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E4642A">
              <w:t>6</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44267BE" w14:textId="0D1423F2" w:rsidR="00312042" w:rsidRPr="00175AD6" w:rsidRDefault="008254E5" w:rsidP="00175AD6">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bookmarkStart w:id="7" w:name="_Toc213853071"/>
    </w:p>
    <w:bookmarkEnd w:id="7"/>
    <w:p w14:paraId="467DAADD" w14:textId="382390BB" w:rsidR="00F152CE" w:rsidRPr="007647EB" w:rsidRDefault="00F152CE" w:rsidP="003C458C">
      <w:pPr>
        <w:pStyle w:val="TOC1"/>
        <w:ind w:left="1245"/>
        <w:rPr>
          <w:i/>
          <w:iCs/>
        </w:rPr>
      </w:pPr>
      <w:r w:rsidRPr="007647EB">
        <w:t>Décision MC-6/</w:t>
      </w:r>
      <w:r w:rsidR="009B6B72" w:rsidRPr="007647EB">
        <w:t>16</w:t>
      </w:r>
      <w:r w:rsidR="00FC435E" w:rsidRPr="007647EB">
        <w:t> </w:t>
      </w:r>
      <w:r w:rsidRPr="007647EB">
        <w:t>: Répondre aux préoccupations des femmes et</w:t>
      </w:r>
      <w:r w:rsidR="001135B7" w:rsidRPr="007647EB">
        <w:t> </w:t>
      </w:r>
      <w:r w:rsidRPr="007647EB">
        <w:t>des</w:t>
      </w:r>
      <w:r w:rsidR="001135B7" w:rsidRPr="007647EB">
        <w:t> </w:t>
      </w:r>
      <w:r w:rsidRPr="007647EB">
        <w:t>enfants en matière de santé</w:t>
      </w:r>
    </w:p>
    <w:p w14:paraId="5E10C836" w14:textId="77777777" w:rsidR="00F152CE" w:rsidRPr="007647EB" w:rsidRDefault="00F152CE" w:rsidP="00F152CE">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p>
    <w:p w14:paraId="44DD96FC" w14:textId="00038A54"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 xml:space="preserve">Prend note avec satisfaction </w:t>
      </w:r>
      <w:r w:rsidRPr="007647EB">
        <w:t>des activités menées par le secrétariat, les Parties et d</w:t>
      </w:r>
      <w:r w:rsidR="00D82E47" w:rsidRPr="007647EB">
        <w:t>’</w:t>
      </w:r>
      <w:r w:rsidRPr="007647EB">
        <w:t>autres parties prenantes pendant la période biennale 2024-2025</w:t>
      </w:r>
      <w:r w:rsidR="004C0C2E" w:rsidRPr="007647EB">
        <w:t xml:space="preserve">, comme préconisé dans </w:t>
      </w:r>
      <w:r w:rsidR="00A72C35" w:rsidRPr="007647EB">
        <w:t xml:space="preserve">la </w:t>
      </w:r>
      <w:r w:rsidR="00A72C35" w:rsidRPr="007647EB">
        <w:rPr>
          <w:rFonts w:asciiTheme="majorBidi" w:hAnsiTheme="majorBidi" w:cstheme="majorBidi"/>
        </w:rPr>
        <w:t>décision</w:t>
      </w:r>
      <w:r w:rsidR="002C3666" w:rsidRPr="007647EB">
        <w:rPr>
          <w:rFonts w:asciiTheme="majorBidi" w:hAnsiTheme="majorBidi" w:cstheme="majorBidi"/>
        </w:rPr>
        <w:t> </w:t>
      </w:r>
      <w:r w:rsidR="009B6B72" w:rsidRPr="007647EB">
        <w:rPr>
          <w:rFonts w:asciiTheme="majorBidi" w:hAnsiTheme="majorBidi" w:cstheme="majorBidi"/>
        </w:rPr>
        <w:t>MC-5/15</w:t>
      </w:r>
      <w:r w:rsidR="004C0C2E" w:rsidRPr="007647EB">
        <w:rPr>
          <w:rFonts w:asciiTheme="majorBidi" w:hAnsiTheme="majorBidi" w:cstheme="majorBidi"/>
        </w:rPr>
        <w:t xml:space="preserve"> intitulée « Plan d</w:t>
      </w:r>
      <w:r w:rsidR="00D82E47" w:rsidRPr="007647EB">
        <w:rPr>
          <w:rFonts w:asciiTheme="majorBidi" w:hAnsiTheme="majorBidi" w:cstheme="majorBidi"/>
        </w:rPr>
        <w:t>’</w:t>
      </w:r>
      <w:r w:rsidR="009B6B72" w:rsidRPr="007647EB">
        <w:rPr>
          <w:rFonts w:asciiTheme="majorBidi" w:hAnsiTheme="majorBidi" w:cstheme="majorBidi"/>
        </w:rPr>
        <w:t xml:space="preserve">action </w:t>
      </w:r>
      <w:r w:rsidR="004C0C2E" w:rsidRPr="007647EB">
        <w:rPr>
          <w:rFonts w:asciiTheme="majorBidi" w:hAnsiTheme="majorBidi" w:cstheme="majorBidi"/>
        </w:rPr>
        <w:t>relatif aux questions de genre »</w:t>
      </w:r>
      <w:r w:rsidR="009B6B72" w:rsidRPr="007647EB">
        <w:rPr>
          <w:rFonts w:asciiTheme="majorBidi" w:hAnsiTheme="majorBidi" w:cstheme="majorBidi"/>
        </w:rPr>
        <w:t xml:space="preserve">, </w:t>
      </w:r>
      <w:r w:rsidR="004C0C2E" w:rsidRPr="007647EB">
        <w:rPr>
          <w:rFonts w:asciiTheme="majorBidi" w:hAnsiTheme="majorBidi" w:cstheme="majorBidi"/>
        </w:rPr>
        <w:t xml:space="preserve">y compris les activités menées </w:t>
      </w:r>
      <w:r w:rsidRPr="007647EB">
        <w:t>pour répondre aux préoccupations des femmes et des enfants en matière de santé</w:t>
      </w:r>
      <w:r w:rsidR="00A72C35" w:rsidRPr="007647EB">
        <w:t> </w:t>
      </w:r>
      <w:r w:rsidRPr="007647EB">
        <w:t xml:space="preserve">;  </w:t>
      </w:r>
    </w:p>
    <w:p w14:paraId="03F61373" w14:textId="30DE9BA4"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Invite</w:t>
      </w:r>
      <w:r w:rsidRPr="007647EB">
        <w:t xml:space="preserve"> les Parties</w:t>
      </w:r>
      <w:r w:rsidR="0061206A" w:rsidRPr="007647EB">
        <w:t xml:space="preserve"> à</w:t>
      </w:r>
      <w:r w:rsidRPr="007647EB">
        <w:t xml:space="preserve"> </w:t>
      </w:r>
      <w:r w:rsidR="009B6B72" w:rsidRPr="007647EB">
        <w:rPr>
          <w:rFonts w:asciiTheme="majorBidi" w:hAnsiTheme="majorBidi" w:cstheme="majorBidi"/>
        </w:rPr>
        <w:t>continue</w:t>
      </w:r>
      <w:r w:rsidR="0061206A" w:rsidRPr="007647EB">
        <w:rPr>
          <w:rFonts w:asciiTheme="majorBidi" w:hAnsiTheme="majorBidi" w:cstheme="majorBidi"/>
        </w:rPr>
        <w:t>r</w:t>
      </w:r>
      <w:r w:rsidR="009B6B72" w:rsidRPr="007647EB">
        <w:rPr>
          <w:rFonts w:asciiTheme="majorBidi" w:hAnsiTheme="majorBidi" w:cstheme="majorBidi"/>
        </w:rPr>
        <w:t xml:space="preserve"> </w:t>
      </w:r>
      <w:r w:rsidR="0061206A" w:rsidRPr="007647EB">
        <w:rPr>
          <w:rFonts w:asciiTheme="majorBidi" w:hAnsiTheme="majorBidi" w:cstheme="majorBidi"/>
        </w:rPr>
        <w:t>de mettre en œuvre</w:t>
      </w:r>
      <w:r w:rsidR="009B6B72" w:rsidRPr="007647EB">
        <w:rPr>
          <w:rFonts w:asciiTheme="majorBidi" w:hAnsiTheme="majorBidi" w:cstheme="majorBidi"/>
        </w:rPr>
        <w:t xml:space="preserve"> </w:t>
      </w:r>
      <w:r w:rsidR="0061206A" w:rsidRPr="007647EB">
        <w:rPr>
          <w:rFonts w:asciiTheme="majorBidi" w:hAnsiTheme="majorBidi" w:cstheme="majorBidi"/>
        </w:rPr>
        <w:t xml:space="preserve">la </w:t>
      </w:r>
      <w:r w:rsidR="009B6B72" w:rsidRPr="007647EB">
        <w:rPr>
          <w:rFonts w:asciiTheme="majorBidi" w:hAnsiTheme="majorBidi" w:cstheme="majorBidi"/>
        </w:rPr>
        <w:t>d</w:t>
      </w:r>
      <w:r w:rsidR="0061206A" w:rsidRPr="007647EB">
        <w:rPr>
          <w:rFonts w:asciiTheme="majorBidi" w:hAnsiTheme="majorBidi" w:cstheme="majorBidi"/>
        </w:rPr>
        <w:t>é</w:t>
      </w:r>
      <w:r w:rsidR="009B6B72" w:rsidRPr="007647EB">
        <w:rPr>
          <w:rFonts w:asciiTheme="majorBidi" w:hAnsiTheme="majorBidi" w:cstheme="majorBidi"/>
        </w:rPr>
        <w:t>cision MC-5/15</w:t>
      </w:r>
      <w:r w:rsidR="0061206A" w:rsidRPr="007647EB">
        <w:rPr>
          <w:rFonts w:asciiTheme="majorBidi" w:hAnsiTheme="majorBidi" w:cstheme="majorBidi"/>
        </w:rPr>
        <w:t xml:space="preserve"> intitulée « Plan</w:t>
      </w:r>
      <w:r w:rsidR="002C3666" w:rsidRPr="007647EB">
        <w:rPr>
          <w:rFonts w:asciiTheme="majorBidi" w:hAnsiTheme="majorBidi" w:cstheme="majorBidi"/>
        </w:rPr>
        <w:t> </w:t>
      </w:r>
      <w:r w:rsidR="0061206A" w:rsidRPr="007647EB">
        <w:rPr>
          <w:rFonts w:asciiTheme="majorBidi" w:hAnsiTheme="majorBidi" w:cstheme="majorBidi"/>
        </w:rPr>
        <w:t>d</w:t>
      </w:r>
      <w:r w:rsidR="00D82E47" w:rsidRPr="007647EB">
        <w:rPr>
          <w:rFonts w:asciiTheme="majorBidi" w:hAnsiTheme="majorBidi" w:cstheme="majorBidi"/>
        </w:rPr>
        <w:t>’</w:t>
      </w:r>
      <w:r w:rsidR="009B6B72" w:rsidRPr="007647EB">
        <w:rPr>
          <w:rFonts w:asciiTheme="majorBidi" w:hAnsiTheme="majorBidi" w:cstheme="majorBidi"/>
        </w:rPr>
        <w:t xml:space="preserve">action </w:t>
      </w:r>
      <w:r w:rsidR="0061206A" w:rsidRPr="007647EB">
        <w:rPr>
          <w:rFonts w:asciiTheme="majorBidi" w:hAnsiTheme="majorBidi" w:cstheme="majorBidi"/>
        </w:rPr>
        <w:t>relatif aux questions de genre »</w:t>
      </w:r>
      <w:r w:rsidR="009B6B72" w:rsidRPr="007647EB">
        <w:rPr>
          <w:rFonts w:asciiTheme="majorBidi" w:hAnsiTheme="majorBidi" w:cstheme="majorBidi"/>
        </w:rPr>
        <w:t xml:space="preserve">, </w:t>
      </w:r>
      <w:r w:rsidR="0061206A" w:rsidRPr="007647EB">
        <w:rPr>
          <w:rFonts w:asciiTheme="majorBidi" w:hAnsiTheme="majorBidi" w:cstheme="majorBidi"/>
        </w:rPr>
        <w:t xml:space="preserve">y compris </w:t>
      </w:r>
      <w:r w:rsidRPr="007647EB">
        <w:t>pour répondre aux préoccupations des femmes et des enfants en matière de santé pendant l</w:t>
      </w:r>
      <w:r w:rsidR="00D82E47" w:rsidRPr="007647EB">
        <w:t>’</w:t>
      </w:r>
      <w:r w:rsidRPr="007647EB">
        <w:t>exercice biennal 2026-2027</w:t>
      </w:r>
      <w:r w:rsidRPr="007647EB">
        <w:rPr>
          <w:rStyle w:val="FootnoteReference"/>
          <w:rFonts w:eastAsia="SimSun"/>
        </w:rPr>
        <w:footnoteReference w:id="2"/>
      </w:r>
      <w:r w:rsidRPr="007647EB">
        <w:t>, et à partager avec le secrétariat leurs expériences et bonnes pratiques en la matière</w:t>
      </w:r>
      <w:r w:rsidR="00A72C35" w:rsidRPr="007647EB">
        <w:t> </w:t>
      </w:r>
      <w:r w:rsidRPr="007647EB">
        <w:t>;</w:t>
      </w:r>
    </w:p>
    <w:p w14:paraId="1254C459" w14:textId="360EDAC6"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 xml:space="preserve">Invite également </w:t>
      </w:r>
      <w:r w:rsidRPr="007647EB">
        <w:t>les Parties à formuler des observations, selon qu</w:t>
      </w:r>
      <w:r w:rsidR="00D82E47" w:rsidRPr="007647EB">
        <w:t>’</w:t>
      </w:r>
      <w:r w:rsidRPr="007647EB">
        <w:t>il convient, sur les activités que le secrétariat, les Parties et autres parties prenantes pourraient mener pendant l</w:t>
      </w:r>
      <w:r w:rsidR="00D82E47" w:rsidRPr="007647EB">
        <w:t>’</w:t>
      </w:r>
      <w:r w:rsidRPr="007647EB">
        <w:t>exercice biennal 2028-2029</w:t>
      </w:r>
      <w:r w:rsidR="00A72C35" w:rsidRPr="007647EB">
        <w:t> </w:t>
      </w:r>
      <w:r w:rsidRPr="007647EB">
        <w:t>;</w:t>
      </w:r>
    </w:p>
    <w:p w14:paraId="58FD4C31" w14:textId="3B8505C5"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Prie</w:t>
      </w:r>
      <w:r w:rsidRPr="007647EB">
        <w:t xml:space="preserve"> le secrétariat de mener </w:t>
      </w:r>
      <w:r w:rsidR="0061206A" w:rsidRPr="007647EB">
        <w:t>des activités</w:t>
      </w:r>
      <w:r w:rsidRPr="007647EB">
        <w:t xml:space="preserve"> pendant l</w:t>
      </w:r>
      <w:r w:rsidR="00D82E47" w:rsidRPr="007647EB">
        <w:t>’</w:t>
      </w:r>
      <w:r w:rsidRPr="007647EB">
        <w:t>exercice biennal 2026-2027</w:t>
      </w:r>
      <w:r w:rsidR="0061206A" w:rsidRPr="007647EB">
        <w:rPr>
          <w:rStyle w:val="FootnoteReference"/>
          <w:rFonts w:eastAsia="SimSun"/>
        </w:rPr>
        <w:footnoteReference w:id="3"/>
      </w:r>
      <w:r w:rsidR="00465D5E" w:rsidRPr="007647EB">
        <w:t xml:space="preserve"> </w:t>
      </w:r>
      <w:r w:rsidRPr="007647EB">
        <w:t>sous</w:t>
      </w:r>
      <w:r w:rsidR="00465D5E" w:rsidRPr="007647EB">
        <w:t> </w:t>
      </w:r>
      <w:r w:rsidRPr="007647EB">
        <w:t>réserve de la disponibilité des ressources</w:t>
      </w:r>
      <w:r w:rsidR="00A72C35" w:rsidRPr="007647EB">
        <w:t> </w:t>
      </w:r>
      <w:r w:rsidRPr="007647EB">
        <w:t xml:space="preserve">; </w:t>
      </w:r>
    </w:p>
    <w:p w14:paraId="0860E70B" w14:textId="1BB9C085"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Prie également</w:t>
      </w:r>
      <w:r w:rsidRPr="007647EB">
        <w:t xml:space="preserve"> le secrétariat de lui faire rapport sur la mise en œuvre de la présente décision et de proposer d</w:t>
      </w:r>
      <w:r w:rsidR="00D82E47" w:rsidRPr="007647EB">
        <w:t>’</w:t>
      </w:r>
      <w:r w:rsidRPr="007647EB">
        <w:t>éventuelles activités à mener par lui-même, les Parties et autres parties prenantes pendant l</w:t>
      </w:r>
      <w:r w:rsidR="00D82E47" w:rsidRPr="007647EB">
        <w:t>’</w:t>
      </w:r>
      <w:r w:rsidRPr="007647EB">
        <w:t>exercice biennal 2028-2029, selon qu</w:t>
      </w:r>
      <w:r w:rsidR="00D82E47" w:rsidRPr="007647EB">
        <w:t>’</w:t>
      </w:r>
      <w:r w:rsidRPr="007647EB">
        <w:t>il convient, pour examen par la Conférence à sa septième réunion.</w:t>
      </w:r>
    </w:p>
    <w:p w14:paraId="246A06AD" w14:textId="77777777" w:rsidR="00312042" w:rsidRPr="007647EB" w:rsidRDefault="00312042" w:rsidP="00F152CE">
      <w:pPr>
        <w:pStyle w:val="CH2"/>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175AD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1E07" w14:textId="77777777" w:rsidR="004A215E" w:rsidRPr="00300193" w:rsidRDefault="004A215E">
      <w:r w:rsidRPr="00300193">
        <w:separator/>
      </w:r>
    </w:p>
  </w:endnote>
  <w:endnote w:type="continuationSeparator" w:id="0">
    <w:p w14:paraId="73C86FD3" w14:textId="77777777" w:rsidR="004A215E" w:rsidRPr="00300193" w:rsidRDefault="004A215E">
      <w:r w:rsidRPr="00300193">
        <w:continuationSeparator/>
      </w:r>
    </w:p>
  </w:endnote>
  <w:endnote w:type="continuationNotice" w:id="1">
    <w:p w14:paraId="497A5AB9" w14:textId="77777777" w:rsidR="004A215E" w:rsidRPr="00300193" w:rsidRDefault="004A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50890"/>
      <w:docPartObj>
        <w:docPartGallery w:val="Page Numbers (Bottom of Page)"/>
        <w:docPartUnique/>
      </w:docPartObj>
    </w:sdtPr>
    <w:sdtEndPr>
      <w:rPr>
        <w:b/>
        <w:bCs/>
        <w:noProof/>
      </w:rPr>
    </w:sdtEndPr>
    <w:sdtContent>
      <w:p w14:paraId="0C20CF6E" w14:textId="75E705B6" w:rsidR="00175AD6" w:rsidRPr="00A547CC" w:rsidRDefault="00A547CC" w:rsidP="00A547CC">
        <w:pPr>
          <w:pStyle w:val="Footer"/>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14466"/>
      <w:docPartObj>
        <w:docPartGallery w:val="Page Numbers (Bottom of Page)"/>
        <w:docPartUnique/>
      </w:docPartObj>
    </w:sdtPr>
    <w:sdtEndPr>
      <w:rPr>
        <w:b/>
        <w:bCs/>
        <w:noProof/>
      </w:rPr>
    </w:sdtEndPr>
    <w:sdtContent>
      <w:p w14:paraId="7A276A45" w14:textId="0F2FE093" w:rsidR="00175AD6" w:rsidRPr="00A547CC" w:rsidRDefault="00A547CC" w:rsidP="00A547CC">
        <w:pPr>
          <w:pStyle w:val="Footer"/>
          <w:jc w:val="right"/>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24D0CF9" w:rsidR="00CD5597" w:rsidRPr="00175AD6" w:rsidRDefault="00175AD6"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6ED4" w14:textId="77777777" w:rsidR="004A215E" w:rsidRPr="00300193" w:rsidRDefault="004A215E" w:rsidP="00300193">
      <w:pPr>
        <w:pStyle w:val="Footnote-Separator"/>
        <w:ind w:left="624"/>
        <w:rPr>
          <w:szCs w:val="18"/>
        </w:rPr>
      </w:pPr>
      <w:r w:rsidRPr="00300193">
        <w:separator/>
      </w:r>
    </w:p>
  </w:footnote>
  <w:footnote w:type="continuationSeparator" w:id="0">
    <w:p w14:paraId="500B3DBC" w14:textId="77777777" w:rsidR="004A215E" w:rsidRPr="00300193" w:rsidRDefault="004A215E" w:rsidP="00300193">
      <w:pPr>
        <w:pStyle w:val="Footnote-Separator"/>
      </w:pPr>
      <w:r w:rsidRPr="00300193">
        <w:continuationSeparator/>
      </w:r>
    </w:p>
  </w:footnote>
  <w:footnote w:type="continuationNotice" w:id="1">
    <w:p w14:paraId="35E1B899" w14:textId="77777777" w:rsidR="004A215E" w:rsidRPr="00300193" w:rsidRDefault="004A215E" w:rsidP="00300193">
      <w:pPr>
        <w:pStyle w:val="ASpacer"/>
      </w:pPr>
    </w:p>
  </w:footnote>
  <w:footnote w:id="2">
    <w:p w14:paraId="0A424F94" w14:textId="4AF0CABE" w:rsidR="00F152CE" w:rsidRPr="00300193" w:rsidRDefault="00300193" w:rsidP="00300193">
      <w:pPr>
        <w:pStyle w:val="Footnote-Text"/>
      </w:pPr>
      <w:r w:rsidRPr="00300193">
        <w:rPr>
          <w:rStyle w:val="FootnoteReference"/>
          <w:rFonts w:eastAsia="SimSun"/>
          <w:sz w:val="20"/>
        </w:rPr>
        <w:footnoteRef/>
      </w:r>
      <w:r w:rsidR="00F152CE" w:rsidRPr="00300193">
        <w:t xml:space="preserve"> </w:t>
      </w:r>
      <w:r w:rsidR="0061206A" w:rsidRPr="00300193">
        <w:t xml:space="preserve">Les </w:t>
      </w:r>
      <w:r w:rsidR="009B6B72" w:rsidRPr="00300193">
        <w:t>activit</w:t>
      </w:r>
      <w:r w:rsidR="0061206A" w:rsidRPr="00300193">
        <w:t>é</w:t>
      </w:r>
      <w:r w:rsidR="009B6B72" w:rsidRPr="00300193">
        <w:t xml:space="preserve">s </w:t>
      </w:r>
      <w:r w:rsidR="0061206A" w:rsidRPr="00300193">
        <w:t xml:space="preserve">préconisées sont décrites au paragraphe 2 du </w:t>
      </w:r>
      <w:r w:rsidR="009B6B72" w:rsidRPr="00300193">
        <w:t>document UNEP/MC/COP.6/29.</w:t>
      </w:r>
    </w:p>
  </w:footnote>
  <w:footnote w:id="3">
    <w:p w14:paraId="4C131770" w14:textId="227BBB71" w:rsidR="0061206A" w:rsidRPr="00300193" w:rsidRDefault="00300193" w:rsidP="00300193">
      <w:pPr>
        <w:pStyle w:val="Footnote-Text"/>
      </w:pPr>
      <w:r w:rsidRPr="00300193">
        <w:rPr>
          <w:rStyle w:val="FootnoteReference"/>
          <w:rFonts w:eastAsia="SimSun"/>
          <w:sz w:val="20"/>
          <w:szCs w:val="20"/>
        </w:rPr>
        <w:footnoteRef/>
      </w:r>
      <w:r w:rsidR="0061206A" w:rsidRPr="00300193">
        <w:t xml:space="preserve"> Les activités préconisées sont décrites au paragraphe 1 du document UNEP/MC/COP.6/29.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D80" w14:textId="79775A52" w:rsidR="00175AD6" w:rsidRDefault="00175AD6" w:rsidP="00175AD6">
    <w:pPr>
      <w:pStyle w:val="Header-pool"/>
    </w:pPr>
    <w:r>
      <w:fldChar w:fldCharType="begin"/>
    </w:r>
    <w:r>
      <w:instrText xml:space="preserve"> StyleRef A_Symbol </w:instrText>
    </w:r>
    <w:r>
      <w:fldChar w:fldCharType="separate"/>
    </w:r>
    <w:r w:rsidR="00E4642A">
      <w:rPr>
        <w:noProof/>
      </w:rPr>
      <w:t>UNEP/MC/COP.6/Dec.14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3143" w14:textId="56866696" w:rsidR="00175AD6" w:rsidRDefault="00A547CC" w:rsidP="00A547CC">
    <w:pPr>
      <w:pStyle w:val="Header-pool"/>
      <w:jc w:val="right"/>
    </w:pPr>
    <w:r>
      <w:fldChar w:fldCharType="begin"/>
    </w:r>
    <w:r>
      <w:instrText xml:space="preserve"> StyleRef A_Symbol </w:instrText>
    </w:r>
    <w:r>
      <w:fldChar w:fldCharType="separate"/>
    </w:r>
    <w:r w:rsidR="00E4642A">
      <w:rPr>
        <w:noProof/>
      </w:rPr>
      <w:t>UNEP/MC/COP.6/Dec.14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5AD6"/>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69E5"/>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07D8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123"/>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15E"/>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4B8"/>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7CC"/>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42A"/>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99FF-7F3B-4045-991E-12F2DC69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1</Pages>
  <Words>274</Words>
  <Characters>1563</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1834</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