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4FBA49D9"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93E54">
              <w:t>1</w:t>
            </w:r>
            <w:r w:rsidR="00F72650">
              <w:t>5</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7CE3A4B2" w14:textId="49411467" w:rsidR="00107665" w:rsidRPr="00A659FB" w:rsidRDefault="00A659FB" w:rsidP="00CA1023">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2"/>
      <w:r w:rsidRPr="00A22783">
        <w:rPr>
          <w:lang w:val="ru-RU"/>
        </w:rPr>
        <w:tab/>
      </w:r>
      <w:bookmarkStart w:id="1" w:name="_Toc222992822"/>
      <w:r w:rsidR="00107665" w:rsidRPr="00A659FB">
        <w:rPr>
          <w:lang w:val="ru-RU"/>
        </w:rPr>
        <w:t xml:space="preserve">Решение МК-6/15. </w:t>
      </w:r>
      <w:r w:rsidR="00C237D9">
        <w:rPr>
          <w:lang w:val="ru-RU"/>
        </w:rPr>
        <w:t>У</w:t>
      </w:r>
      <w:r w:rsidR="004655EE">
        <w:rPr>
          <w:lang w:val="ru-RU"/>
        </w:rPr>
        <w:t>силение</w:t>
      </w:r>
      <w:r w:rsidR="00C237D9" w:rsidRPr="00A659FB">
        <w:rPr>
          <w:lang w:val="ru-RU"/>
        </w:rPr>
        <w:t xml:space="preserve"> </w:t>
      </w:r>
      <w:r w:rsidR="00107665" w:rsidRPr="00A659FB">
        <w:rPr>
          <w:lang w:val="ru-RU"/>
        </w:rPr>
        <w:t>эффективно</w:t>
      </w:r>
      <w:r w:rsidR="004655EE">
        <w:rPr>
          <w:lang w:val="ru-RU"/>
        </w:rPr>
        <w:t>го</w:t>
      </w:r>
      <w:r w:rsidR="00107665" w:rsidRPr="00A659FB">
        <w:rPr>
          <w:lang w:val="ru-RU"/>
        </w:rPr>
        <w:t xml:space="preserve"> взаимодействи</w:t>
      </w:r>
      <w:r w:rsidR="004655EE">
        <w:rPr>
          <w:lang w:val="ru-RU"/>
        </w:rPr>
        <w:t>я</w:t>
      </w:r>
      <w:r w:rsidR="00107665" w:rsidRPr="00A659FB">
        <w:rPr>
          <w:lang w:val="ru-RU"/>
        </w:rPr>
        <w:t xml:space="preserve"> с коренными народами и с местными общинами</w:t>
      </w:r>
      <w:bookmarkStart w:id="2" w:name="_Toc219712813"/>
      <w:bookmarkStart w:id="3" w:name="_Hlk213337772"/>
      <w:bookmarkEnd w:id="0"/>
      <w:bookmarkEnd w:id="1"/>
      <w:bookmarkEnd w:id="2"/>
      <w:bookmarkEnd w:id="3"/>
    </w:p>
    <w:p w14:paraId="44324E47"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58F1DF52"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eastAsia="Calibri" w:hAnsiTheme="majorBidi" w:cstheme="majorBidi"/>
          <w:lang w:val="ru-RU"/>
        </w:rPr>
      </w:pPr>
      <w:r w:rsidRPr="0094750E">
        <w:rPr>
          <w:i/>
          <w:iCs/>
          <w:lang w:val="ru-RU"/>
        </w:rPr>
        <w:t>напоминая</w:t>
      </w:r>
      <w:r>
        <w:rPr>
          <w:lang w:val="ru-RU"/>
        </w:rPr>
        <w:t xml:space="preserve"> о правах коренных народов, изложенных в Декларации Организации Объединенных Наций о правах коренных народов, и о том, что коренные народы, а также местные общины в непропорционально большой степени страдают от последствий загрязнения ртутью,</w:t>
      </w:r>
    </w:p>
    <w:p w14:paraId="52112B59" w14:textId="7AE7B3F8"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подчеркивая</w:t>
      </w:r>
      <w:r>
        <w:rPr>
          <w:lang w:val="ru-RU"/>
        </w:rPr>
        <w:t xml:space="preserve">, что коренные народы, а также местные общины должны играть важную роль в осуществлении </w:t>
      </w:r>
      <w:proofErr w:type="spellStart"/>
      <w:r>
        <w:rPr>
          <w:lang w:val="ru-RU"/>
        </w:rPr>
        <w:t>Минаматской</w:t>
      </w:r>
      <w:proofErr w:type="spellEnd"/>
      <w:r>
        <w:rPr>
          <w:lang w:val="ru-RU"/>
        </w:rPr>
        <w:t xml:space="preserve"> конвенции о ртути, и отмечая, что их полноценное и эффективное </w:t>
      </w:r>
      <w:r w:rsidR="004655EE">
        <w:rPr>
          <w:lang w:val="ru-RU"/>
        </w:rPr>
        <w:t xml:space="preserve">взаимодействие и </w:t>
      </w:r>
      <w:r>
        <w:rPr>
          <w:lang w:val="ru-RU"/>
        </w:rPr>
        <w:t xml:space="preserve">участие в совещаниях и процессах в рамках Конвенции имеет важное значение для достижения ее цели, </w:t>
      </w:r>
    </w:p>
    <w:p w14:paraId="77B8D802"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принимая к сведению</w:t>
      </w:r>
      <w:r>
        <w:rPr>
          <w:lang w:val="ru-RU"/>
        </w:rPr>
        <w:t xml:space="preserve"> результаты исследования потребностей и приоритетов коренных народов, а также местных общин в отношении воздействия ртути на их здоровье, средства к существованию, культуру и знания и признавая, что эффективное взаимодействие и участие в работе Конвенции являются для этих групп одним из важнейших приоритетов в решении проблемы загрязнения ртутью,</w:t>
      </w:r>
    </w:p>
    <w:p w14:paraId="0943CD66"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4750E">
        <w:rPr>
          <w:i/>
          <w:iCs/>
          <w:lang w:val="ru-RU"/>
        </w:rPr>
        <w:t>приветствуя</w:t>
      </w:r>
      <w:r>
        <w:rPr>
          <w:lang w:val="ru-RU"/>
        </w:rPr>
        <w:t xml:space="preserve"> усилия секретариата по созданию Платформы для коренных народов и призывая Стороны и другие соответствующие заинтересованные субъекты продолжать стимулировать политику, позволяющую коренным народам, а также местным общинам получать пользу от распространения информации, повышения осведомленности и просвещения в отношении выбросов и высвобождений ртути и вносить вклад в эту деятельность,</w:t>
      </w:r>
    </w:p>
    <w:p w14:paraId="092B8186" w14:textId="77777777" w:rsidR="00107665" w:rsidRPr="00DB6FFC" w:rsidRDefault="00107665" w:rsidP="0094750E">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strike/>
          <w:lang w:val="ru-RU"/>
        </w:rPr>
      </w:pPr>
      <w:r w:rsidRPr="0094750E">
        <w:rPr>
          <w:i/>
          <w:iCs/>
          <w:lang w:val="ru-RU"/>
        </w:rPr>
        <w:t>ссылаясь</w:t>
      </w:r>
      <w:r>
        <w:rPr>
          <w:lang w:val="ru-RU"/>
        </w:rPr>
        <w:t xml:space="preserve"> на решение МК-5/1 о последствиях загрязнения ртутью для коренных народов и для местных общин,</w:t>
      </w:r>
    </w:p>
    <w:p w14:paraId="65149F62" w14:textId="504EE0FA" w:rsidR="00107665" w:rsidRPr="00DB6FFC" w:rsidRDefault="00107665" w:rsidP="0094750E">
      <w:pPr>
        <w:pStyle w:val="NormalNonumber"/>
        <w:numPr>
          <w:ilvl w:val="0"/>
          <w:numId w:val="63"/>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94750E">
        <w:rPr>
          <w:i/>
          <w:iCs/>
          <w:lang w:val="ru-RU"/>
        </w:rPr>
        <w:t>настоятельно призывает</w:t>
      </w:r>
      <w:r>
        <w:rPr>
          <w:lang w:val="ru-RU"/>
        </w:rPr>
        <w:t xml:space="preserve"> Стороны </w:t>
      </w:r>
      <w:proofErr w:type="spellStart"/>
      <w:r>
        <w:rPr>
          <w:lang w:val="ru-RU"/>
        </w:rPr>
        <w:t>Минаматской</w:t>
      </w:r>
      <w:proofErr w:type="spellEnd"/>
      <w:r>
        <w:rPr>
          <w:lang w:val="ru-RU"/>
        </w:rPr>
        <w:t xml:space="preserve"> конвенции о ртути и предлагает государствам, которые не являются ее Сторонами, а также правительственным, межправительственным и неправительственным организациям и другим субъектам содействовать эффективному участию коренных народов, а также</w:t>
      </w:r>
      <w:r w:rsidR="005146A8" w:rsidRPr="005146A8">
        <w:rPr>
          <w:lang w:val="ru-RU"/>
        </w:rPr>
        <w:t xml:space="preserve"> </w:t>
      </w:r>
      <w:r w:rsidR="005146A8">
        <w:rPr>
          <w:lang w:val="ru-RU"/>
        </w:rPr>
        <w:t>местных общин</w:t>
      </w:r>
      <w:r>
        <w:rPr>
          <w:lang w:val="ru-RU"/>
        </w:rPr>
        <w:t xml:space="preserve">, в </w:t>
      </w:r>
      <w:r w:rsidR="005146A8">
        <w:rPr>
          <w:lang w:val="ru-RU"/>
        </w:rPr>
        <w:t xml:space="preserve">надлежащих </w:t>
      </w:r>
      <w:r>
        <w:rPr>
          <w:lang w:val="ru-RU"/>
        </w:rPr>
        <w:t xml:space="preserve">случаях, особенно из регионов, которые в непропорционально большой степени страдают от загрязнения ртутью, в работе и совещаниях в рамках Конвенции, в том числе посредством добровольных взносов в Специальный целевой фонд Конвенции; </w:t>
      </w:r>
    </w:p>
    <w:p w14:paraId="63336B29" w14:textId="77777777" w:rsidR="00107665" w:rsidRPr="00631C1C" w:rsidRDefault="00107665" w:rsidP="00757D6B">
      <w:pPr>
        <w:pStyle w:val="NormalNonumber"/>
        <w:keepNext/>
        <w:numPr>
          <w:ilvl w:val="0"/>
          <w:numId w:val="63"/>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94750E">
        <w:rPr>
          <w:i/>
          <w:iCs/>
          <w:lang w:val="ru-RU"/>
        </w:rPr>
        <w:lastRenderedPageBreak/>
        <w:t>поручает</w:t>
      </w:r>
      <w:r>
        <w:rPr>
          <w:lang w:val="ru-RU"/>
        </w:rPr>
        <w:t xml:space="preserve"> секретариату:</w:t>
      </w:r>
    </w:p>
    <w:p w14:paraId="46A2E7B3" w14:textId="4AC689A5"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обратиться к коренным народам, а также к местным общинам через организации коренных народов, аккредитованные при Конвенции, организации местных общин, аккредитованные при Конвенции, и Международный форум коренных народов по вопросам ртути за консультацией о возможных мерах по </w:t>
      </w:r>
      <w:r w:rsidR="00C330F8">
        <w:rPr>
          <w:lang w:val="ru-RU"/>
        </w:rPr>
        <w:t xml:space="preserve">усилению </w:t>
      </w:r>
      <w:r>
        <w:rPr>
          <w:lang w:val="ru-RU"/>
        </w:rPr>
        <w:t xml:space="preserve">их эффективного </w:t>
      </w:r>
      <w:r w:rsidR="00C330F8">
        <w:rPr>
          <w:lang w:val="ru-RU"/>
        </w:rPr>
        <w:t xml:space="preserve">взаимодействия </w:t>
      </w:r>
      <w:r>
        <w:rPr>
          <w:lang w:val="ru-RU"/>
        </w:rPr>
        <w:t>в работе Конвенции и о предлагаемых дальнейших шагах;</w:t>
      </w:r>
    </w:p>
    <w:p w14:paraId="729F95C4" w14:textId="3D9B5EC6"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сообщать о возможностях для </w:t>
      </w:r>
      <w:r w:rsidR="002263E0">
        <w:rPr>
          <w:lang w:val="ru-RU"/>
        </w:rPr>
        <w:t xml:space="preserve">взаимодействия </w:t>
      </w:r>
      <w:r>
        <w:rPr>
          <w:lang w:val="ru-RU"/>
        </w:rPr>
        <w:t>и поддержки через Платформу для коренных народов;</w:t>
      </w:r>
    </w:p>
    <w:p w14:paraId="6F4174F0" w14:textId="0092012A"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pPr>
      <w:r>
        <w:rPr>
          <w:lang w:val="ru-RU"/>
        </w:rPr>
        <w:t xml:space="preserve">сотрудничать с Управлением Верховного комиссара Организации Объединенных Наций по правам человека, секретариатом Конвенции о биологическом разнообразии и другими соответствующими организациями и заинтересованными сторонами, </w:t>
      </w:r>
      <w:r w:rsidR="000F2FD6">
        <w:rPr>
          <w:lang w:val="ru-RU"/>
        </w:rPr>
        <w:t>в надлежащих случаях</w:t>
      </w:r>
      <w:r>
        <w:rPr>
          <w:lang w:val="ru-RU"/>
        </w:rPr>
        <w:t xml:space="preserve">, для дальнейшего </w:t>
      </w:r>
      <w:r w:rsidR="002263E0">
        <w:rPr>
          <w:lang w:val="ru-RU"/>
        </w:rPr>
        <w:t xml:space="preserve">усиления </w:t>
      </w:r>
      <w:r>
        <w:rPr>
          <w:lang w:val="ru-RU"/>
        </w:rPr>
        <w:t xml:space="preserve">эффективного </w:t>
      </w:r>
      <w:r w:rsidR="002263E0">
        <w:rPr>
          <w:lang w:val="ru-RU"/>
        </w:rPr>
        <w:t xml:space="preserve">взаимодействия </w:t>
      </w:r>
      <w:r>
        <w:rPr>
          <w:lang w:val="ru-RU"/>
        </w:rPr>
        <w:t>в отношении загрязнения ртутью;</w:t>
      </w:r>
    </w:p>
    <w:p w14:paraId="3D301B64" w14:textId="77777777" w:rsidR="00107665" w:rsidRPr="00DB6FFC" w:rsidRDefault="00107665" w:rsidP="0094750E">
      <w:pPr>
        <w:pStyle w:val="NormalNonumber"/>
        <w:numPr>
          <w:ilvl w:val="0"/>
          <w:numId w:val="64"/>
        </w:numPr>
        <w:tabs>
          <w:tab w:val="clear" w:pos="624"/>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ru-RU"/>
        </w:rPr>
        <w:sectPr w:rsidR="00107665" w:rsidRPr="00DB6FFC" w:rsidSect="00F72650">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r>
        <w:rPr>
          <w:lang w:val="ru-RU"/>
        </w:rPr>
        <w:t>представить Конференции Сторон на ее седьмом совещании доклад об осуществлении настоящего решения.</w:t>
      </w:r>
    </w:p>
    <w:p w14:paraId="79979D12" w14:textId="595EDD7C" w:rsidR="00107665" w:rsidRPr="00F72650" w:rsidRDefault="00107665" w:rsidP="0094750E">
      <w:pPr>
        <w:pStyle w:val="Normal-pool"/>
        <w:tabs>
          <w:tab w:val="clear" w:pos="624"/>
          <w:tab w:val="clear" w:pos="1247"/>
          <w:tab w:val="clear" w:pos="1871"/>
          <w:tab w:val="clear" w:pos="2495"/>
          <w:tab w:val="clear" w:pos="3119"/>
          <w:tab w:val="clear" w:pos="3742"/>
          <w:tab w:val="clear" w:pos="4366"/>
          <w:tab w:val="clear" w:pos="4990"/>
        </w:tabs>
        <w:rPr>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CDF4" w14:textId="77777777" w:rsidR="00D9540E" w:rsidRPr="00CD5597" w:rsidRDefault="00D9540E">
      <w:r w:rsidRPr="00CD5597">
        <w:separator/>
      </w:r>
    </w:p>
  </w:endnote>
  <w:endnote w:type="continuationSeparator" w:id="0">
    <w:p w14:paraId="1DB7E5EA" w14:textId="77777777" w:rsidR="00D9540E" w:rsidRPr="00CD5597" w:rsidRDefault="00D9540E">
      <w:r w:rsidRPr="00CD5597">
        <w:continuationSeparator/>
      </w:r>
    </w:p>
  </w:endnote>
  <w:endnote w:type="continuationNotice" w:id="1">
    <w:p w14:paraId="0AD0FC03" w14:textId="77777777" w:rsidR="00D9540E" w:rsidRDefault="00D9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3E20C1CB" w:rsidR="00107665" w:rsidRPr="00AA73D8" w:rsidRDefault="00AA73D8" w:rsidP="00164C33">
    <w:pPr>
      <w:pStyle w:val="Footer-jobnumber"/>
      <w:rPr>
        <w:lang w:val="fr-CH"/>
      </w:rPr>
    </w:pPr>
    <w:r>
      <w:rPr>
        <w:lang w:val="fr-CH"/>
      </w:rPr>
      <w:tab/>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49F3" w14:textId="77777777" w:rsidR="00D9540E" w:rsidRPr="00CD5597" w:rsidRDefault="00D9540E" w:rsidP="00C70B49">
      <w:pPr>
        <w:pStyle w:val="Footnote-Separator"/>
        <w:rPr>
          <w:szCs w:val="18"/>
        </w:rPr>
      </w:pPr>
      <w:r w:rsidRPr="00CD5597">
        <w:separator/>
      </w:r>
    </w:p>
  </w:footnote>
  <w:footnote w:type="continuationSeparator" w:id="0">
    <w:p w14:paraId="3B3C4A31" w14:textId="77777777" w:rsidR="00D9540E" w:rsidRPr="00CD5597" w:rsidRDefault="00D9540E" w:rsidP="00C70B49">
      <w:pPr>
        <w:pStyle w:val="Footnote-Separator"/>
      </w:pPr>
      <w:r w:rsidRPr="00CD5597">
        <w:continuationSeparator/>
      </w:r>
    </w:p>
  </w:footnote>
  <w:footnote w:type="continuationNotice" w:id="1">
    <w:p w14:paraId="2912EAC6" w14:textId="77777777" w:rsidR="00D9540E" w:rsidRPr="00CD5597" w:rsidRDefault="00D9540E"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63BCFDCB" w:rsidR="00107665" w:rsidRPr="00C93E54" w:rsidRDefault="00C93E54" w:rsidP="00C93E54">
    <w:pPr>
      <w:pStyle w:val="Header-pool"/>
    </w:pPr>
    <w:r>
      <w:fldChar w:fldCharType="begin"/>
    </w:r>
    <w:r>
      <w:instrText xml:space="preserve"> StyleRef A_Symbol </w:instrText>
    </w:r>
    <w:r>
      <w:fldChar w:fldCharType="separate"/>
    </w:r>
    <w:r w:rsidR="00757D6B">
      <w:rPr>
        <w:noProof/>
      </w:rPr>
      <w:t>UNEP/MC/COP.6/Dec.15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1422B770" w:rsidR="00107665" w:rsidRPr="00C93E54" w:rsidRDefault="00C93E54" w:rsidP="00C93E54">
    <w:pPr>
      <w:pStyle w:val="Header-pool"/>
      <w:jc w:val="right"/>
    </w:pPr>
    <w:r>
      <w:fldChar w:fldCharType="begin"/>
    </w:r>
    <w:r>
      <w:instrText xml:space="preserve"> StyleRef A_Symbol </w:instrText>
    </w:r>
    <w:r>
      <w:fldChar w:fldCharType="separate"/>
    </w:r>
    <w:r w:rsidR="00F72650">
      <w:rPr>
        <w:noProof/>
      </w:rPr>
      <w:t>UNEP/MC/COP.6/Dec.14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4C33"/>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1839"/>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57D6B"/>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77DB1"/>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68B3"/>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3F9B"/>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9D5"/>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3D8"/>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67F98"/>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3E54"/>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540E"/>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4CDB"/>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5E4"/>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5344"/>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650"/>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8A6964E-7676-43D3-9079-EED3FAB226AE}"/>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38</TotalTime>
  <Pages>2</Pages>
  <Words>495</Words>
  <Characters>2827</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2026-01-27T13:32:00Z</cp:lastPrinted>
  <dcterms:created xsi:type="dcterms:W3CDTF">2026-03-18T10:27:00Z</dcterms:created>
  <dcterms:modified xsi:type="dcterms:W3CDTF">2026-04-15T13:04:00Z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