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25A863EA"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Dec.1</w:t>
            </w:r>
            <w:r w:rsidR="004C2000">
              <w:t>3</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49665841"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 w:name="_Hlk156376376"/>
      <w:bookmarkStart w:id="4" w:name="_Toc223125925"/>
      <w:r w:rsidRPr="00E71F49">
        <w:rPr>
          <w:rFonts w:ascii="Simplified Arabic" w:hAnsi="Simplified Arabic" w:cs="Simplified Arabic"/>
          <w:sz w:val="26"/>
          <w:rtl/>
        </w:rPr>
        <w:t>المقرر ا م-6/13: تقديم التقارير الوطنية (المادة 21)</w:t>
      </w:r>
      <w:r w:rsidRPr="00E71F49">
        <w:rPr>
          <w:rFonts w:ascii="Simplified Arabic" w:hAnsi="Simplified Arabic" w:cs="Simplified Arabic"/>
          <w:sz w:val="26"/>
        </w:rPr>
        <w:t>:</w:t>
      </w:r>
      <w:r w:rsidRPr="00E71F49">
        <w:rPr>
          <w:rFonts w:ascii="Simplified Arabic" w:hAnsi="Simplified Arabic" w:cs="Simplified Arabic"/>
          <w:sz w:val="26"/>
          <w:rtl/>
        </w:rPr>
        <w:t xml:space="preserve"> التقارير الوطنية القصيرة الثانية</w:t>
      </w:r>
      <w:bookmarkEnd w:id="4"/>
    </w:p>
    <w:p w14:paraId="765497D7"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noProof/>
          <w:sz w:val="24"/>
          <w:szCs w:val="24"/>
          <w:lang w:val="ar-SA" w:eastAsia="zh-TW" w:bidi="en-GB"/>
        </w:rPr>
      </w:pPr>
      <w:r w:rsidRPr="00141836">
        <w:rPr>
          <w:rFonts w:ascii="Simplified Arabic" w:hAnsi="Simplified Arabic" w:cs="Simplified Arabic"/>
          <w:i/>
          <w:iCs/>
          <w:sz w:val="24"/>
          <w:szCs w:val="24"/>
          <w:rtl/>
        </w:rPr>
        <w:t>إن مؤتمر الأطراف،</w:t>
      </w:r>
    </w:p>
    <w:p w14:paraId="26521854"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141836">
        <w:rPr>
          <w:rFonts w:ascii="Simplified Arabic" w:hAnsi="Simplified Arabic" w:cs="Simplified Arabic"/>
          <w:i/>
          <w:iCs/>
          <w:sz w:val="24"/>
          <w:szCs w:val="24"/>
          <w:rtl/>
        </w:rPr>
        <w:t>إذ يشدد</w:t>
      </w:r>
      <w:r w:rsidRPr="00141836">
        <w:rPr>
          <w:rFonts w:ascii="Simplified Arabic" w:hAnsi="Simplified Arabic" w:cs="Simplified Arabic"/>
          <w:sz w:val="24"/>
          <w:szCs w:val="24"/>
          <w:rtl/>
        </w:rPr>
        <w:t xml:space="preserve"> على أهمية تقديم التقارير، وإذ يشير إلى التزام الأطراف بتقديم تقاريرها الوطنية وفقاً للمادة 21 من اتفاقية ميناماتا بشأن الزئبق،</w:t>
      </w:r>
    </w:p>
    <w:p w14:paraId="367C26DB"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141836">
        <w:rPr>
          <w:rFonts w:ascii="Simplified Arabic" w:hAnsi="Simplified Arabic" w:cs="Simplified Arabic"/>
          <w:i/>
          <w:iCs/>
          <w:sz w:val="24"/>
          <w:szCs w:val="24"/>
          <w:rtl/>
        </w:rPr>
        <w:t>وإذ يضع في اعتباره</w:t>
      </w:r>
      <w:r w:rsidRPr="00141836">
        <w:rPr>
          <w:rFonts w:ascii="Simplified Arabic" w:hAnsi="Simplified Arabic" w:cs="Simplified Arabic"/>
          <w:sz w:val="24"/>
          <w:szCs w:val="24"/>
          <w:rtl/>
        </w:rPr>
        <w:t xml:space="preserve"> التقرير عن أعمال لجنة التنفيذ والامتثال التابعة للاتفاقية في اجتماعيها السادس والسابع، بما في ذلك استنتاجاتها بشأن أداء الأطراف في تقديم </w:t>
      </w:r>
      <w:proofErr w:type="gramStart"/>
      <w:r w:rsidRPr="00141836">
        <w:rPr>
          <w:rFonts w:ascii="Simplified Arabic" w:hAnsi="Simplified Arabic" w:cs="Simplified Arabic"/>
          <w:sz w:val="24"/>
          <w:szCs w:val="24"/>
          <w:rtl/>
        </w:rPr>
        <w:t>التقارير</w:t>
      </w:r>
      <w:r w:rsidRPr="00141836">
        <w:rPr>
          <w:rFonts w:ascii="Simplified Arabic" w:hAnsi="Simplified Arabic" w:cs="Simplified Arabic"/>
          <w:sz w:val="24"/>
          <w:szCs w:val="24"/>
          <w:vertAlign w:val="superscript"/>
          <w:rtl/>
        </w:rPr>
        <w:t>(</w:t>
      </w:r>
      <w:proofErr w:type="gramEnd"/>
      <w:r w:rsidRPr="00141836">
        <w:rPr>
          <w:rFonts w:ascii="Simplified Arabic" w:hAnsi="Simplified Arabic" w:cs="Simplified Arabic"/>
          <w:sz w:val="24"/>
          <w:szCs w:val="24"/>
          <w:vertAlign w:val="superscript"/>
          <w:rtl/>
        </w:rPr>
        <w:footnoteReference w:id="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w:t>
      </w:r>
    </w:p>
    <w:p w14:paraId="53EB7F51"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141836">
        <w:rPr>
          <w:rFonts w:ascii="Simplified Arabic" w:hAnsi="Simplified Arabic" w:cs="Simplified Arabic"/>
          <w:i/>
          <w:iCs/>
          <w:sz w:val="24"/>
          <w:szCs w:val="24"/>
          <w:rtl/>
        </w:rPr>
        <w:t>وإذ يُسلّم</w:t>
      </w:r>
      <w:r w:rsidRPr="00141836">
        <w:rPr>
          <w:rFonts w:ascii="Simplified Arabic" w:hAnsi="Simplified Arabic" w:cs="Simplified Arabic"/>
          <w:sz w:val="24"/>
          <w:szCs w:val="24"/>
          <w:rtl/>
        </w:rPr>
        <w:t xml:space="preserve"> بالتحديات التي تواجه تنفيذ الالتزامات التجارية بموجب المادة 3 والناجمة عن التعدين الأولي للزئبق والتجارة به غير الرسميين أو غير القانونيين اللذين لا يتوافقان مع أحكام الاتفاقية، بما في ذلك جمع البيانات والإبلاغ عن تلك الأنشطة، </w:t>
      </w:r>
    </w:p>
    <w:p w14:paraId="0C802583"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يرحب</w:t>
      </w:r>
      <w:r w:rsidRPr="00141836">
        <w:rPr>
          <w:rFonts w:ascii="Simplified Arabic" w:hAnsi="Simplified Arabic" w:cs="Simplified Arabic"/>
          <w:sz w:val="24"/>
          <w:szCs w:val="24"/>
          <w:rtl/>
        </w:rPr>
        <w:t xml:space="preserve"> بالجهود التي تبذلها الأطراف للإبلاغ عن التعدين الأولي للزئبق والتجارة به غير الرسميين أو غير القانونيين، بما في ذلك ما يتعلق بقطاع تعدين الذهب الحرفي والضيق النطاق،</w:t>
      </w:r>
    </w:p>
    <w:p w14:paraId="2B2BD953"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يشير</w:t>
      </w:r>
      <w:r w:rsidRPr="00141836">
        <w:rPr>
          <w:rFonts w:ascii="Simplified Arabic" w:hAnsi="Simplified Arabic" w:cs="Simplified Arabic"/>
          <w:sz w:val="24"/>
          <w:szCs w:val="24"/>
          <w:rtl/>
        </w:rPr>
        <w:t xml:space="preserve"> إلى الفقرة 2 من المقرر ا م-5/2، التي شجع فيها الأطراف التي لم تتلق موافقة على جميع صادرات الزئبق من أراضي الطرف على تقديم المزيد من المعلومات، إن وجدت، في تقاريرها الوطنية المقبلة،</w:t>
      </w:r>
    </w:p>
    <w:p w14:paraId="4C3D0A9C" w14:textId="77777777" w:rsidR="009D7456" w:rsidRPr="00141836" w:rsidRDefault="009D7456" w:rsidP="00354911">
      <w:pPr>
        <w:numPr>
          <w:ilvl w:val="0"/>
          <w:numId w:val="13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141836">
        <w:rPr>
          <w:rFonts w:ascii="Simplified Arabic" w:hAnsi="Simplified Arabic" w:cs="Simplified Arabic"/>
          <w:i/>
          <w:iCs/>
          <w:sz w:val="24"/>
          <w:szCs w:val="24"/>
          <w:rtl/>
        </w:rPr>
        <w:t>يرحب</w:t>
      </w:r>
      <w:r w:rsidRPr="00141836">
        <w:rPr>
          <w:rFonts w:ascii="Simplified Arabic" w:hAnsi="Simplified Arabic" w:cs="Simplified Arabic"/>
          <w:sz w:val="24"/>
          <w:szCs w:val="24"/>
          <w:rtl/>
        </w:rPr>
        <w:t xml:space="preserve"> بارتفاع معدل تقديم الأطراف (86 في </w:t>
      </w:r>
      <w:proofErr w:type="gramStart"/>
      <w:r w:rsidRPr="00141836">
        <w:rPr>
          <w:rFonts w:ascii="Simplified Arabic" w:hAnsi="Simplified Arabic" w:cs="Simplified Arabic"/>
          <w:sz w:val="24"/>
          <w:szCs w:val="24"/>
          <w:rtl/>
        </w:rPr>
        <w:t>المائة</w:t>
      </w:r>
      <w:proofErr w:type="gramEnd"/>
      <w:r w:rsidRPr="00141836">
        <w:rPr>
          <w:rFonts w:ascii="Simplified Arabic" w:hAnsi="Simplified Arabic" w:cs="Simplified Arabic"/>
          <w:sz w:val="24"/>
          <w:szCs w:val="24"/>
          <w:rtl/>
        </w:rPr>
        <w:t>) لتقاريرها الوطنية القصيرة الثانية، ويسلم بأن ثمة مجالاً لمزيد من التحسين في معدل الإبلاغ؛</w:t>
      </w:r>
    </w:p>
    <w:p w14:paraId="5CCCEB1F" w14:textId="77777777" w:rsidR="009D7456" w:rsidRPr="000B2F1F" w:rsidRDefault="009D7456" w:rsidP="000B2F1F">
      <w:pPr>
        <w:numPr>
          <w:ilvl w:val="0"/>
          <w:numId w:val="13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w w:val="99"/>
          <w:sz w:val="24"/>
          <w:szCs w:val="24"/>
          <w:lang w:val="ar-SA" w:eastAsia="zh-TW" w:bidi="en-GB"/>
        </w:rPr>
      </w:pPr>
      <w:r w:rsidRPr="000B2F1F">
        <w:rPr>
          <w:rFonts w:ascii="Simplified Arabic" w:hAnsi="Simplified Arabic" w:cs="Simplified Arabic"/>
          <w:i/>
          <w:iCs/>
          <w:w w:val="99"/>
          <w:sz w:val="24"/>
          <w:szCs w:val="24"/>
          <w:rtl/>
        </w:rPr>
        <w:t>يدعو</w:t>
      </w:r>
      <w:r w:rsidRPr="000B2F1F">
        <w:rPr>
          <w:rFonts w:ascii="Simplified Arabic" w:hAnsi="Simplified Arabic" w:cs="Simplified Arabic"/>
          <w:w w:val="99"/>
          <w:sz w:val="24"/>
          <w:szCs w:val="24"/>
          <w:rtl/>
        </w:rPr>
        <w:t xml:space="preserve"> الأطراف إلى تحقيق معدل مرتفع من الإبلاغ في تقاريرها الوطنية الكاملة الثانية، التي يحين موعد تقديمها بحلول 31 كانون الأول/ديسمبر 2025، ويطلب إلى الأطراف تقديم تقاريرها في الوقت المناسب؛</w:t>
      </w:r>
    </w:p>
    <w:p w14:paraId="3C64E60B" w14:textId="77777777" w:rsidR="009D7456" w:rsidRPr="00141836" w:rsidRDefault="009D7456" w:rsidP="00354911">
      <w:pPr>
        <w:numPr>
          <w:ilvl w:val="0"/>
          <w:numId w:val="13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141836">
        <w:rPr>
          <w:rFonts w:ascii="Simplified Arabic" w:hAnsi="Simplified Arabic" w:cs="Simplified Arabic"/>
          <w:i/>
          <w:iCs/>
          <w:sz w:val="24"/>
          <w:szCs w:val="24"/>
          <w:rtl/>
        </w:rPr>
        <w:lastRenderedPageBreak/>
        <w:t>يعيد تأكيد</w:t>
      </w:r>
      <w:r w:rsidRPr="00141836">
        <w:rPr>
          <w:rFonts w:ascii="Simplified Arabic" w:hAnsi="Simplified Arabic" w:cs="Simplified Arabic"/>
          <w:sz w:val="24"/>
          <w:szCs w:val="24"/>
          <w:rtl/>
        </w:rPr>
        <w:t xml:space="preserve"> دعوته إلى الأطراف التي حصلت على موافقة على تصدير الزئبق إلى الأطراف و/أو غير الأطراف بأن تقدم إلى الأمانة إما نسخاً من استمارات الموافقة المستخدمة أو معلومات مناسبة أخرى في تقاريرها المقدمة عملاً بالمادة 21 لإظهار أن الشروط ذات الصلة المنصوص عليها في المادة 3 قد استوفيت؛</w:t>
      </w:r>
    </w:p>
    <w:p w14:paraId="05DA0F6A" w14:textId="77777777" w:rsidR="009D7456" w:rsidRPr="00141836" w:rsidRDefault="009D7456" w:rsidP="00354911">
      <w:pPr>
        <w:numPr>
          <w:ilvl w:val="0"/>
          <w:numId w:val="13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rPr>
      </w:pPr>
      <w:r w:rsidRPr="00A60F10">
        <w:rPr>
          <w:rFonts w:ascii="Simplified Arabic" w:hAnsi="Simplified Arabic" w:cs="Simplified Arabic"/>
          <w:i/>
          <w:iCs/>
          <w:noProof/>
          <w:sz w:val="24"/>
          <w:szCs w:val="24"/>
          <w:rtl/>
          <w:lang w:val="ar-SA" w:eastAsia="zh-TW"/>
        </w:rPr>
        <w:t>يدعو</w:t>
      </w:r>
      <w:r w:rsidRPr="00141836">
        <w:rPr>
          <w:rFonts w:ascii="Simplified Arabic" w:hAnsi="Simplified Arabic" w:cs="Simplified Arabic"/>
          <w:noProof/>
          <w:sz w:val="24"/>
          <w:szCs w:val="24"/>
          <w:rtl/>
          <w:lang w:val="ar-SA" w:eastAsia="zh-TW"/>
        </w:rPr>
        <w:t xml:space="preserve"> الأطراف إلى تقديم خطط عملها الوطنية المكتملة بشأن التخلص التدريجي من ملغم الأسنان إما مع تقاريرها الوطنية الكاملة الثانية، التي يحين موعد تقديمها بحلول 31 كانون الأول/ديسمبر 2025، أو مع تقاريرها الوطنية الموجزة الثالثة، التي يحين موعد تقديمها بحلول 31 كانون الأول/ديسمبر 2027؛</w:t>
      </w:r>
    </w:p>
    <w:p w14:paraId="198DF9B3" w14:textId="77777777" w:rsidR="009D7456" w:rsidRPr="00141836" w:rsidRDefault="009D7456" w:rsidP="003E3D9B">
      <w:pPr>
        <w:numPr>
          <w:ilvl w:val="0"/>
          <w:numId w:val="130"/>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noProof/>
          <w:sz w:val="24"/>
          <w:szCs w:val="24"/>
          <w:lang w:val="ar-SA" w:eastAsia="zh-TW" w:bidi="en-GB"/>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بالتحديثات التي أُدخلت على التوجيهات المتعلقة باستكمال نموذج الإبلاغ الوطني على النحو المطلوب في المقرر ا م-5/13</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2"/>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ويشجع الأطراف على استخدام التوجيهات في جولتي الإبلاغ الحالية والمقبلة؛ </w:t>
      </w:r>
    </w:p>
    <w:p w14:paraId="76B11799" w14:textId="77777777" w:rsidR="009D7456" w:rsidRPr="00141836" w:rsidRDefault="009D7456" w:rsidP="00354911">
      <w:pPr>
        <w:numPr>
          <w:ilvl w:val="0"/>
          <w:numId w:val="13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noProof/>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w:t>
      </w:r>
    </w:p>
    <w:p w14:paraId="02E3450B" w14:textId="21CCC1F8" w:rsidR="009D7456" w:rsidRPr="00354911" w:rsidRDefault="009D7456" w:rsidP="00354911">
      <w:pPr>
        <w:pStyle w:val="ListParagraph"/>
        <w:numPr>
          <w:ilvl w:val="0"/>
          <w:numId w:val="22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noProof/>
          <w:sz w:val="24"/>
          <w:szCs w:val="24"/>
          <w:lang w:val="ar-SA" w:eastAsia="zh-TW" w:bidi="en-GB"/>
        </w:rPr>
      </w:pPr>
      <w:r w:rsidRPr="00354911">
        <w:rPr>
          <w:rFonts w:ascii="Simplified Arabic" w:hAnsi="Simplified Arabic" w:cs="Simplified Arabic"/>
          <w:sz w:val="24"/>
          <w:szCs w:val="24"/>
          <w:rtl/>
        </w:rPr>
        <w:t xml:space="preserve">أن تجمع معلومات عن أفضل الممارسات للإبلاغ عن الأنشطة غير الرسمية أو غير القانونية التي لا تتوافق مع أحكام الاتفاقية، بهدف استبانة معلومات من شأنها أن تكون مفيدة لتقييم حجمها وطابعها، وأن تستكشف كيف يمكن أن يُسترشد بهذه المعلومات في أدوات أو عناصر الإبلاغ لدعم الأطراف التي تواجه تحديات من هذا القبيل؛ </w:t>
      </w:r>
    </w:p>
    <w:p w14:paraId="63DC5F3B" w14:textId="7856F29B" w:rsidR="009D7456" w:rsidRPr="00354911" w:rsidRDefault="009D7456" w:rsidP="00354911">
      <w:pPr>
        <w:pStyle w:val="ListParagraph"/>
        <w:numPr>
          <w:ilvl w:val="0"/>
          <w:numId w:val="22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أن تواصل تقييم أي مسائل مهمة قد تنشأ عن نموذج الإبلاغ، استناداً إلى تحديد الأطراف وتجربتها</w:t>
      </w:r>
      <w:r w:rsidRPr="00141836" w:rsidDel="004E3367">
        <w:rPr>
          <w:rFonts w:ascii="Simplified Arabic" w:hAnsi="Simplified Arabic" w:cs="Simplified Arabic"/>
          <w:sz w:val="24"/>
          <w:szCs w:val="24"/>
          <w:rtl/>
        </w:rPr>
        <w:t xml:space="preserve"> </w:t>
      </w:r>
      <w:r w:rsidRPr="00141836">
        <w:rPr>
          <w:rFonts w:ascii="Simplified Arabic" w:hAnsi="Simplified Arabic" w:cs="Simplified Arabic"/>
          <w:sz w:val="24"/>
          <w:szCs w:val="24"/>
          <w:rtl/>
        </w:rPr>
        <w:t>في استكمال التقارير الكاملة الثانية، وأن تقوم، بالقدر الضروري فحسب، بوضع مقترحات لتعزيز سهولة استخدامه ووضوحه لينظر فيها مؤتمر الأطراف في اجتماعاته المقبلة؛</w:t>
      </w:r>
    </w:p>
    <w:p w14:paraId="183E4908" w14:textId="6CEC7E4D" w:rsidR="009D7456" w:rsidRPr="00141836" w:rsidRDefault="009D7456" w:rsidP="00354911">
      <w:pPr>
        <w:pStyle w:val="ListParagraph"/>
        <w:numPr>
          <w:ilvl w:val="0"/>
          <w:numId w:val="22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tl/>
        </w:rPr>
      </w:pPr>
      <w:r w:rsidRPr="00141836">
        <w:rPr>
          <w:rFonts w:ascii="Simplified Arabic" w:hAnsi="Simplified Arabic" w:cs="Simplified Arabic"/>
          <w:sz w:val="24"/>
          <w:szCs w:val="24"/>
          <w:rtl/>
        </w:rPr>
        <w:t>أن تُدمج المقررات ذات الصلة التي يعتمدها مؤتمر الأطراف في الاجتماعات الحالية والمقبلة في التوجيهات المتعلقة باستكمال نموذج الإبلاغ، بما يضمن أن يظل تقديم التقارير الوطنية متوافقاً مع المتطلبات الُمحّدثة، لكي تستعرضها الأطراف خلال فترة ما بين الدورات؛</w:t>
      </w:r>
    </w:p>
    <w:p w14:paraId="28848648" w14:textId="02594793" w:rsidR="009D7456" w:rsidRPr="00354911" w:rsidRDefault="009D7456" w:rsidP="00354911">
      <w:pPr>
        <w:pStyle w:val="ListParagraph"/>
        <w:numPr>
          <w:ilvl w:val="0"/>
          <w:numId w:val="22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أن تُعدّ مشروع توجيهات بشأن وضع خطط عمل وطنية للتخلص التدريجي من ملغم الأسنان، رهنا</w:t>
      </w:r>
      <w:r w:rsidR="00F2036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بتوافر الموارد، لكي ينظر فيه مؤتمر الأطراف في اجتماعه السابع؛</w:t>
      </w:r>
    </w:p>
    <w:p w14:paraId="7F2051D8" w14:textId="783FC3BE" w:rsidR="009D7456" w:rsidRPr="00354911" w:rsidRDefault="009D7456" w:rsidP="00354911">
      <w:pPr>
        <w:pStyle w:val="ListParagraph"/>
        <w:numPr>
          <w:ilvl w:val="0"/>
          <w:numId w:val="225"/>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أن تُقدِّم تقريرا</w:t>
      </w:r>
      <w:r w:rsidR="00F2036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عن تنفيذ هذا المقرر إلى مؤتمر الأطراف في اجتماعه السابع.</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8D6117">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1B14" w14:textId="77777777" w:rsidR="00C76346" w:rsidRDefault="00C76346" w:rsidP="00061BBD">
      <w:r>
        <w:separator/>
      </w:r>
    </w:p>
  </w:endnote>
  <w:endnote w:type="continuationSeparator" w:id="0">
    <w:p w14:paraId="47471D76" w14:textId="77777777" w:rsidR="00C76346" w:rsidRDefault="00C76346"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4D982BC7" w:rsidR="00061BBD" w:rsidRPr="008D6117" w:rsidRDefault="008D6117" w:rsidP="00867682">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E93C" w14:textId="77777777" w:rsidR="00C76346" w:rsidRDefault="00C76346" w:rsidP="00630AC1">
      <w:pPr>
        <w:bidi/>
        <w:ind w:left="567"/>
      </w:pPr>
      <w:r>
        <w:separator/>
      </w:r>
    </w:p>
  </w:footnote>
  <w:footnote w:type="continuationSeparator" w:id="0">
    <w:p w14:paraId="14610FCE" w14:textId="77777777" w:rsidR="00C76346" w:rsidRDefault="00C76346" w:rsidP="00061BBD">
      <w:r>
        <w:continuationSeparator/>
      </w:r>
    </w:p>
  </w:footnote>
  <w:footnote w:id="1">
    <w:p w14:paraId="0992BF02"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en-US"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170D8F">
        <w:rPr>
          <w:rFonts w:asciiTheme="majorBidi" w:hAnsiTheme="majorBidi" w:cstheme="majorBidi"/>
          <w:szCs w:val="18"/>
        </w:rPr>
        <w:t>UNEP/MC/COP.6/14</w:t>
      </w:r>
      <w:r w:rsidRPr="00A15F20">
        <w:rPr>
          <w:rFonts w:ascii="Simplified Arabic" w:hAnsi="Simplified Arabic" w:cs="Simplified Arabic"/>
          <w:sz w:val="20"/>
          <w:rtl/>
        </w:rPr>
        <w:t>.</w:t>
      </w:r>
    </w:p>
  </w:footnote>
  <w:footnote w:id="2">
    <w:p w14:paraId="5DB67003"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170D8F">
        <w:rPr>
          <w:rFonts w:asciiTheme="majorBidi" w:hAnsiTheme="majorBidi" w:cstheme="majorBidi"/>
          <w:szCs w:val="18"/>
        </w:rPr>
        <w:t>UNEP/MC/COP.6/INF/21</w:t>
      </w:r>
      <w:r w:rsidRPr="00A15F20">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13BAAA2E"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8D6117">
      <w:rPr>
        <w:noProof/>
        <w:sz w:val="17"/>
        <w:szCs w:val="17"/>
      </w:rPr>
      <w:t>UNEP/MC/COP.6/Dec.13</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6FF58ED6"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8D6117">
      <w:rPr>
        <w:noProof/>
        <w:sz w:val="17"/>
        <w:szCs w:val="17"/>
      </w:rPr>
      <w:t>UNEP/MC/COP.6/Dec.13</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227B"/>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34E8"/>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A5E1F"/>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0220D"/>
    <w:rsid w:val="00410668"/>
    <w:rsid w:val="004129CC"/>
    <w:rsid w:val="00421D9E"/>
    <w:rsid w:val="004250AF"/>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2000"/>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D7DA8"/>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D0E8E"/>
    <w:rsid w:val="008D6117"/>
    <w:rsid w:val="008E05B3"/>
    <w:rsid w:val="008E0EE8"/>
    <w:rsid w:val="008E1A38"/>
    <w:rsid w:val="008E5A86"/>
    <w:rsid w:val="008F5AA5"/>
    <w:rsid w:val="00907E34"/>
    <w:rsid w:val="00910526"/>
    <w:rsid w:val="00915BBF"/>
    <w:rsid w:val="00923FFF"/>
    <w:rsid w:val="009245D7"/>
    <w:rsid w:val="00924CE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5D37"/>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097"/>
    <w:rsid w:val="00C739FA"/>
    <w:rsid w:val="00C7421A"/>
    <w:rsid w:val="00C76346"/>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876C3"/>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151"/>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036CA1C5-DEEB-40E7-B8DF-37B4B85F7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2993</TotalTime>
  <Pages>2</Pages>
  <Words>515</Words>
  <Characters>2937</Characters>
  <Application>Microsoft Office Word</Application>
  <DocSecurity>0</DocSecurity>
  <PresentationFormat/>
  <Lines>24</Lines>
  <Paragraphs>6</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3446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296</cp:revision>
  <cp:lastPrinted>2026-03-17T20:30:00Z</cp:lastPrinted>
  <dcterms:created xsi:type="dcterms:W3CDTF">2025-04-16T08:17:00Z</dcterms:created>
  <dcterms:modified xsi:type="dcterms:W3CDTF">2026-04-15T08:42:00Z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