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7B1E98D8"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8C57BB">
              <w:rPr>
                <w:lang w:val="es-ES_tradnl"/>
              </w:rPr>
              <w:t>2</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527B5476" w14:textId="04B9E8F9" w:rsidR="00312042" w:rsidRPr="00F567E1" w:rsidRDefault="00312042" w:rsidP="008C57BB">
      <w:pPr>
        <w:pStyle w:val="CH2"/>
        <w:outlineLvl w:val="0"/>
        <w:rPr>
          <w:rStyle w:val="eop"/>
          <w:lang w:val="es-ES_tradnl"/>
        </w:rPr>
      </w:pPr>
      <w:r w:rsidRPr="00F567E1">
        <w:rPr>
          <w:lang w:val="es-ES_tradnl"/>
        </w:rPr>
        <w:tab/>
      </w:r>
      <w:r w:rsidRPr="00F567E1">
        <w:rPr>
          <w:lang w:val="es-ES_tradnl"/>
        </w:rPr>
        <w:tab/>
      </w:r>
      <w:bookmarkStart w:id="0" w:name="_Hlk219453663"/>
      <w:bookmarkStart w:id="1" w:name="_Toc213853069"/>
      <w:bookmarkStart w:id="2" w:name="_Toc223088517"/>
      <w:bookmarkEnd w:id="0"/>
      <w:r w:rsidRPr="00F567E1">
        <w:rPr>
          <w:lang w:val="es-ES_tradnl"/>
        </w:rPr>
        <w:t>Decisión MC</w:t>
      </w:r>
      <w:r w:rsidRPr="00F567E1">
        <w:rPr>
          <w:lang w:val="es-ES_tradnl"/>
        </w:rPr>
        <w:noBreakHyphen/>
        <w:t xml:space="preserve">6/12: aplicación del artículo 14 del Convenio de Minamata sobre el Mercurio, relativo a la creación de capacidad, asistencia técnica y transferencia </w:t>
      </w:r>
      <w:bookmarkStart w:id="3" w:name="_Toc219712810"/>
      <w:bookmarkEnd w:id="1"/>
      <w:bookmarkEnd w:id="3"/>
      <w:r w:rsidR="00A1745C" w:rsidRPr="00F567E1">
        <w:rPr>
          <w:lang w:val="es-ES_tradnl"/>
        </w:rPr>
        <w:t>de tecnología</w:t>
      </w:r>
      <w:bookmarkEnd w:id="2"/>
    </w:p>
    <w:p w14:paraId="60640270" w14:textId="3E0E1E60" w:rsidR="00312042" w:rsidRPr="00F567E1" w:rsidRDefault="00312042" w:rsidP="00312042">
      <w:pPr>
        <w:pStyle w:val="NormalNonumber"/>
        <w:tabs>
          <w:tab w:val="clear" w:pos="1247"/>
        </w:tabs>
        <w:spacing w:before="240"/>
        <w:ind w:firstLine="624"/>
        <w:rPr>
          <w:i/>
          <w:iCs/>
          <w:lang w:val="es-ES_tradnl"/>
        </w:rPr>
      </w:pPr>
      <w:bookmarkStart w:id="4" w:name="_Toc213853070"/>
      <w:r w:rsidRPr="00F567E1">
        <w:rPr>
          <w:i/>
          <w:iCs/>
          <w:lang w:val="es-ES_tradnl"/>
        </w:rPr>
        <w:t>La Conferencia de las Partes,</w:t>
      </w:r>
    </w:p>
    <w:p w14:paraId="77BE7F24" w14:textId="10A3FE79" w:rsidR="00312042" w:rsidRPr="00F567E1" w:rsidRDefault="00312042" w:rsidP="00312042">
      <w:pPr>
        <w:pStyle w:val="NormalNonumber"/>
        <w:tabs>
          <w:tab w:val="clear" w:pos="1247"/>
        </w:tabs>
        <w:ind w:firstLine="624"/>
        <w:rPr>
          <w:lang w:val="es-ES_tradnl"/>
        </w:rPr>
      </w:pPr>
      <w:r w:rsidRPr="00F567E1">
        <w:rPr>
          <w:i/>
          <w:iCs/>
          <w:lang w:val="es-ES_tradnl"/>
        </w:rPr>
        <w:t>Recordando</w:t>
      </w:r>
      <w:r w:rsidRPr="00F567E1">
        <w:rPr>
          <w:lang w:val="es-ES_tradnl"/>
        </w:rPr>
        <w:t xml:space="preserve"> el artículo 14 del Convenio de Minamata sobre el Mercurio, relativo a la creación de capacidad, asistencia técnica y transferencia </w:t>
      </w:r>
      <w:r w:rsidR="00A1745C" w:rsidRPr="00F567E1">
        <w:rPr>
          <w:lang w:val="es-ES_tradnl"/>
        </w:rPr>
        <w:t>de tecnología</w:t>
      </w:r>
      <w:r w:rsidRPr="00F567E1">
        <w:rPr>
          <w:lang w:val="es-ES_tradnl"/>
        </w:rPr>
        <w:t>,</w:t>
      </w:r>
    </w:p>
    <w:p w14:paraId="62207CF7" w14:textId="37D87E80" w:rsidR="00312042" w:rsidRPr="00F567E1" w:rsidRDefault="00312042" w:rsidP="00312042">
      <w:pPr>
        <w:pStyle w:val="NormalNonumber"/>
        <w:tabs>
          <w:tab w:val="clear" w:pos="1247"/>
        </w:tabs>
        <w:ind w:firstLine="624"/>
        <w:rPr>
          <w:lang w:val="es-ES_tradnl"/>
        </w:rPr>
      </w:pPr>
      <w:r w:rsidRPr="00F567E1">
        <w:rPr>
          <w:i/>
          <w:iCs/>
          <w:lang w:val="es-ES_tradnl"/>
        </w:rPr>
        <w:t>Habiendo considerado</w:t>
      </w:r>
      <w:r w:rsidRPr="00F567E1">
        <w:rPr>
          <w:lang w:val="es-ES_tradnl"/>
        </w:rPr>
        <w:t xml:space="preserve"> la información sobre las iniciativas y los progresos realizados en relación con las tecnologías alternativas, y apreciando las enseñanzas extraídas de los estudios monográficos sobre los buenos resultados en el desarrollo, la transferencia y la difusión de tecnologías alternativas, presentados en su sexta reunión</w:t>
      </w:r>
      <w:r w:rsidRPr="00F567E1">
        <w:rPr>
          <w:rStyle w:val="FootnoteReference"/>
          <w:lang w:val="es-ES_tradnl"/>
        </w:rPr>
        <w:footnoteReference w:id="2"/>
      </w:r>
      <w:r w:rsidRPr="00F567E1">
        <w:rPr>
          <w:lang w:val="es-ES_tradnl"/>
        </w:rPr>
        <w:t>,</w:t>
      </w:r>
    </w:p>
    <w:p w14:paraId="1366F75C" w14:textId="0340A4C3" w:rsidR="00312042" w:rsidRPr="00F567E1" w:rsidRDefault="00312042" w:rsidP="00312042">
      <w:pPr>
        <w:pStyle w:val="NormalNonumber"/>
        <w:tabs>
          <w:tab w:val="clear" w:pos="1247"/>
        </w:tabs>
        <w:ind w:firstLine="624"/>
        <w:rPr>
          <w:lang w:val="es-ES_tradnl"/>
        </w:rPr>
      </w:pPr>
      <w:r w:rsidRPr="00F567E1">
        <w:rPr>
          <w:i/>
          <w:iCs/>
          <w:lang w:val="es-ES_tradnl"/>
        </w:rPr>
        <w:t>Haciendo notar</w:t>
      </w:r>
      <w:r w:rsidRPr="00F567E1">
        <w:rPr>
          <w:lang w:val="es-ES_tradnl"/>
        </w:rPr>
        <w:t xml:space="preserve"> la escasa disponibilidad de información sobre las necesidades de las Partes, en</w:t>
      </w:r>
      <w:r w:rsidR="007B3113" w:rsidRPr="00F567E1">
        <w:rPr>
          <w:lang w:val="es-ES_tradnl"/>
        </w:rPr>
        <w:t> </w:t>
      </w:r>
      <w:r w:rsidRPr="00F567E1">
        <w:rPr>
          <w:lang w:val="es-ES_tradnl"/>
        </w:rPr>
        <w:t>particular las Partes que son países en desarrollo, en lo referente a las tecnologías alternativas, y reconociendo al mismo tiempo las iniciativas actuales como paso hacia la resolución de las lagunas de</w:t>
      </w:r>
      <w:r w:rsidR="007B3113" w:rsidRPr="00F567E1">
        <w:rPr>
          <w:lang w:val="es-ES_tradnl"/>
        </w:rPr>
        <w:t> </w:t>
      </w:r>
      <w:r w:rsidRPr="00F567E1">
        <w:rPr>
          <w:lang w:val="es-ES_tradnl"/>
        </w:rPr>
        <w:t>información y la delimitación del enfoque de intervenciones concretas ulteriores en apoyo de las</w:t>
      </w:r>
      <w:r w:rsidR="009A7E28" w:rsidRPr="00F567E1">
        <w:rPr>
          <w:lang w:val="es-ES_tradnl"/>
        </w:rPr>
        <w:t> </w:t>
      </w:r>
      <w:r w:rsidRPr="00F567E1">
        <w:rPr>
          <w:lang w:val="es-ES_tradnl"/>
        </w:rPr>
        <w:t>Partes,</w:t>
      </w:r>
    </w:p>
    <w:p w14:paraId="702C3FEA" w14:textId="2B0AE010" w:rsidR="00312042" w:rsidRPr="00F567E1" w:rsidRDefault="00312042" w:rsidP="00312042">
      <w:pPr>
        <w:pStyle w:val="NormalNonumber"/>
        <w:tabs>
          <w:tab w:val="clear" w:pos="1247"/>
        </w:tabs>
        <w:ind w:firstLine="624"/>
        <w:rPr>
          <w:lang w:val="es-ES_tradnl"/>
        </w:rPr>
      </w:pPr>
      <w:r w:rsidRPr="00F567E1">
        <w:rPr>
          <w:i/>
          <w:iCs/>
          <w:lang w:val="es-ES_tradnl"/>
        </w:rPr>
        <w:t>Haciendo notar también</w:t>
      </w:r>
      <w:r w:rsidRPr="00F567E1">
        <w:rPr>
          <w:lang w:val="es-ES_tradnl"/>
        </w:rPr>
        <w:t xml:space="preserve"> las dificultades comunicadas por las Partes, en especial las Partes que</w:t>
      </w:r>
      <w:r w:rsidR="007B3113" w:rsidRPr="00F567E1">
        <w:rPr>
          <w:lang w:val="es-ES_tradnl"/>
        </w:rPr>
        <w:t> </w:t>
      </w:r>
      <w:r w:rsidRPr="00F567E1">
        <w:rPr>
          <w:lang w:val="es-ES_tradnl"/>
        </w:rPr>
        <w:t>son países en desarrollo, en sus informes nacionales presentados con arreglo al artículo 21, en lo</w:t>
      </w:r>
      <w:r w:rsidR="007B3113" w:rsidRPr="00F567E1">
        <w:rPr>
          <w:lang w:val="es-ES_tradnl"/>
        </w:rPr>
        <w:t> </w:t>
      </w:r>
      <w:r w:rsidRPr="00F567E1">
        <w:rPr>
          <w:lang w:val="es-ES_tradnl"/>
        </w:rPr>
        <w:t>referente a las tecnologías alternativas,</w:t>
      </w:r>
    </w:p>
    <w:p w14:paraId="6C9CD663" w14:textId="23EB52C0" w:rsidR="00312042" w:rsidRPr="00F567E1" w:rsidRDefault="004C1069" w:rsidP="00312042">
      <w:pPr>
        <w:pStyle w:val="NormalNonumber"/>
        <w:tabs>
          <w:tab w:val="clear" w:pos="1247"/>
        </w:tabs>
        <w:ind w:firstLine="624"/>
        <w:rPr>
          <w:lang w:val="es-ES_tradnl"/>
        </w:rPr>
      </w:pPr>
      <w:r w:rsidRPr="00F567E1">
        <w:rPr>
          <w:i/>
          <w:iCs/>
          <w:lang w:val="es-ES_tradnl"/>
        </w:rPr>
        <w:t>Expresando su agradecimiento</w:t>
      </w:r>
      <w:r w:rsidRPr="00F567E1">
        <w:rPr>
          <w:lang w:val="es-ES_tradnl"/>
        </w:rPr>
        <w:t xml:space="preserve"> por los sólidos fundamentos de la colaboración en materia de transferencia de tecnología entre la Secretaría y la Asociación Mundial sobre el Mercurio, el Convenio de Basilea sobre el Control de los Movimientos Transfronterizos de los Desechos Peligrosos y su Eliminación, el Convenio de Estocolmo sobre Contaminantes Orgánicos Persistentes y el Convenio de</w:t>
      </w:r>
      <w:r w:rsidR="007B3113" w:rsidRPr="00F567E1">
        <w:rPr>
          <w:lang w:val="es-ES_tradnl"/>
        </w:rPr>
        <w:t> </w:t>
      </w:r>
      <w:r w:rsidRPr="00F567E1">
        <w:rPr>
          <w:lang w:val="es-ES_tradnl"/>
        </w:rPr>
        <w:t>Rotterdam sobre el Procedimiento de Consentimiento Fundamentado Previo Aplicable a Ciertos Plaguicidas y Productos Químicos Peligrosos Objeto de Comercio Internacional, en particular los centros regionales de los Convenios de Basilea y Estocolmo,</w:t>
      </w:r>
    </w:p>
    <w:p w14:paraId="57D980D6" w14:textId="40E51D29"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lang w:val="es-ES_tradnl"/>
        </w:rPr>
        <w:t xml:space="preserve"> </w:t>
      </w:r>
      <w:r w:rsidRPr="00F567E1">
        <w:rPr>
          <w:i/>
          <w:iCs/>
          <w:lang w:val="es-ES_tradnl"/>
        </w:rPr>
        <w:t>Insta</w:t>
      </w:r>
      <w:r w:rsidRPr="00F567E1">
        <w:rPr>
          <w:lang w:val="es-ES_tradnl"/>
        </w:rPr>
        <w:t xml:space="preserve"> a las Partes que son países desarrollados y otras Partes a que, en función de sus</w:t>
      </w:r>
      <w:r w:rsidR="007B3113" w:rsidRPr="00F567E1">
        <w:rPr>
          <w:lang w:val="es-ES_tradnl"/>
        </w:rPr>
        <w:t> </w:t>
      </w:r>
      <w:r w:rsidRPr="00F567E1">
        <w:rPr>
          <w:lang w:val="es-ES_tradnl"/>
        </w:rPr>
        <w:t xml:space="preserve">capacidades, tengan presentes los desafíos detectados en lo referente a la adopción de tecnologías alternativas, concretamente en la promoción y facilitación del desarrollo, la transferencia y la difusión de tecnologías alternativas ambientalmente racionales actualizadas a las Partes que son países en desarrollo, en particular las Partes que son países menos adelantados y pequeños Estados insulares en </w:t>
      </w:r>
      <w:r w:rsidRPr="00F567E1">
        <w:rPr>
          <w:lang w:val="es-ES_tradnl"/>
        </w:rPr>
        <w:lastRenderedPageBreak/>
        <w:t>desarrollo, y las Partes con economías en transición, para reforzar su capacidad de aplicar con eficacia el Convenio de Minamata sobre el Mercurio;</w:t>
      </w:r>
    </w:p>
    <w:p w14:paraId="4E3068BC" w14:textId="017D188C"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Alienta</w:t>
      </w:r>
      <w:r w:rsidRPr="00F567E1">
        <w:rPr>
          <w:lang w:val="es-ES_tradnl"/>
        </w:rPr>
        <w:t xml:space="preserve"> a las Partes a que, en sus informes nacionales presentados con arreglo al artículo 21, en particular sus segundos informes nacionales íntegros, incorporen información específica sobre el desarrollo, la transferencia y la difusión de tecnologías alternativas y el acceso a</w:t>
      </w:r>
      <w:r w:rsidR="007B3113" w:rsidRPr="00F567E1">
        <w:rPr>
          <w:lang w:val="es-ES_tradnl"/>
        </w:rPr>
        <w:t> </w:t>
      </w:r>
      <w:r w:rsidRPr="00F567E1">
        <w:rPr>
          <w:lang w:val="es-ES_tradnl"/>
        </w:rPr>
        <w:t>ellas, así como sobre las dificultades que hayan experimentado al acceder a la tecnología y al transferirla, a fin de contribuir a un futuro examen de las dificultades y los progresos realizados;</w:t>
      </w:r>
    </w:p>
    <w:p w14:paraId="322EC9B7" w14:textId="66168C06"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Solicita</w:t>
      </w:r>
      <w:r w:rsidRPr="00F567E1">
        <w:rPr>
          <w:lang w:val="es-ES_tradnl"/>
        </w:rPr>
        <w:t xml:space="preserve"> a la Secretaría que, en función de la disponibilidad de recursos, de conformidad con el párrafo 4 del artículo 14 y en colaboración con la Asociación Mundial sobre el Mercurio, entre otros, siga recopilando y analizando información sobre las iniciativas existentes y los</w:t>
      </w:r>
      <w:r w:rsidR="007B3113" w:rsidRPr="00F567E1">
        <w:rPr>
          <w:lang w:val="es-ES_tradnl"/>
        </w:rPr>
        <w:t> </w:t>
      </w:r>
      <w:r w:rsidRPr="00F567E1">
        <w:rPr>
          <w:lang w:val="es-ES_tradnl"/>
        </w:rPr>
        <w:t>progresos realizados en relación con las tecnologías alternativas, así como las necesidades y dificultades conexas, empleando:</w:t>
      </w:r>
    </w:p>
    <w:p w14:paraId="47FD4E04" w14:textId="42067CAE" w:rsidR="00312042" w:rsidRPr="00F567E1" w:rsidRDefault="00312042" w:rsidP="00312042">
      <w:pPr>
        <w:pStyle w:val="Normalnumber"/>
        <w:numPr>
          <w:ilvl w:val="1"/>
          <w:numId w:val="59"/>
        </w:numPr>
        <w:tabs>
          <w:tab w:val="clear" w:pos="1247"/>
          <w:tab w:val="clear" w:pos="1814"/>
          <w:tab w:val="clear" w:pos="2381"/>
          <w:tab w:val="clear" w:pos="2948"/>
          <w:tab w:val="clear" w:pos="3515"/>
          <w:tab w:val="left" w:pos="624"/>
        </w:tabs>
        <w:rPr>
          <w:lang w:val="es-ES_tradnl"/>
        </w:rPr>
      </w:pPr>
      <w:r w:rsidRPr="00F567E1">
        <w:rPr>
          <w:lang w:val="es-ES_tradnl"/>
        </w:rPr>
        <w:t>La información de los futuros informes nacionales presentados con arreglo al artículo</w:t>
      </w:r>
      <w:r w:rsidR="00B02557" w:rsidRPr="00F567E1">
        <w:rPr>
          <w:lang w:val="es-ES_tradnl"/>
        </w:rPr>
        <w:t> </w:t>
      </w:r>
      <w:r w:rsidRPr="00F567E1">
        <w:rPr>
          <w:lang w:val="es-ES_tradnl"/>
        </w:rPr>
        <w:t>21;</w:t>
      </w:r>
    </w:p>
    <w:p w14:paraId="5BA6D5CE" w14:textId="0DE9E51F" w:rsidR="00312042" w:rsidRPr="00F567E1" w:rsidRDefault="00312042" w:rsidP="00312042">
      <w:pPr>
        <w:pStyle w:val="Normalnumber"/>
        <w:numPr>
          <w:ilvl w:val="1"/>
          <w:numId w:val="59"/>
        </w:numPr>
        <w:tabs>
          <w:tab w:val="clear" w:pos="1247"/>
          <w:tab w:val="clear" w:pos="1814"/>
          <w:tab w:val="clear" w:pos="2381"/>
          <w:tab w:val="clear" w:pos="2948"/>
          <w:tab w:val="clear" w:pos="3515"/>
          <w:tab w:val="left" w:pos="624"/>
        </w:tabs>
        <w:rPr>
          <w:lang w:val="es-ES_tradnl"/>
        </w:rPr>
      </w:pPr>
      <w:r w:rsidRPr="00F567E1">
        <w:rPr>
          <w:lang w:val="es-ES_tradnl"/>
        </w:rPr>
        <w:t>La información complementaria recopilada por medio de un estudio sobre las necesidades y dificultades en materia de tecnología;</w:t>
      </w:r>
    </w:p>
    <w:p w14:paraId="2A651E52" w14:textId="0EC37587" w:rsidR="00312042" w:rsidRPr="00F567E1" w:rsidRDefault="00312042" w:rsidP="00312042">
      <w:pPr>
        <w:pStyle w:val="Normalnumber"/>
        <w:numPr>
          <w:ilvl w:val="1"/>
          <w:numId w:val="59"/>
        </w:numPr>
        <w:tabs>
          <w:tab w:val="clear" w:pos="1247"/>
          <w:tab w:val="clear" w:pos="1814"/>
          <w:tab w:val="clear" w:pos="2381"/>
          <w:tab w:val="clear" w:pos="2948"/>
          <w:tab w:val="clear" w:pos="3515"/>
          <w:tab w:val="left" w:pos="624"/>
        </w:tabs>
        <w:rPr>
          <w:lang w:val="es-ES_tradnl"/>
        </w:rPr>
      </w:pPr>
      <w:r w:rsidRPr="00F567E1">
        <w:rPr>
          <w:lang w:val="es-ES_tradnl"/>
        </w:rPr>
        <w:t>Otra información disponible, en particular informes y evaluaciones de proyectos financiados por el Fondo para el Medio Ambiente Mundial y el Programa Internacional Específico para apoyar la creación de capacidad y la asistencia técnica;</w:t>
      </w:r>
    </w:p>
    <w:p w14:paraId="04490B81" w14:textId="35FE0786"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Decide</w:t>
      </w:r>
      <w:r w:rsidRPr="00F567E1">
        <w:rPr>
          <w:lang w:val="es-ES_tradnl"/>
        </w:rPr>
        <w:t xml:space="preserve"> volver a examinar la cuestión de las tecnologías alternativas de conformidad con el párrafo 4 del artículo 14 en su octava reunión;</w:t>
      </w:r>
    </w:p>
    <w:p w14:paraId="014B13EE" w14:textId="38BF8D1E"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Exhorta</w:t>
      </w:r>
      <w:r w:rsidRPr="00F567E1">
        <w:rPr>
          <w:lang w:val="es-ES_tradnl"/>
        </w:rPr>
        <w:t xml:space="preserve"> a las Partes, e invita a los Estados que no son Partes en el Convenio y a otras entidades que estén en condiciones de hacerlo, a que contribuyan al fondo fiduciario especial del Convenio de Minamata sobre el Mercurio para que puedan llevarse a cabo las actividades de creación de capacidad descritas en la ficha descriptiva del programa de trabajo y las actividades presupuestarias para el período de 2026 a 2027 en relación con la creación de capacidad y la asistencia técnica (actividad 4);</w:t>
      </w:r>
    </w:p>
    <w:p w14:paraId="3848508D" w14:textId="7873698F"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Reconoce con aprecio</w:t>
      </w:r>
      <w:r w:rsidRPr="00F567E1">
        <w:rPr>
          <w:lang w:val="es-ES_tradnl"/>
        </w:rPr>
        <w:t xml:space="preserve"> la labor de la Secretaría de desarrollo y difusión de herramientas y materiales formativos relacionados con el cumplimiento de las obligaciones de las Partes contraídas en virtud del Convenio;</w:t>
      </w:r>
    </w:p>
    <w:p w14:paraId="4BCEE300" w14:textId="77777777" w:rsidR="00312042"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Solicita</w:t>
      </w:r>
      <w:r w:rsidRPr="00F567E1">
        <w:rPr>
          <w:lang w:val="es-ES_tradnl"/>
        </w:rPr>
        <w:t xml:space="preserve"> a la Secretaría que, en función de la disponibilidad de recursos, siga prestando asistencia técnica y servicios de creación de capacidad a las Partes de conformidad con el párrafo 1 del artículo 14, en particular mediante una colaboración activa y constante con la Asociación Mundial sobre el Mercurio.</w:t>
      </w:r>
    </w:p>
    <w:bookmarkEnd w:id="4"/>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65EE" w14:textId="77777777" w:rsidR="0055289C" w:rsidRPr="00CD5597" w:rsidRDefault="0055289C">
      <w:r w:rsidRPr="00CD5597">
        <w:separator/>
      </w:r>
    </w:p>
  </w:endnote>
  <w:endnote w:type="continuationSeparator" w:id="0">
    <w:p w14:paraId="65BE2341" w14:textId="77777777" w:rsidR="0055289C" w:rsidRPr="00CD5597" w:rsidRDefault="0055289C">
      <w:r w:rsidRPr="00CD5597">
        <w:continuationSeparator/>
      </w:r>
    </w:p>
  </w:endnote>
  <w:endnote w:type="continuationNotice" w:id="1">
    <w:p w14:paraId="2F8C5F65" w14:textId="77777777" w:rsidR="0055289C" w:rsidRDefault="0055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ECFF" w14:textId="77777777" w:rsidR="0055289C" w:rsidRPr="00CD5597" w:rsidRDefault="0055289C" w:rsidP="00C70B49">
      <w:pPr>
        <w:pStyle w:val="Footnote-Separator"/>
        <w:rPr>
          <w:szCs w:val="18"/>
        </w:rPr>
      </w:pPr>
      <w:r w:rsidRPr="00CD5597">
        <w:separator/>
      </w:r>
    </w:p>
  </w:footnote>
  <w:footnote w:type="continuationSeparator" w:id="0">
    <w:p w14:paraId="18CB468C" w14:textId="77777777" w:rsidR="0055289C" w:rsidRPr="00CD5597" w:rsidRDefault="0055289C" w:rsidP="00C70B49">
      <w:pPr>
        <w:pStyle w:val="Footnote-Separator"/>
      </w:pPr>
      <w:r w:rsidRPr="00CD5597">
        <w:continuationSeparator/>
      </w:r>
    </w:p>
  </w:footnote>
  <w:footnote w:type="continuationNotice" w:id="1">
    <w:p w14:paraId="3EB07007" w14:textId="77777777" w:rsidR="0055289C" w:rsidRPr="00CD5597" w:rsidRDefault="0055289C" w:rsidP="00C70B49">
      <w:pPr>
        <w:pStyle w:val="ASpacer"/>
      </w:pPr>
    </w:p>
  </w:footnote>
  <w:footnote w:id="2">
    <w:p w14:paraId="2EBCA72A" w14:textId="040C5E8C"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Véase el documento UNEP/MC/COP.6/INF/18.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F741F0E" w:rsidR="002C072B" w:rsidRPr="001E1421" w:rsidRDefault="001E1421" w:rsidP="001E1421">
    <w:pPr>
      <w:pStyle w:val="Header-pool"/>
    </w:pPr>
    <w:r>
      <w:fldChar w:fldCharType="begin"/>
    </w:r>
    <w:r>
      <w:instrText xml:space="preserve"> StyleRef A_Symbol </w:instrText>
    </w:r>
    <w:r>
      <w:fldChar w:fldCharType="separate"/>
    </w:r>
    <w:r w:rsidR="00C52007">
      <w:rPr>
        <w:noProof/>
      </w:rPr>
      <w:t>UNEP/MC/COP.6/Dec.12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131786B" w:rsidR="002C072B" w:rsidRPr="001E1421" w:rsidRDefault="001E1421" w:rsidP="001E1421">
    <w:pPr>
      <w:pStyle w:val="Header-pool"/>
      <w:jc w:val="right"/>
    </w:pPr>
    <w:r>
      <w:fldChar w:fldCharType="begin"/>
    </w:r>
    <w:r>
      <w:instrText xml:space="preserve"> StyleRef A_Symbol </w:instrText>
    </w:r>
    <w:r>
      <w:fldChar w:fldCharType="separate"/>
    </w:r>
    <w:r w:rsidR="00C52007">
      <w:rPr>
        <w:noProof/>
      </w:rPr>
      <w:t>UNEP/MC/COP.6/Dec.12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2007"/>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ACBE8A86-390F-41F5-A5F8-77D384847B7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10</TotalTime>
  <Pages>2</Pages>
  <Words>820</Words>
  <Characters>4676</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15</cp:revision>
  <cp:lastPrinted>2026-02-27T09:48:00Z</cp:lastPrinted>
  <dcterms:created xsi:type="dcterms:W3CDTF">2026-04-13T14:13:00Z</dcterms:created>
  <dcterms:modified xsi:type="dcterms:W3CDTF">2026-04-15T13:45:00Z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