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72C8008B"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93E54">
              <w:t>12</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550DDE44" w14:textId="0967811A" w:rsidR="00107665" w:rsidRPr="009F57C5" w:rsidRDefault="008D1E8F" w:rsidP="00877DB1">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Style w:val="eop"/>
          <w:rFonts w:asciiTheme="majorBidi" w:hAnsiTheme="majorBidi" w:cstheme="majorBidi"/>
          <w:lang w:val="ru-RU"/>
        </w:rPr>
      </w:pPr>
      <w:bookmarkStart w:id="0" w:name="_Toc213853068"/>
      <w:r>
        <w:rPr>
          <w:lang w:val="ru-RU"/>
        </w:rPr>
        <w:tab/>
      </w:r>
      <w:bookmarkStart w:id="1" w:name="_Toc213853069"/>
      <w:bookmarkStart w:id="2" w:name="_Toc222992819"/>
      <w:bookmarkEnd w:id="0"/>
      <w:r w:rsidR="00107665" w:rsidRPr="009F57C5">
        <w:rPr>
          <w:lang w:val="ru-RU"/>
        </w:rPr>
        <w:t xml:space="preserve">Решение МК-6/12. Осуществление статьи 14 </w:t>
      </w:r>
      <w:proofErr w:type="spellStart"/>
      <w:r w:rsidR="00107665" w:rsidRPr="009F57C5">
        <w:rPr>
          <w:lang w:val="ru-RU"/>
        </w:rPr>
        <w:t>Минаматской</w:t>
      </w:r>
      <w:proofErr w:type="spellEnd"/>
      <w:r w:rsidR="00107665" w:rsidRPr="009F57C5">
        <w:rPr>
          <w:lang w:val="ru-RU"/>
        </w:rPr>
        <w:t xml:space="preserve"> конвенции о ртути, касающейся создания потенциала, технического содействия и передачи технологии</w:t>
      </w:r>
      <w:bookmarkStart w:id="3" w:name="_Toc219712810"/>
      <w:bookmarkEnd w:id="3"/>
      <w:bookmarkEnd w:id="1"/>
      <w:bookmarkEnd w:id="2"/>
    </w:p>
    <w:p w14:paraId="1014AF6C" w14:textId="77777777" w:rsidR="00107665" w:rsidRPr="008C375B" w:rsidRDefault="00107665" w:rsidP="003839E6">
      <w:pPr>
        <w:pStyle w:val="NormalNonumber"/>
        <w:tabs>
          <w:tab w:val="clear" w:pos="624"/>
          <w:tab w:val="clear" w:pos="1247"/>
          <w:tab w:val="clear" w:pos="1871"/>
          <w:tab w:val="clear" w:pos="2495"/>
          <w:tab w:val="clear" w:pos="3119"/>
          <w:tab w:val="clear" w:pos="3742"/>
          <w:tab w:val="clear" w:pos="4366"/>
          <w:tab w:val="clear" w:pos="4990"/>
        </w:tabs>
        <w:ind w:firstLine="624"/>
        <w:rPr>
          <w:i/>
          <w:iCs/>
          <w:lang w:val="ru-RU"/>
        </w:rPr>
      </w:pPr>
      <w:bookmarkStart w:id="4" w:name="_Toc213853070"/>
      <w:r w:rsidRPr="008C375B">
        <w:rPr>
          <w:i/>
          <w:iCs/>
          <w:lang w:val="ru-RU"/>
        </w:rPr>
        <w:t>Конференция Сторон,</w:t>
      </w:r>
    </w:p>
    <w:p w14:paraId="049A781D"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8C375B">
        <w:rPr>
          <w:i/>
          <w:iCs/>
          <w:lang w:val="ru-RU"/>
        </w:rPr>
        <w:t>ссылаясь</w:t>
      </w:r>
      <w:r w:rsidRPr="008C375B">
        <w:rPr>
          <w:lang w:val="ru-RU"/>
        </w:rPr>
        <w:t xml:space="preserve"> на статью 14 </w:t>
      </w:r>
      <w:proofErr w:type="spellStart"/>
      <w:r w:rsidRPr="008C375B">
        <w:rPr>
          <w:lang w:val="ru-RU"/>
        </w:rPr>
        <w:t>Минаматской</w:t>
      </w:r>
      <w:proofErr w:type="spellEnd"/>
      <w:r w:rsidRPr="008C375B">
        <w:rPr>
          <w:lang w:val="ru-RU"/>
        </w:rPr>
        <w:t xml:space="preserve"> конвенции о ртути, касающейся создания</w:t>
      </w:r>
      <w:r>
        <w:rPr>
          <w:lang w:val="ru-RU"/>
        </w:rPr>
        <w:t xml:space="preserve"> потенциала, технического содействия и передачи технологии,</w:t>
      </w:r>
    </w:p>
    <w:p w14:paraId="34FE94A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C0750">
        <w:rPr>
          <w:i/>
          <w:iCs/>
          <w:lang w:val="ru-RU"/>
        </w:rPr>
        <w:t>рассмотрев</w:t>
      </w:r>
      <w:r>
        <w:rPr>
          <w:lang w:val="ru-RU"/>
        </w:rPr>
        <w:t xml:space="preserve"> информацию об инициативах и успехах, достигнутых в отношении альтернативных технологий, и высоко оценив извлеченный из тематических исследований опыт успешной разработки, передачи и распространения альтернативных технологий, представленный на ее шестом совещании</w:t>
      </w:r>
      <w:r w:rsidRPr="00631C1C">
        <w:rPr>
          <w:rStyle w:val="FootnoteReference"/>
          <w:lang w:val="ru-RU"/>
        </w:rPr>
        <w:footnoteReference w:id="2"/>
      </w:r>
      <w:r>
        <w:rPr>
          <w:lang w:val="ru-RU"/>
        </w:rPr>
        <w:t>,</w:t>
      </w:r>
    </w:p>
    <w:p w14:paraId="2599934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C0750">
        <w:rPr>
          <w:i/>
          <w:iCs/>
          <w:lang w:val="ru-RU"/>
        </w:rPr>
        <w:t>отмечая</w:t>
      </w:r>
      <w:r>
        <w:rPr>
          <w:lang w:val="ru-RU"/>
        </w:rPr>
        <w:t xml:space="preserve"> дефицит информации о потребностях Сторон, особенно Сторон из числа развивающихся стран, в отношении альтернативных технологий, и в то же время признавая текущие усилия шагом навстречу восполнению недостатка информации и более точному адресованию последующих целевых действий в поддержку Сторон,</w:t>
      </w:r>
    </w:p>
    <w:p w14:paraId="0FB3BEA6"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AE067F">
        <w:rPr>
          <w:i/>
          <w:iCs/>
          <w:lang w:val="ru-RU"/>
        </w:rPr>
        <w:t>отмечая также</w:t>
      </w:r>
      <w:r>
        <w:rPr>
          <w:lang w:val="ru-RU"/>
        </w:rPr>
        <w:t xml:space="preserve"> трудности, о которых Стороны, особенно развивающиеся страны, сообщают в своих национальных докладах, представляемых во исполнение статьи 21, в отношении альтернативных технологий,</w:t>
      </w:r>
    </w:p>
    <w:p w14:paraId="7DA58E17"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AE067F">
        <w:rPr>
          <w:i/>
          <w:iCs/>
          <w:lang w:val="ru-RU"/>
        </w:rPr>
        <w:t>выражая</w:t>
      </w:r>
      <w:r>
        <w:rPr>
          <w:lang w:val="ru-RU"/>
        </w:rPr>
        <w:t xml:space="preserve"> </w:t>
      </w:r>
      <w:r w:rsidRPr="00A77E2B">
        <w:rPr>
          <w:i/>
          <w:iCs/>
          <w:lang w:val="ru-RU"/>
        </w:rPr>
        <w:t>признательность</w:t>
      </w:r>
      <w:r>
        <w:rPr>
          <w:lang w:val="ru-RU"/>
        </w:rPr>
        <w:t xml:space="preserve"> за прочную основу для сотрудничества в области передачи технологии между секретариатом и Глобальным партнерством по ртути, Базельской конвенцией о контроле за трансграничной перевозкой опасных отходов и их удалением, Роттердамской конвенцией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конвенцией о стойких органических загрязнителях, включая региональные центры Базельской и Стокгольмской конвенций,</w:t>
      </w:r>
    </w:p>
    <w:p w14:paraId="5348F381" w14:textId="76361D3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настоятельно призывает</w:t>
      </w:r>
      <w:r>
        <w:rPr>
          <w:lang w:val="ru-RU"/>
        </w:rPr>
        <w:t xml:space="preserve"> Стороны, являющиеся развитыми странами, и другие Стороны в пределах их возможностей учитывать трудности, выявленные в отношении внедрения альтернативных технологий, особенно в пропагандировании и содействии разработке, передаче и распространению современных экологически обоснованных альтернативных видов технологии для Сторон, являющихся развивающимися странами, в частности </w:t>
      </w:r>
      <w:r w:rsidR="00A77E2B">
        <w:rPr>
          <w:lang w:val="ru-RU"/>
        </w:rPr>
        <w:t>–</w:t>
      </w:r>
      <w:r>
        <w:rPr>
          <w:lang w:val="ru-RU"/>
        </w:rPr>
        <w:t xml:space="preserve"> наименее развитыми странами и малыми островными развивающимися </w:t>
      </w:r>
      <w:r>
        <w:rPr>
          <w:lang w:val="ru-RU"/>
        </w:rPr>
        <w:lastRenderedPageBreak/>
        <w:t xml:space="preserve">государствами, и Сторон, являющихся странами с переходной экономикой, в целях укрепления их потенциала для эффективного осуществления </w:t>
      </w:r>
      <w:proofErr w:type="spellStart"/>
      <w:r>
        <w:rPr>
          <w:lang w:val="ru-RU"/>
        </w:rPr>
        <w:t>Минаматской</w:t>
      </w:r>
      <w:proofErr w:type="spellEnd"/>
      <w:r>
        <w:rPr>
          <w:lang w:val="ru-RU"/>
        </w:rPr>
        <w:t xml:space="preserve"> конвенции о ртути;</w:t>
      </w:r>
    </w:p>
    <w:p w14:paraId="30B26C1D"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призывает</w:t>
      </w:r>
      <w:r>
        <w:rPr>
          <w:lang w:val="ru-RU"/>
        </w:rPr>
        <w:t xml:space="preserve"> Стороны в их национальных докладах, представляемых во исполнение статьи 21, включая их вторые полные национальные доклады, включать конкретную информацию о разработке, передаче и распространении альтернативных технологий и доступе к ним, а также о трудностях, с которыми они сталкиваются при получении доступа к технологиям и их передаче, для содействия проведению в будущем обзора трудностей и достижений;</w:t>
      </w:r>
    </w:p>
    <w:p w14:paraId="47EA5C9E" w14:textId="516C0910"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поручает</w:t>
      </w:r>
      <w:r>
        <w:rPr>
          <w:lang w:val="ru-RU"/>
        </w:rPr>
        <w:t xml:space="preserve"> секретариату, при наличии ресурсов, в соответствии с пунктом 4 статьи</w:t>
      </w:r>
      <w:r w:rsidR="00EC0750">
        <w:rPr>
          <w:lang w:val="en-US"/>
        </w:rPr>
        <w:t> </w:t>
      </w:r>
      <w:r>
        <w:rPr>
          <w:lang w:val="ru-RU"/>
        </w:rPr>
        <w:t>14 продолжать в сотрудничестве с Глобальным партнерством по ртути сбор и анализ информации об имеющихся инициативах и успехах, достигнутых в отношении альтернативных технологий, а также о соответствующих потребностях и трудностях, используя:</w:t>
      </w:r>
    </w:p>
    <w:p w14:paraId="04EFE933"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 xml:space="preserve">информацию из национальных докладов, которые будут представляться во исполнение статьи 21 в будущем; </w:t>
      </w:r>
    </w:p>
    <w:p w14:paraId="02D20E2A"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 xml:space="preserve">дополнительную информацию, собранную в ходе опроса о потребностях и трудностях, связанных с технологиями; </w:t>
      </w:r>
    </w:p>
    <w:p w14:paraId="4F76236B" w14:textId="77777777" w:rsidR="00107665" w:rsidRPr="00DB6FFC" w:rsidRDefault="00107665" w:rsidP="00EC0750">
      <w:pPr>
        <w:pStyle w:val="Normalnumber"/>
        <w:numPr>
          <w:ilvl w:val="1"/>
          <w:numId w:val="59"/>
        </w:numPr>
        <w:tabs>
          <w:tab w:val="clear" w:pos="567"/>
          <w:tab w:val="clear" w:pos="1247"/>
          <w:tab w:val="clear" w:pos="1814"/>
          <w:tab w:val="clear" w:pos="2381"/>
          <w:tab w:val="clear" w:pos="2948"/>
          <w:tab w:val="clear" w:pos="3515"/>
        </w:tabs>
        <w:rPr>
          <w:lang w:val="ru-RU"/>
        </w:rPr>
      </w:pPr>
      <w:r>
        <w:rPr>
          <w:lang w:val="ru-RU"/>
        </w:rPr>
        <w:t>другую имеющуюся информацию, включая доклады о проектах и оценки проектов, финансируемых Глобальным экологическим фондом и Целевой международной программой для поддержки процессов создания потенциала и оказания технической помощи;</w:t>
      </w:r>
    </w:p>
    <w:p w14:paraId="0239A8A1"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AE067F">
        <w:rPr>
          <w:i/>
          <w:iCs/>
          <w:lang w:val="ru-RU"/>
        </w:rPr>
        <w:t>постановляет</w:t>
      </w:r>
      <w:r>
        <w:rPr>
          <w:lang w:val="ru-RU"/>
        </w:rPr>
        <w:t xml:space="preserve"> вновь рассмотреть вопрос об альтернативных технологиях в соответствии с пунктом 4 статьи 14 на своем восьмом совещании; </w:t>
      </w:r>
    </w:p>
    <w:p w14:paraId="7906CA0E" w14:textId="2C8358DA" w:rsidR="00107665" w:rsidRPr="00631C1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pPr>
      <w:r w:rsidRPr="00AE067F">
        <w:rPr>
          <w:i/>
          <w:iCs/>
          <w:lang w:val="ru-RU"/>
        </w:rPr>
        <w:t>призывает</w:t>
      </w:r>
      <w:r>
        <w:rPr>
          <w:lang w:val="ru-RU"/>
        </w:rPr>
        <w:t xml:space="preserve"> Стороны и предлагает государствам, не являющимся Сторонами Конвенции, и другим субъектам, располагающим такой возможностью, вносить взносы в Специальный целевой фонд для </w:t>
      </w:r>
      <w:proofErr w:type="spellStart"/>
      <w:r>
        <w:rPr>
          <w:lang w:val="ru-RU"/>
        </w:rPr>
        <w:t>Минаматской</w:t>
      </w:r>
      <w:proofErr w:type="spellEnd"/>
      <w:r>
        <w:rPr>
          <w:lang w:val="ru-RU"/>
        </w:rPr>
        <w:t xml:space="preserve"> конвенции о ртути, чтобы обеспечить возможность осуществления мероприятий по созданию потенциала, описанных в программе работы на 2026</w:t>
      </w:r>
      <w:r w:rsidR="00220562">
        <w:rPr>
          <w:lang w:val="ru-RU"/>
        </w:rPr>
        <w:t>–</w:t>
      </w:r>
      <w:r>
        <w:rPr>
          <w:lang w:val="ru-RU"/>
        </w:rPr>
        <w:t>2027 годы и фактологической справке о предусмотренных бюджетом мероприятиях по созданию потенциала и техническому содействию (мероприятие 4);</w:t>
      </w:r>
    </w:p>
    <w:p w14:paraId="14826351" w14:textId="77777777"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sidRPr="00EE5008">
        <w:rPr>
          <w:i/>
          <w:iCs/>
          <w:lang w:val="ru-RU"/>
        </w:rPr>
        <w:t>с признательностью отмечает</w:t>
      </w:r>
      <w:r>
        <w:rPr>
          <w:lang w:val="ru-RU"/>
        </w:rPr>
        <w:t xml:space="preserve"> усилия секретариата по разработке и распространению инструментов и учебных материалов, связанных с выполнением обязательств Сторон согласно Конвенции; </w:t>
      </w:r>
    </w:p>
    <w:p w14:paraId="6928D7F1" w14:textId="45B064CA" w:rsidR="00107665" w:rsidRPr="00DB6FFC" w:rsidRDefault="00107665" w:rsidP="00EC0750">
      <w:pPr>
        <w:pStyle w:val="Normal-pool"/>
        <w:numPr>
          <w:ilvl w:val="0"/>
          <w:numId w:val="58"/>
        </w:numPr>
        <w:tabs>
          <w:tab w:val="clear" w:pos="624"/>
          <w:tab w:val="clear" w:pos="1247"/>
          <w:tab w:val="clear" w:pos="1871"/>
          <w:tab w:val="clear" w:pos="2495"/>
          <w:tab w:val="clear" w:pos="3119"/>
          <w:tab w:val="clear" w:pos="3742"/>
          <w:tab w:val="clear" w:pos="4366"/>
          <w:tab w:val="clear" w:pos="4990"/>
        </w:tabs>
        <w:spacing w:after="120"/>
        <w:ind w:left="1247" w:firstLine="624"/>
        <w:rPr>
          <w:lang w:val="ru-RU"/>
        </w:rPr>
        <w:sectPr w:rsidR="00107665" w:rsidRPr="00DB6FFC" w:rsidSect="00C93E54">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418" w:left="1418" w:header="539" w:footer="975" w:gutter="0"/>
          <w:cols w:space="539"/>
          <w:titlePg/>
          <w:docGrid w:linePitch="360"/>
        </w:sectPr>
      </w:pPr>
      <w:r w:rsidRPr="00EE5008">
        <w:rPr>
          <w:i/>
          <w:iCs/>
          <w:lang w:val="ru-RU"/>
        </w:rPr>
        <w:t>поручает</w:t>
      </w:r>
      <w:r>
        <w:rPr>
          <w:lang w:val="ru-RU"/>
        </w:rPr>
        <w:t xml:space="preserve"> секретариату</w:t>
      </w:r>
      <w:r w:rsidR="00D30085">
        <w:rPr>
          <w:lang w:val="ru-RU"/>
        </w:rPr>
        <w:t>,</w:t>
      </w:r>
      <w:r>
        <w:rPr>
          <w:lang w:val="ru-RU"/>
        </w:rPr>
        <w:t xml:space="preserve"> при наличии ресурсов</w:t>
      </w:r>
      <w:r w:rsidR="00D30085">
        <w:rPr>
          <w:lang w:val="ru-RU"/>
        </w:rPr>
        <w:t>,</w:t>
      </w:r>
      <w:r>
        <w:rPr>
          <w:lang w:val="ru-RU"/>
        </w:rPr>
        <w:t xml:space="preserve"> продолжать оказывать поддержку в создании потенциала и оказании технической помощи Сторонам в соответствии с пунктом 1 статьи 14, в том числе посредством активного и постоянного взаимодействия с Глобальным партнерством по ртути.</w:t>
      </w:r>
    </w:p>
    <w:p w14:paraId="5EF11742" w14:textId="59371B27" w:rsidR="00107665" w:rsidRPr="00ED0CE1" w:rsidRDefault="00107665" w:rsidP="00EC0750">
      <w:pPr>
        <w:pStyle w:val="Normal-pool"/>
        <w:tabs>
          <w:tab w:val="clear" w:pos="624"/>
          <w:tab w:val="clear" w:pos="1247"/>
          <w:tab w:val="clear" w:pos="1871"/>
          <w:tab w:val="clear" w:pos="2495"/>
          <w:tab w:val="clear" w:pos="3119"/>
          <w:tab w:val="clear" w:pos="3742"/>
          <w:tab w:val="clear" w:pos="4366"/>
          <w:tab w:val="clear" w:pos="4990"/>
        </w:tabs>
        <w:rPr>
          <w:lang w:val="fr-CH"/>
        </w:rPr>
      </w:pPr>
    </w:p>
    <w:bookmarkEnd w:i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6B08C4B2" w:rsidR="00107665" w:rsidRPr="0046651D" w:rsidRDefault="00107665" w:rsidP="008E43FF">
            <w:pPr>
              <w:pStyle w:val="Normal-pool"/>
              <w:spacing w:before="520"/>
              <w:rPr>
                <w:lang w:val="fr-CH"/>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4226" w14:textId="77777777" w:rsidR="00DF4CDB" w:rsidRPr="00CD5597" w:rsidRDefault="00DF4CDB">
      <w:r w:rsidRPr="00CD5597">
        <w:separator/>
      </w:r>
    </w:p>
  </w:endnote>
  <w:endnote w:type="continuationSeparator" w:id="0">
    <w:p w14:paraId="5D2A1DF6" w14:textId="77777777" w:rsidR="00DF4CDB" w:rsidRPr="00CD5597" w:rsidRDefault="00DF4CDB">
      <w:r w:rsidRPr="00CD5597">
        <w:continuationSeparator/>
      </w:r>
    </w:p>
  </w:endnote>
  <w:endnote w:type="continuationNotice" w:id="1">
    <w:p w14:paraId="40D2FFE1" w14:textId="77777777" w:rsidR="00DF4CDB" w:rsidRDefault="00DF4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3E20C1CB" w:rsidR="00107665" w:rsidRPr="00AA73D8" w:rsidRDefault="00AA73D8" w:rsidP="00164C33">
    <w:pPr>
      <w:pStyle w:val="Footer-jobnumber"/>
      <w:rPr>
        <w:lang w:val="fr-CH"/>
      </w:rPr>
    </w:pPr>
    <w:r>
      <w:rPr>
        <w:lang w:val="fr-CH"/>
      </w:rPr>
      <w:tab/>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BECF" w14:textId="77777777" w:rsidR="00DF4CDB" w:rsidRPr="00CD5597" w:rsidRDefault="00DF4CDB" w:rsidP="00C70B49">
      <w:pPr>
        <w:pStyle w:val="Footnote-Separator"/>
        <w:rPr>
          <w:szCs w:val="18"/>
        </w:rPr>
      </w:pPr>
      <w:r w:rsidRPr="00CD5597">
        <w:separator/>
      </w:r>
    </w:p>
  </w:footnote>
  <w:footnote w:type="continuationSeparator" w:id="0">
    <w:p w14:paraId="436B3ABF" w14:textId="77777777" w:rsidR="00DF4CDB" w:rsidRPr="00CD5597" w:rsidRDefault="00DF4CDB" w:rsidP="00C70B49">
      <w:pPr>
        <w:pStyle w:val="Footnote-Separator"/>
      </w:pPr>
      <w:r w:rsidRPr="00CD5597">
        <w:continuationSeparator/>
      </w:r>
    </w:p>
  </w:footnote>
  <w:footnote w:type="continuationNotice" w:id="1">
    <w:p w14:paraId="01CE2E59" w14:textId="77777777" w:rsidR="00DF4CDB" w:rsidRPr="00CD5597" w:rsidRDefault="00DF4CDB" w:rsidP="00C70B49">
      <w:pPr>
        <w:pStyle w:val="ASpacer"/>
      </w:pPr>
    </w:p>
  </w:footnote>
  <w:footnote w:id="2">
    <w:p w14:paraId="2884F2E7" w14:textId="5032BF8D" w:rsidR="00107665" w:rsidRPr="00DB6FFC" w:rsidRDefault="00107665" w:rsidP="00EC0750">
      <w:pPr>
        <w:pStyle w:val="Footnote-Text"/>
        <w:tabs>
          <w:tab w:val="clear" w:pos="624"/>
          <w:tab w:val="clear" w:pos="1247"/>
          <w:tab w:val="clear" w:pos="1871"/>
          <w:tab w:val="clear" w:pos="2495"/>
          <w:tab w:val="clear" w:pos="3119"/>
          <w:tab w:val="clear" w:pos="3742"/>
          <w:tab w:val="clear" w:pos="4366"/>
          <w:tab w:val="clear" w:pos="4990"/>
        </w:tabs>
        <w:rPr>
          <w:lang w:val="ru-RU"/>
        </w:rPr>
      </w:pPr>
      <w:r w:rsidRPr="00631C1C">
        <w:rPr>
          <w:rStyle w:val="FootnoteReference"/>
          <w:lang w:val="ru-RU"/>
        </w:rPr>
        <w:footnoteRef/>
      </w:r>
      <w:r>
        <w:rPr>
          <w:lang w:val="ru-RU"/>
        </w:rPr>
        <w:t xml:space="preserve"> </w:t>
      </w:r>
      <w:r w:rsidR="00EC0750" w:rsidRPr="0096634E">
        <w:rPr>
          <w:lang w:val="ru-RU"/>
        </w:rPr>
        <w:tab/>
      </w:r>
      <w:r>
        <w:rPr>
          <w:lang w:val="ru-RU"/>
        </w:rPr>
        <w:t>См. документ 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19F51EB1" w:rsidR="00107665" w:rsidRPr="00C93E54" w:rsidRDefault="00C93E54" w:rsidP="00C93E54">
    <w:pPr>
      <w:pStyle w:val="Header-pool"/>
    </w:pPr>
    <w:r>
      <w:fldChar w:fldCharType="begin"/>
    </w:r>
    <w:r>
      <w:instrText xml:space="preserve"> StyleRef A_Symbol </w:instrText>
    </w:r>
    <w:r>
      <w:fldChar w:fldCharType="separate"/>
    </w:r>
    <w:r w:rsidR="00ED0CE1">
      <w:rPr>
        <w:noProof/>
      </w:rPr>
      <w:t>UNEP/MC/COP.6/Dec.12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2339EB65" w:rsidR="00107665" w:rsidRPr="00C93E54" w:rsidRDefault="00C93E54" w:rsidP="00C93E54">
    <w:pPr>
      <w:pStyle w:val="Header-pool"/>
      <w:jc w:val="right"/>
    </w:pPr>
    <w:r>
      <w:fldChar w:fldCharType="begin"/>
    </w:r>
    <w:r>
      <w:instrText xml:space="preserve"> StyleRef A_Symbol </w:instrText>
    </w:r>
    <w:r>
      <w:fldChar w:fldCharType="separate"/>
    </w:r>
    <w:r w:rsidR="0046651D">
      <w:rPr>
        <w:noProof/>
      </w:rPr>
      <w:t>UNEP/MC/COP.6/Dec.12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4C33"/>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5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77DB1"/>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9D5"/>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3D8"/>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3E54"/>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4CDB"/>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5E4"/>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0CE1"/>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9F8F970-6DD5-4541-AF06-B40C4684B045}"/>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38</TotalTime>
  <Pages>2</Pages>
  <Words>717</Words>
  <Characters>4087</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2026-01-27T13:32:00Z</cp:lastPrinted>
  <dcterms:created xsi:type="dcterms:W3CDTF">2026-03-18T10:27:00Z</dcterms:created>
  <dcterms:modified xsi:type="dcterms:W3CDTF">2026-04-15T12:59:00Z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