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5EB33809"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E04D2B">
              <w:t>8</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71648EF9" w14:textId="05761E31" w:rsidR="00312042" w:rsidRPr="008D1E8F" w:rsidRDefault="008D1E8F" w:rsidP="009807D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65"/>
      <w:r>
        <w:rPr>
          <w:lang w:val="ru-RU"/>
        </w:rPr>
        <w:tab/>
      </w:r>
      <w:bookmarkStart w:id="1" w:name="_Toc222992809"/>
      <w:r w:rsidR="00312042" w:rsidRPr="008D1E8F">
        <w:rPr>
          <w:lang w:val="ru-RU"/>
        </w:rPr>
        <w:t>Решение МК-6/8. Кустарная и мелкомасштабная золотодобыча: обзор хода выполнения статьи 7</w:t>
      </w:r>
      <w:bookmarkEnd w:id="0"/>
      <w:bookmarkEnd w:id="1"/>
    </w:p>
    <w:p w14:paraId="39CDEB28" w14:textId="77777777"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ru-RU"/>
        </w:rPr>
      </w:pPr>
      <w:r>
        <w:rPr>
          <w:i/>
          <w:iCs/>
          <w:lang w:val="ru-RU"/>
        </w:rPr>
        <w:t>Конференция Сторон,</w:t>
      </w:r>
    </w:p>
    <w:p w14:paraId="2BC32B62" w14:textId="5AA692DA"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отмечая</w:t>
      </w:r>
      <w:r>
        <w:rPr>
          <w:lang w:val="ru-RU"/>
        </w:rPr>
        <w:t>, что загрязнение в результате использования ртути в кустарной и мелкомасштабной золотодобыче остается крупнейшим источником антропогенных выбросов ртути в мире,</w:t>
      </w:r>
    </w:p>
    <w:p w14:paraId="79641DDF" w14:textId="4D8AB78A"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признавая</w:t>
      </w:r>
      <w:r>
        <w:rPr>
          <w:lang w:val="ru-RU"/>
        </w:rPr>
        <w:t xml:space="preserve"> усилия, предпринятые соответствующими Сторонами по разработке, представлению и осуществлению их национальных планов действий в соответствии с пунктом</w:t>
      </w:r>
      <w:r w:rsidR="006957A3">
        <w:rPr>
          <w:lang w:val="ru-RU"/>
        </w:rPr>
        <w:t> </w:t>
      </w:r>
      <w:r>
        <w:rPr>
          <w:lang w:val="ru-RU"/>
        </w:rPr>
        <w:t>3 a) и b) статьи 7 Минаматской конвенции о ртути,</w:t>
      </w:r>
    </w:p>
    <w:p w14:paraId="10DAFAF6" w14:textId="076C9198"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Calibri" w:hAnsiTheme="majorBidi" w:cstheme="majorBidi"/>
          <w:lang w:val="ru-RU"/>
        </w:rPr>
      </w:pPr>
      <w:r w:rsidRPr="000135ED">
        <w:rPr>
          <w:i/>
          <w:iCs/>
          <w:lang w:val="ru-RU"/>
        </w:rPr>
        <w:t>ссылаясь</w:t>
      </w:r>
      <w:r>
        <w:rPr>
          <w:lang w:val="ru-RU"/>
        </w:rPr>
        <w:t xml:space="preserve"> на пункт 3 c) статьи 7, предписывающий всем Сторонам, которые определили, что кустарная и мелкомасштабная золотодобыча на их территории выходит за рамки незначительной, сообщили об этом секретариату и разработали и представили свои национальные планы действий, подготовить обзор хода выполнения их обязательств в соответствии со статьей 7 и включить этот обзор в их доклады, подлежащие представлению в соответствии со статьей 21,</w:t>
      </w:r>
    </w:p>
    <w:p w14:paraId="3BDA6817" w14:textId="1F41AF56"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ссылаясь далее</w:t>
      </w:r>
      <w:r>
        <w:rPr>
          <w:lang w:val="ru-RU"/>
        </w:rPr>
        <w:t xml:space="preserve"> на свое решение МК-4/4, в котором она призвала Стороны вовлекать коренные народы, а также местные общины и других соответствующих заинтересованны</w:t>
      </w:r>
      <w:r w:rsidR="00EF5D61">
        <w:rPr>
          <w:lang w:val="ru-RU"/>
        </w:rPr>
        <w:t>х</w:t>
      </w:r>
      <w:r>
        <w:rPr>
          <w:lang w:val="ru-RU"/>
        </w:rPr>
        <w:t xml:space="preserve"> субъект</w:t>
      </w:r>
      <w:r w:rsidR="00EF5D61">
        <w:rPr>
          <w:lang w:val="ru-RU"/>
        </w:rPr>
        <w:t>ов</w:t>
      </w:r>
      <w:r>
        <w:rPr>
          <w:lang w:val="ru-RU"/>
        </w:rPr>
        <w:t xml:space="preserve"> в разработку и осуществление национальных планов действий в отношении кустарной и мелкомасштабной золотодобычи,</w:t>
      </w:r>
    </w:p>
    <w:p w14:paraId="44D80116" w14:textId="618A44BA"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признавая</w:t>
      </w:r>
      <w:r>
        <w:rPr>
          <w:lang w:val="ru-RU"/>
        </w:rPr>
        <w:t xml:space="preserve">, что предотвращение использования и перенаправления ртути в связи с добычей золота, включая кустарную и мелкомасштабную золотодобычу, будет укреплено посредством экологически устойчивых мер регулирования и усиления подотчетности на всех этапах жизненного цикла производства и сбыта золота, включая должную осмотрительность со стороны покупателей и посредников, прослеживаемость и проверку происхождения, </w:t>
      </w:r>
    </w:p>
    <w:p w14:paraId="2DAE94D1" w14:textId="71D2AA51"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приветствуя</w:t>
      </w:r>
      <w:r>
        <w:rPr>
          <w:lang w:val="ru-RU"/>
        </w:rPr>
        <w:t xml:space="preserve"> международные усилия по содействию скоординированным действиям в области кустарной и мелкомасштабной золотодобычи с целью снижения социально</w:t>
      </w:r>
      <w:r w:rsidR="00F45D32">
        <w:rPr>
          <w:lang w:val="ru-RU"/>
        </w:rPr>
        <w:noBreakHyphen/>
      </w:r>
      <w:r>
        <w:rPr>
          <w:lang w:val="ru-RU"/>
        </w:rPr>
        <w:t xml:space="preserve">экологических рисков, связанных с кустарной и мелкомасштабной золотодобычей, и минимизации ее негативного воздействия, содействия развитию осуществляемых ответственным образом процессов безртутного извлечения золота и повышения </w:t>
      </w:r>
      <w:r w:rsidR="00EC3D7D">
        <w:rPr>
          <w:lang w:val="ru-RU"/>
        </w:rPr>
        <w:t xml:space="preserve">транспарентности </w:t>
      </w:r>
      <w:r>
        <w:rPr>
          <w:lang w:val="ru-RU"/>
        </w:rPr>
        <w:t xml:space="preserve">и </w:t>
      </w:r>
      <w:proofErr w:type="spellStart"/>
      <w:r>
        <w:rPr>
          <w:lang w:val="ru-RU"/>
        </w:rPr>
        <w:t>отслеживаемости</w:t>
      </w:r>
      <w:proofErr w:type="spellEnd"/>
      <w:r>
        <w:rPr>
          <w:lang w:val="ru-RU"/>
        </w:rPr>
        <w:t xml:space="preserve"> на всех этапах производства и сбыта золота, </w:t>
      </w:r>
    </w:p>
    <w:p w14:paraId="1D8FD804" w14:textId="07E30D01"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lastRenderedPageBreak/>
        <w:t>признавая</w:t>
      </w:r>
      <w:r>
        <w:rPr>
          <w:lang w:val="ru-RU"/>
        </w:rPr>
        <w:t xml:space="preserve"> важность обеспечения справедливого перехода для общин, особенно находящихся в уязвимом положении, при отказе от использования ртути в кустарной и мелкомасштабной золотодобыче,</w:t>
      </w:r>
    </w:p>
    <w:p w14:paraId="325ECCDF" w14:textId="43608D80"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призывает</w:t>
      </w:r>
      <w:r>
        <w:rPr>
          <w:lang w:val="ru-RU"/>
        </w:rPr>
        <w:t xml:space="preserve"> Стороны, чьи национальные планы действий в отношении кустарной и мелкомасштабной золотодобычи должны быть представлены в соответствии с пунктом 3 b) статьи 7, как можно скорее направить итоговые планы в секретариат; </w:t>
      </w:r>
    </w:p>
    <w:p w14:paraId="79E6626C" w14:textId="72D4DBF3"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принимает</w:t>
      </w:r>
      <w:r>
        <w:rPr>
          <w:lang w:val="ru-RU"/>
        </w:rPr>
        <w:t xml:space="preserve"> исправленные разделы, касающиеся обзора хода выполнения статьи 7</w:t>
      </w:r>
      <w:r w:rsidR="00840F13" w:rsidRPr="00631C1C">
        <w:rPr>
          <w:rStyle w:val="FootnoteReference"/>
          <w:rFonts w:cstheme="majorBidi"/>
          <w:lang w:val="ru-RU"/>
        </w:rPr>
        <w:footnoteReference w:id="2"/>
      </w:r>
      <w:r>
        <w:rPr>
          <w:lang w:val="ru-RU"/>
        </w:rPr>
        <w:t xml:space="preserve"> для включения в Руководство по подготовке национального плана действий по сокращению и, где это возможно, прекращению применения ртути в кустарной и мелкомасштабной золотодобыче;</w:t>
      </w:r>
    </w:p>
    <w:p w14:paraId="165ABA27" w14:textId="775C57C1"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lang w:val="ru-RU"/>
        </w:rPr>
      </w:pPr>
      <w:r w:rsidRPr="000135ED">
        <w:rPr>
          <w:i/>
          <w:iCs/>
          <w:lang w:val="ru-RU"/>
        </w:rPr>
        <w:t>поручает</w:t>
      </w:r>
      <w:r>
        <w:rPr>
          <w:lang w:val="ru-RU"/>
        </w:rPr>
        <w:t xml:space="preserve"> секретариату включить принятые поправки в Руководство и сотрудничать с Глобальным партнерством по ртути по вопросу распространения исправленного Руководства, в том числе</w:t>
      </w:r>
      <w:r w:rsidR="00A5574A">
        <w:rPr>
          <w:lang w:val="ru-RU"/>
        </w:rPr>
        <w:t>, в надлежащих случаях,</w:t>
      </w:r>
      <w:r>
        <w:rPr>
          <w:lang w:val="ru-RU"/>
        </w:rPr>
        <w:t xml:space="preserve"> на региональном и субрегиональном уровнях;</w:t>
      </w:r>
    </w:p>
    <w:p w14:paraId="31A439D1" w14:textId="761930A2"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призывает</w:t>
      </w:r>
      <w:r>
        <w:rPr>
          <w:lang w:val="ru-RU"/>
        </w:rPr>
        <w:t xml:space="preserve"> все Стороны, представившие свои национальные планы действий, предоставить обзор хода выполнения их обязательств согласно статье 7, и включить этот обзор в их доклады, представляемые в соответствии со статьей 21, и призывает Стороны использовать в этих докладах шаблон для представления сведений из приложения 7 к исправленному Руководству;</w:t>
      </w:r>
    </w:p>
    <w:p w14:paraId="044AE3FE" w14:textId="3F6BA55F"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предлагает</w:t>
      </w:r>
      <w:r>
        <w:rPr>
          <w:lang w:val="ru-RU"/>
        </w:rPr>
        <w:t xml:space="preserve"> Сторонам, направившим уведомления в секретариат в соответствии с пунктом 3 статьи 7, использовать предварительное руководство по эффективному вовлечению коренных народов и местных общин</w:t>
      </w:r>
      <w:r w:rsidRPr="00631C1C">
        <w:rPr>
          <w:rStyle w:val="FootnoteReference"/>
          <w:rFonts w:cstheme="majorBidi"/>
          <w:lang w:val="ru-RU"/>
        </w:rPr>
        <w:footnoteReference w:id="3"/>
      </w:r>
      <w:r>
        <w:rPr>
          <w:lang w:val="ru-RU"/>
        </w:rPr>
        <w:t xml:space="preserve"> в разработку и выполнение их национальных планов действий, а также их обзоры хода выполнения в соответствии с пунктом 3 с) статьи 7, и поручает секретариату запросить отзывы об использовании предварительного руководства;</w:t>
      </w:r>
    </w:p>
    <w:p w14:paraId="48192B50" w14:textId="1FB4045B"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0135ED">
        <w:rPr>
          <w:i/>
          <w:iCs/>
          <w:lang w:val="ru-RU"/>
        </w:rPr>
        <w:t>поручает</w:t>
      </w:r>
      <w:r>
        <w:rPr>
          <w:lang w:val="ru-RU"/>
        </w:rPr>
        <w:t xml:space="preserve"> секретариату в сотрудничестве с Глобальным партнерством по ртути и на основе информации из представленных национальных планов действий и обзоров хода выполнения статьи 7 провести анализ и представить Конференции Сторон доклад по следующим вопросам:</w:t>
      </w:r>
    </w:p>
    <w:p w14:paraId="089F8411" w14:textId="77777777" w:rsidR="00312042" w:rsidRPr="00DA0337" w:rsidRDefault="00312042" w:rsidP="00546B6B">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 xml:space="preserve">принятые меры по выполнению национальных планов действий; </w:t>
      </w:r>
    </w:p>
    <w:p w14:paraId="6A9A3825" w14:textId="26C138EA" w:rsidR="00312042" w:rsidRPr="00DA0337" w:rsidRDefault="00312042" w:rsidP="00546B6B">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lang w:val="ru-RU"/>
        </w:rPr>
      </w:pPr>
      <w:r>
        <w:rPr>
          <w:lang w:val="ru-RU"/>
        </w:rPr>
        <w:t>выявленные успешные стратегии и мероприятия, достижения в области осуществления, а также проблемы и препятствия, возникшие в процессе сокращения и прекращения использования, выбросов и высвобождений ртути при кустарной и мелкомасштабной золотодобыче, включая информацию о формализации или регламентировании кустарной и мелкомасштабной золотодобычи, а также о регулировании торговли и предотвращении перенаправления ртути для использования в кустарной и мелкомасштабной золотодобыче;</w:t>
      </w:r>
    </w:p>
    <w:p w14:paraId="3968D795" w14:textId="5DB1283F"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624E38">
        <w:rPr>
          <w:i/>
          <w:iCs/>
          <w:lang w:val="ru-RU"/>
        </w:rPr>
        <w:t>призывает</w:t>
      </w:r>
      <w:r>
        <w:rPr>
          <w:lang w:val="ru-RU"/>
        </w:rPr>
        <w:t xml:space="preserve"> Стороны принять или усилить экологически устойчивое регулирование производства и сбыта золота и меры по выявлению покупателей и посредников и повышению их ответственности на всех этапах жизненного цикла производства и сбыта с целью пресечения использования ртути и незаконной торговли золотом;</w:t>
      </w:r>
    </w:p>
    <w:p w14:paraId="06233770" w14:textId="7061DE69" w:rsidR="00312042" w:rsidRPr="00DA0337" w:rsidRDefault="00026B4E"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624E38">
        <w:rPr>
          <w:i/>
          <w:iCs/>
          <w:lang w:val="ru-RU"/>
        </w:rPr>
        <w:t>также призывает</w:t>
      </w:r>
      <w:r>
        <w:rPr>
          <w:lang w:val="ru-RU"/>
        </w:rPr>
        <w:t xml:space="preserve"> Стороны рассмотреть возможность разработки или совершенствования методов работы с открытыми данными на всех этапах производства и сбыта золота, обеспечения общедоступности соответствующей информации, включая проверку происхождения, с целью обеспечения транспарентности и подотчетности во всей золотодобывающей отрасли;</w:t>
      </w:r>
    </w:p>
    <w:p w14:paraId="10128208" w14:textId="19ACF5F3"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624E38">
        <w:rPr>
          <w:i/>
          <w:iCs/>
          <w:lang w:val="ru-RU"/>
        </w:rPr>
        <w:t>поручает</w:t>
      </w:r>
      <w:r>
        <w:rPr>
          <w:lang w:val="ru-RU"/>
        </w:rPr>
        <w:t xml:space="preserve"> секретариату</w:t>
      </w:r>
      <w:r w:rsidR="007D4855">
        <w:rPr>
          <w:lang w:val="ru-RU"/>
        </w:rPr>
        <w:t>,</w:t>
      </w:r>
      <w:r>
        <w:rPr>
          <w:lang w:val="ru-RU"/>
        </w:rPr>
        <w:t xml:space="preserve"> при наличии ресурсов</w:t>
      </w:r>
      <w:r w:rsidR="007D4855">
        <w:rPr>
          <w:lang w:val="ru-RU"/>
        </w:rPr>
        <w:t>,</w:t>
      </w:r>
      <w:r>
        <w:rPr>
          <w:lang w:val="ru-RU"/>
        </w:rPr>
        <w:t xml:space="preserve"> в координации с соответствующими международными инициативами </w:t>
      </w:r>
      <w:r w:rsidR="003722F0">
        <w:rPr>
          <w:lang w:val="ru-RU"/>
        </w:rPr>
        <w:t xml:space="preserve">подготовить свод </w:t>
      </w:r>
      <w:r w:rsidR="005377C3">
        <w:rPr>
          <w:lang w:val="ru-RU"/>
        </w:rPr>
        <w:t>сопоставленных</w:t>
      </w:r>
      <w:r w:rsidR="00277D44">
        <w:rPr>
          <w:lang w:val="ru-RU"/>
        </w:rPr>
        <w:t xml:space="preserve"> знаний </w:t>
      </w:r>
      <w:r w:rsidR="005B0660">
        <w:rPr>
          <w:lang w:val="ru-RU"/>
        </w:rPr>
        <w:t>по</w:t>
      </w:r>
      <w:r>
        <w:rPr>
          <w:lang w:val="ru-RU"/>
        </w:rPr>
        <w:t xml:space="preserve"> вопроса</w:t>
      </w:r>
      <w:r w:rsidR="005B0660">
        <w:rPr>
          <w:lang w:val="ru-RU"/>
        </w:rPr>
        <w:t>м</w:t>
      </w:r>
      <w:r>
        <w:rPr>
          <w:lang w:val="ru-RU"/>
        </w:rPr>
        <w:t xml:space="preserve"> транспарентности и сертификации производства и сбыта и </w:t>
      </w:r>
      <w:r w:rsidR="00FA2674">
        <w:rPr>
          <w:lang w:val="ru-RU"/>
        </w:rPr>
        <w:t xml:space="preserve">о </w:t>
      </w:r>
      <w:r w:rsidR="00B54BFF">
        <w:rPr>
          <w:lang w:val="ru-RU"/>
        </w:rPr>
        <w:t>том, как</w:t>
      </w:r>
      <w:r>
        <w:rPr>
          <w:lang w:val="ru-RU"/>
        </w:rPr>
        <w:t xml:space="preserve"> такие методы могут влиять на использование ртути в золотодобыче, включая кустарную и мелкомасштабную золотодобычу, и могут повысить подотчетность покупателей и посредников, и представить свои выводы Конференции Сторон на ее седьмом совещании; </w:t>
      </w:r>
    </w:p>
    <w:p w14:paraId="3113252E" w14:textId="58E4DA01" w:rsidR="00312042" w:rsidRPr="00DA0337" w:rsidRDefault="00312042"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bookmarkStart w:id="2" w:name="_Hlk217039969"/>
      <w:bookmarkStart w:id="3" w:name="_Hlk219453229"/>
      <w:r w:rsidRPr="00624E38">
        <w:rPr>
          <w:i/>
          <w:iCs/>
          <w:lang w:val="ru-RU"/>
        </w:rPr>
        <w:t>напоминает</w:t>
      </w:r>
      <w:r>
        <w:rPr>
          <w:lang w:val="ru-RU"/>
        </w:rPr>
        <w:t xml:space="preserve"> о решении МК-5/7, в котором она призвала все Стороны, уведомившие секретариат в соответствии с пунктом 3 статьи 7, и Глобальный экологический </w:t>
      </w:r>
      <w:r>
        <w:rPr>
          <w:lang w:val="ru-RU"/>
        </w:rPr>
        <w:lastRenderedPageBreak/>
        <w:t>фонд продолжать содействовать осуществлению национальных планов действий посредством проектов и программ;</w:t>
      </w:r>
    </w:p>
    <w:p w14:paraId="468618FF" w14:textId="464872E7" w:rsidR="00312042" w:rsidRPr="00DA0337" w:rsidRDefault="00230037"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624E38">
        <w:rPr>
          <w:i/>
          <w:iCs/>
          <w:lang w:val="ru-RU"/>
        </w:rPr>
        <w:t>напоминает также</w:t>
      </w:r>
      <w:r>
        <w:rPr>
          <w:lang w:val="ru-RU"/>
        </w:rPr>
        <w:t xml:space="preserve"> о решении МК-5/7, в котором она призвала Стороны работать с коренными народами, а также с местными общинами в отношении кустарной и мелкомасштабной золотодобычи;</w:t>
      </w:r>
      <w:bookmarkEnd w:id="2"/>
    </w:p>
    <w:bookmarkEnd w:id="3"/>
    <w:p w14:paraId="2179CCD3" w14:textId="73213934" w:rsidR="00312042" w:rsidRPr="00DA0337" w:rsidRDefault="00230037" w:rsidP="00546B6B">
      <w:pPr>
        <w:pStyle w:val="Normal-pool"/>
        <w:numPr>
          <w:ilvl w:val="0"/>
          <w:numId w:val="48"/>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sectPr w:rsidR="00312042" w:rsidRPr="00DA0337" w:rsidSect="00E04D2B">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907" w:right="992" w:bottom="1418" w:left="1418" w:header="539" w:footer="975" w:gutter="0"/>
          <w:cols w:space="539"/>
          <w:titlePg/>
          <w:docGrid w:linePitch="360"/>
        </w:sectPr>
      </w:pPr>
      <w:r w:rsidRPr="00624E38">
        <w:rPr>
          <w:i/>
          <w:iCs/>
          <w:lang w:val="ru-RU"/>
        </w:rPr>
        <w:t>поручает</w:t>
      </w:r>
      <w:r>
        <w:rPr>
          <w:lang w:val="ru-RU"/>
        </w:rPr>
        <w:t xml:space="preserve"> секретариату представить Конференции Сторон на ее седьмом совещании доклад о выполнении настоящего решения.</w:t>
      </w:r>
    </w:p>
    <w:p w14:paraId="58B37A7D" w14:textId="5DE04B91" w:rsidR="00312042" w:rsidRPr="00E04D2B" w:rsidRDefault="00312042" w:rsidP="00546B6B">
      <w:pPr>
        <w:tabs>
          <w:tab w:val="clear" w:pos="1247"/>
          <w:tab w:val="clear" w:pos="1814"/>
          <w:tab w:val="clear" w:pos="2381"/>
          <w:tab w:val="clear" w:pos="2948"/>
          <w:tab w:val="clear" w:pos="3515"/>
        </w:tabs>
        <w:spacing w:after="160" w:line="278" w:lineRule="auto"/>
        <w:rPr>
          <w:rFonts w:asciiTheme="majorBidi" w:hAnsiTheme="majorBidi" w:cstheme="majorBidi"/>
          <w:lang w:val="fr-CH"/>
        </w:rPr>
      </w:pPr>
    </w:p>
    <w:p w14:paraId="276EAD80" w14:textId="12592A56" w:rsidR="00312042" w:rsidRPr="00DA0337" w:rsidRDefault="008D1E8F" w:rsidP="00546B6B">
      <w:pPr>
        <w:tabs>
          <w:tab w:val="clear" w:pos="1247"/>
          <w:tab w:val="clear" w:pos="1814"/>
          <w:tab w:val="clear" w:pos="2381"/>
          <w:tab w:val="clear" w:pos="2948"/>
          <w:tab w:val="clear" w:pos="3515"/>
        </w:tabs>
        <w:spacing w:after="160" w:line="278" w:lineRule="auto"/>
        <w:rPr>
          <w:rFonts w:asciiTheme="majorBidi" w:hAnsiTheme="majorBidi" w:cstheme="majorBidi"/>
          <w:lang w:val="ru-RU"/>
        </w:rPr>
      </w:pPr>
      <w:bookmarkStart w:id="4" w:name="_Toc213853067"/>
      <w:r>
        <w:rPr>
          <w:lang w:val="ru-RU"/>
        </w:rPr>
        <w:tab/>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9"/>
      <w:headerReference w:type="default" r:id="rId20"/>
      <w:headerReference w:type="first" r:id="rId21"/>
      <w:footerReference w:type="first" r:id="rId22"/>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C6C0" w14:textId="77777777" w:rsidR="001122A0" w:rsidRPr="00CD5597" w:rsidRDefault="001122A0">
      <w:r w:rsidRPr="00CD5597">
        <w:separator/>
      </w:r>
    </w:p>
  </w:endnote>
  <w:endnote w:type="continuationSeparator" w:id="0">
    <w:p w14:paraId="3CF7376D" w14:textId="77777777" w:rsidR="001122A0" w:rsidRPr="00CD5597" w:rsidRDefault="001122A0">
      <w:r w:rsidRPr="00CD5597">
        <w:continuationSeparator/>
      </w:r>
    </w:p>
  </w:endnote>
  <w:endnote w:type="continuationNotice" w:id="1">
    <w:p w14:paraId="33A924E5" w14:textId="77777777" w:rsidR="001122A0" w:rsidRDefault="00112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163F8453" w:rsidR="00312042" w:rsidRDefault="00377588" w:rsidP="00E84D8D">
    <w:pPr>
      <w:pStyle w:val="Footer-jobnumber"/>
    </w:pPr>
    <w:r>
      <w:rPr>
        <w:lang w:val="en-US"/>
      </w:rPr>
      <w:tab/>
    </w:r>
    <w:r w:rsidR="0052179F">
      <w:rPr>
        <w:lang w:val="en-US"/>
      </w:rPr>
      <w:t>1803</w:t>
    </w:r>
    <w:r w:rsidR="0052179F">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7CE7" w14:textId="77777777" w:rsidR="001122A0" w:rsidRPr="00CD5597" w:rsidRDefault="001122A0" w:rsidP="00C70B49">
      <w:pPr>
        <w:pStyle w:val="Footnote-Separator"/>
        <w:rPr>
          <w:szCs w:val="18"/>
        </w:rPr>
      </w:pPr>
      <w:r w:rsidRPr="00CD5597">
        <w:separator/>
      </w:r>
    </w:p>
  </w:footnote>
  <w:footnote w:type="continuationSeparator" w:id="0">
    <w:p w14:paraId="093E2E6C" w14:textId="77777777" w:rsidR="001122A0" w:rsidRPr="00CD5597" w:rsidRDefault="001122A0" w:rsidP="00C70B49">
      <w:pPr>
        <w:pStyle w:val="Footnote-Separator"/>
      </w:pPr>
      <w:r w:rsidRPr="00CD5597">
        <w:continuationSeparator/>
      </w:r>
    </w:p>
  </w:footnote>
  <w:footnote w:type="continuationNotice" w:id="1">
    <w:p w14:paraId="39F4900C" w14:textId="77777777" w:rsidR="001122A0" w:rsidRPr="00CD5597" w:rsidRDefault="001122A0" w:rsidP="00C70B49">
      <w:pPr>
        <w:pStyle w:val="ASpacer"/>
      </w:pPr>
    </w:p>
  </w:footnote>
  <w:footnote w:id="2">
    <w:p w14:paraId="091FF94B" w14:textId="79BD3532" w:rsidR="00840F13" w:rsidRPr="00D20C0A" w:rsidRDefault="00840F13" w:rsidP="000135ED">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0135ED">
        <w:rPr>
          <w:lang w:val="ru-RU"/>
        </w:rPr>
        <w:tab/>
      </w:r>
      <w:r>
        <w:rPr>
          <w:lang w:val="ru-RU"/>
        </w:rPr>
        <w:t xml:space="preserve">Как представлено в документе </w:t>
      </w:r>
      <w:r w:rsidR="00E7608D" w:rsidRPr="00631C1C">
        <w:rPr>
          <w:rFonts w:asciiTheme="majorBidi" w:hAnsiTheme="majorBidi" w:cstheme="majorBidi"/>
        </w:rPr>
        <w:t>UNEP</w:t>
      </w:r>
      <w:r w:rsidR="00E7608D" w:rsidRPr="00AC33D6">
        <w:rPr>
          <w:rFonts w:asciiTheme="majorBidi" w:hAnsiTheme="majorBidi" w:cstheme="majorBidi"/>
          <w:lang w:val="ru-RU"/>
        </w:rPr>
        <w:t>/</w:t>
      </w:r>
      <w:r w:rsidR="00E7608D" w:rsidRPr="00631C1C">
        <w:rPr>
          <w:rFonts w:asciiTheme="majorBidi" w:hAnsiTheme="majorBidi" w:cstheme="majorBidi"/>
        </w:rPr>
        <w:t>MC</w:t>
      </w:r>
      <w:r w:rsidR="00E7608D" w:rsidRPr="00AC33D6">
        <w:rPr>
          <w:rFonts w:asciiTheme="majorBidi" w:hAnsiTheme="majorBidi" w:cstheme="majorBidi"/>
          <w:lang w:val="ru-RU"/>
        </w:rPr>
        <w:t>/</w:t>
      </w:r>
      <w:r w:rsidR="00E7608D" w:rsidRPr="00631C1C">
        <w:rPr>
          <w:rFonts w:asciiTheme="majorBidi" w:hAnsiTheme="majorBidi" w:cstheme="majorBidi"/>
        </w:rPr>
        <w:t>COP</w:t>
      </w:r>
      <w:r w:rsidR="00E7608D" w:rsidRPr="00AC33D6">
        <w:rPr>
          <w:rFonts w:asciiTheme="majorBidi" w:hAnsiTheme="majorBidi" w:cstheme="majorBidi"/>
          <w:lang w:val="ru-RU"/>
        </w:rPr>
        <w:t>.6/7/</w:t>
      </w:r>
      <w:r w:rsidR="00E7608D" w:rsidRPr="00631C1C">
        <w:rPr>
          <w:rFonts w:asciiTheme="majorBidi" w:hAnsiTheme="majorBidi" w:cstheme="majorBidi"/>
        </w:rPr>
        <w:t>Add</w:t>
      </w:r>
      <w:r w:rsidR="00E7608D" w:rsidRPr="00AC33D6">
        <w:rPr>
          <w:rFonts w:asciiTheme="majorBidi" w:hAnsiTheme="majorBidi" w:cstheme="majorBidi"/>
          <w:lang w:val="ru-RU"/>
        </w:rPr>
        <w:t>.1</w:t>
      </w:r>
      <w:r>
        <w:rPr>
          <w:lang w:val="ru-RU"/>
        </w:rPr>
        <w:t>.</w:t>
      </w:r>
    </w:p>
  </w:footnote>
  <w:footnote w:id="3">
    <w:p w14:paraId="1CC2E14E" w14:textId="43666E69" w:rsidR="00312042" w:rsidRPr="00631C1C" w:rsidRDefault="00312042" w:rsidP="000135ED">
      <w:pPr>
        <w:pStyle w:val="Footnote-Text"/>
        <w:tabs>
          <w:tab w:val="clear" w:pos="624"/>
          <w:tab w:val="clear" w:pos="1247"/>
          <w:tab w:val="clear" w:pos="1871"/>
          <w:tab w:val="clear" w:pos="2495"/>
          <w:tab w:val="clear" w:pos="3119"/>
          <w:tab w:val="clear" w:pos="3742"/>
          <w:tab w:val="clear" w:pos="4366"/>
          <w:tab w:val="clear" w:pos="4990"/>
        </w:tabs>
        <w:rPr>
          <w:szCs w:val="18"/>
        </w:rPr>
      </w:pPr>
      <w:r w:rsidRPr="00631C1C">
        <w:rPr>
          <w:rStyle w:val="FootnoteReference"/>
          <w:sz w:val="18"/>
          <w:lang w:val="ru-RU"/>
        </w:rPr>
        <w:footnoteRef/>
      </w:r>
      <w:r w:rsidRPr="00D20C0A">
        <w:rPr>
          <w:lang w:val="en-US"/>
        </w:rPr>
        <w:t xml:space="preserve"> </w:t>
      </w:r>
      <w:r w:rsidR="000135ED" w:rsidRPr="00E240F9">
        <w:tab/>
      </w:r>
      <w:r w:rsidRPr="00D20C0A">
        <w:rPr>
          <w:lang w:val="en-US"/>
        </w:rPr>
        <w:t>UNEP/MC/COP.6/INF/11.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2598824D" w:rsidR="00312042" w:rsidRPr="00377588" w:rsidRDefault="00377588" w:rsidP="00377588">
    <w:pPr>
      <w:pStyle w:val="Header-pool"/>
    </w:pPr>
    <w:r>
      <w:fldChar w:fldCharType="begin"/>
    </w:r>
    <w:r>
      <w:instrText xml:space="preserve"> StyleRef A_Symbol </w:instrText>
    </w:r>
    <w:r>
      <w:fldChar w:fldCharType="separate"/>
    </w:r>
    <w:r w:rsidR="00E04D2B">
      <w:rPr>
        <w:noProof/>
      </w:rPr>
      <w:t>UNEP/MC/COP.6/Dec.8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5CC70AE1" w:rsidR="00312042" w:rsidRPr="00377588" w:rsidRDefault="00377588" w:rsidP="00377588">
    <w:pPr>
      <w:pStyle w:val="Header-pool"/>
      <w:jc w:val="right"/>
    </w:pPr>
    <w:r>
      <w:fldChar w:fldCharType="begin"/>
    </w:r>
    <w:r>
      <w:instrText xml:space="preserve"> StyleRef A_Symbol </w:instrText>
    </w:r>
    <w:r>
      <w:fldChar w:fldCharType="separate"/>
    </w:r>
    <w:r w:rsidR="00E04D2B">
      <w:rPr>
        <w:noProof/>
      </w:rPr>
      <w:t>UNEP/MC/COP.6/Dec.8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0F35" w14:textId="77777777" w:rsidR="00E04D2B" w:rsidRDefault="00E04D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2A0"/>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D2E"/>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1EA"/>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5BF"/>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4D2B"/>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660E3-5229-45EE-9C4A-0C682E45A12F}"/>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33</TotalTime>
  <Pages>3</Pages>
  <Words>979</Words>
  <Characters>5581</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6547</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14</cp:revision>
  <cp:lastPrinted>2026-01-27T13:32:00Z</cp:lastPrinted>
  <dcterms:created xsi:type="dcterms:W3CDTF">2026-03-18T10:27:00Z</dcterms:created>
  <dcterms:modified xsi:type="dcterms:W3CDTF">2026-04-15T10:55:00Z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