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507BCC93"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5F2A11">
              <w:rPr>
                <w:lang w:val="es-ES_tradnl"/>
              </w:rPr>
              <w:t>7</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4C412FE3" w14:textId="0058439F" w:rsidR="00312042" w:rsidRPr="00F567E1" w:rsidRDefault="00312042" w:rsidP="005F2A11">
      <w:pPr>
        <w:pStyle w:val="CH2"/>
        <w:outlineLvl w:val="0"/>
        <w:rPr>
          <w:lang w:val="es-ES_tradnl"/>
        </w:rPr>
      </w:pPr>
      <w:r w:rsidRPr="00F567E1">
        <w:rPr>
          <w:lang w:val="es-ES_tradnl"/>
        </w:rPr>
        <w:tab/>
      </w:r>
      <w:r w:rsidRPr="00F567E1">
        <w:rPr>
          <w:lang w:val="es-ES_tradnl"/>
        </w:rPr>
        <w:tab/>
      </w:r>
      <w:bookmarkStart w:id="0" w:name="_Toc213853064"/>
      <w:bookmarkStart w:id="1" w:name="_Toc223088512"/>
      <w:r w:rsidRPr="00F567E1">
        <w:rPr>
          <w:lang w:val="es-ES_tradnl"/>
        </w:rPr>
        <w:t>Decisión MC-6/7: prórrogas de las exenciones</w:t>
      </w:r>
      <w:bookmarkStart w:id="2" w:name="_Toc219712804"/>
      <w:bookmarkEnd w:id="0"/>
      <w:bookmarkEnd w:id="1"/>
      <w:bookmarkEnd w:id="2"/>
    </w:p>
    <w:p w14:paraId="7BD6E23D" w14:textId="77777777" w:rsidR="00312042" w:rsidRPr="00F567E1" w:rsidRDefault="00312042" w:rsidP="00312042">
      <w:pPr>
        <w:spacing w:after="120"/>
        <w:ind w:left="1247" w:firstLine="624"/>
        <w:rPr>
          <w:rFonts w:asciiTheme="majorBidi" w:hAnsiTheme="majorBidi" w:cstheme="majorBidi"/>
          <w:i/>
          <w:lang w:val="es-ES_tradnl"/>
        </w:rPr>
      </w:pPr>
      <w:r w:rsidRPr="00F567E1">
        <w:rPr>
          <w:i/>
          <w:iCs/>
          <w:lang w:val="es-ES_tradnl"/>
        </w:rPr>
        <w:t>La Conferencia de las Partes,</w:t>
      </w:r>
    </w:p>
    <w:p w14:paraId="7DB24900" w14:textId="7B36882A"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el párrafo 6 del artículo 6 del Convenio de Minamata sobre el Mercurio se dispone que la Conferencia de las Partes podrá, a petición de una Parte, decidir prorrogar una exención de la fecha de eliminación pertinente indicada en el anexo A o B del Convenio,</w:t>
      </w:r>
    </w:p>
    <w:p w14:paraId="3BA7752B" w14:textId="0AD43D29"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la sexta reunión de la Conferencia de las Partes constituye la primera ocasión en que se ha solicitado a la Conferencia que examine una solicitud de este tipo,</w:t>
      </w:r>
    </w:p>
    <w:p w14:paraId="2246C951" w14:textId="0B3AF1F0"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las solicitudes revisadas de prórroga de las exenciones presentadas por 2 de las 3 Partes que solicitaron prórrogas, en las que ofrecen más información relacionada con el párrafo 6 a), b) y c) del artículo 6 para que las Partes la examinen,</w:t>
      </w:r>
    </w:p>
    <w:p w14:paraId="10A5E1F9" w14:textId="6F6045D2" w:rsidR="00312042" w:rsidRPr="00F567E1" w:rsidRDefault="00312042" w:rsidP="00312042">
      <w:pPr>
        <w:spacing w:after="120"/>
        <w:ind w:left="1247" w:firstLine="624"/>
        <w:rPr>
          <w:rFonts w:asciiTheme="majorBidi" w:hAnsiTheme="majorBidi" w:cstheme="majorBidi"/>
          <w:iCs/>
          <w:lang w:val="es-ES_tradnl"/>
        </w:rPr>
      </w:pPr>
      <w:r w:rsidRPr="00F567E1">
        <w:rPr>
          <w:i/>
          <w:iCs/>
          <w:lang w:val="es-ES_tradnl"/>
        </w:rPr>
        <w:t>Resaltando</w:t>
      </w:r>
      <w:r w:rsidRPr="00F567E1">
        <w:rPr>
          <w:lang w:val="es-ES_tradnl"/>
        </w:rPr>
        <w:t xml:space="preserve"> la necesidad permanente de proteger la salud humana y el medio ambiente de la fabricación, importación y exportación en curso de los productos indicados en la parte I del anexo A,</w:t>
      </w:r>
    </w:p>
    <w:p w14:paraId="46DAD41D" w14:textId="5B638DFC"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Toma nota</w:t>
      </w:r>
      <w:r w:rsidRPr="00F567E1">
        <w:rPr>
          <w:lang w:val="es-ES_tradnl"/>
        </w:rPr>
        <w:t xml:space="preserve"> de las solicitudes de prórroga de las exenciones y la información conexa presentadas a la Conferencia de las Partes en su sexta reunión por Bangladesh, la India y Tailandia, de conformidad con el párrafo 6 del artículo 6;</w:t>
      </w:r>
    </w:p>
    <w:p w14:paraId="54084163" w14:textId="62ADEED8"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w:t>
      </w:r>
      <w:r w:rsidRPr="00F567E1">
        <w:rPr>
          <w:lang w:val="es-ES_tradnl"/>
        </w:rPr>
        <w:t xml:space="preserve"> prorrogar las exenciones de las fechas de eliminación solicitadas por Bangladesh</w:t>
      </w:r>
      <w:r w:rsidR="00B43E9A" w:rsidRPr="00F567E1">
        <w:rPr>
          <w:rStyle w:val="FootnoteReference"/>
          <w:rFonts w:cstheme="majorBidi"/>
          <w:lang w:val="es-ES_tradnl"/>
        </w:rPr>
        <w:footnoteReference w:id="2"/>
      </w:r>
      <w:r w:rsidRPr="00F567E1">
        <w:rPr>
          <w:lang w:val="es-ES_tradnl"/>
        </w:rPr>
        <w:t xml:space="preserve">; </w:t>
      </w:r>
    </w:p>
    <w:p w14:paraId="5BC15F89" w14:textId="1AAA2EA9" w:rsidR="00312042" w:rsidRPr="00F567E1"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 también</w:t>
      </w:r>
      <w:r w:rsidRPr="00F567E1">
        <w:rPr>
          <w:lang w:val="es-ES_tradnl"/>
        </w:rPr>
        <w:t xml:space="preserve"> prorrogar las exenciones de las fechas de eliminación solicitadas por la</w:t>
      </w:r>
      <w:r w:rsidR="004B562A" w:rsidRPr="00F567E1">
        <w:rPr>
          <w:lang w:val="es-ES_tradnl"/>
        </w:rPr>
        <w:t> </w:t>
      </w:r>
      <w:r w:rsidRPr="00F567E1">
        <w:rPr>
          <w:lang w:val="es-ES_tradnl"/>
        </w:rPr>
        <w:t>India</w:t>
      </w:r>
      <w:r w:rsidR="00C72250" w:rsidRPr="00F567E1">
        <w:rPr>
          <w:rStyle w:val="FootnoteReference"/>
          <w:rFonts w:asciiTheme="majorBidi" w:hAnsiTheme="majorBidi" w:cstheme="majorBidi"/>
          <w:lang w:val="es-ES_tradnl"/>
        </w:rPr>
        <w:footnoteReference w:id="3"/>
      </w:r>
      <w:r w:rsidRPr="00F567E1">
        <w:rPr>
          <w:lang w:val="es-ES_tradnl"/>
        </w:rPr>
        <w:t>;</w:t>
      </w:r>
    </w:p>
    <w:p w14:paraId="247AEC2E" w14:textId="79EB03D4" w:rsidR="00312042" w:rsidRPr="00F567E1"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 además</w:t>
      </w:r>
      <w:r w:rsidRPr="00F567E1">
        <w:rPr>
          <w:lang w:val="es-ES_tradnl"/>
        </w:rPr>
        <w:t xml:space="preserve"> prorrogar las exenciones de las fechas de eliminación solicitadas por Tailandia</w:t>
      </w:r>
      <w:r w:rsidR="00C72250" w:rsidRPr="00F567E1">
        <w:rPr>
          <w:rStyle w:val="FootnoteReference"/>
          <w:rFonts w:asciiTheme="majorBidi" w:hAnsiTheme="majorBidi" w:cstheme="majorBidi"/>
          <w:lang w:val="es-ES_tradnl"/>
        </w:rPr>
        <w:footnoteReference w:id="4"/>
      </w:r>
      <w:r w:rsidRPr="00F567E1">
        <w:rPr>
          <w:lang w:val="es-ES_tradnl"/>
        </w:rPr>
        <w:t>;</w:t>
      </w:r>
    </w:p>
    <w:p w14:paraId="1AC35949" w14:textId="06255E45"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Hace notar</w:t>
      </w:r>
      <w:r w:rsidRPr="00F567E1">
        <w:rPr>
          <w:lang w:val="es-ES_tradnl"/>
        </w:rPr>
        <w:t xml:space="preserve"> que, a excepción de las prórrogas de las exenciones mencionadas en los párrafos 2, 3 y 4, todas las exenciones registradas de las fechas de eliminación de 2020 indicadas en el</w:t>
      </w:r>
      <w:r w:rsidR="004B562A" w:rsidRPr="00F567E1">
        <w:rPr>
          <w:lang w:val="es-ES_tradnl"/>
        </w:rPr>
        <w:t> </w:t>
      </w:r>
      <w:r w:rsidRPr="00F567E1">
        <w:rPr>
          <w:lang w:val="es-ES_tradnl"/>
        </w:rPr>
        <w:t>anexo A expirarán después del 31 de diciembre de 2025, de conformidad con el párrafo 5 del artículo</w:t>
      </w:r>
      <w:r w:rsidR="00DE3A89" w:rsidRPr="00F567E1">
        <w:rPr>
          <w:lang w:val="es-ES_tradnl"/>
        </w:rPr>
        <w:t> </w:t>
      </w:r>
      <w:r w:rsidRPr="00F567E1">
        <w:rPr>
          <w:lang w:val="es-ES_tradnl"/>
        </w:rPr>
        <w:t>6, y que, después de esa fecha, ningún Estado ni organización regional de integración económica podrá registrar una exención con respecto a las fechas de eliminación de 2020, de conformidad con el párrafo 8 del artículo 6;</w:t>
      </w:r>
    </w:p>
    <w:p w14:paraId="0B7F87D1" w14:textId="77777777" w:rsidR="00312042" w:rsidRPr="004263D5"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lastRenderedPageBreak/>
        <w:t>Solicita</w:t>
      </w:r>
      <w:r w:rsidRPr="00F567E1">
        <w:rPr>
          <w:lang w:val="es-ES_tradnl"/>
        </w:rPr>
        <w:t xml:space="preserve"> a la Secretaría que siga gestionando, actualizando y facilitando, en el sitio web del Convenio, el registro establecido en virtud del párrafo 3 del artículo 6 e información conexa, según proceda.</w:t>
      </w:r>
    </w:p>
    <w:p w14:paraId="7998AE53" w14:textId="04F1E68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4263D5">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4361" w14:textId="77777777" w:rsidR="00D67CD9" w:rsidRPr="00CD5597" w:rsidRDefault="00D67CD9">
      <w:r w:rsidRPr="00CD5597">
        <w:separator/>
      </w:r>
    </w:p>
  </w:endnote>
  <w:endnote w:type="continuationSeparator" w:id="0">
    <w:p w14:paraId="0FF764E6" w14:textId="77777777" w:rsidR="00D67CD9" w:rsidRPr="00CD5597" w:rsidRDefault="00D67CD9">
      <w:r w:rsidRPr="00CD5597">
        <w:continuationSeparator/>
      </w:r>
    </w:p>
  </w:endnote>
  <w:endnote w:type="continuationNotice" w:id="1">
    <w:p w14:paraId="4456B694" w14:textId="77777777" w:rsidR="00D67CD9" w:rsidRDefault="00D67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14393"/>
      <w:docPartObj>
        <w:docPartGallery w:val="Page Numbers (Bottom of Page)"/>
        <w:docPartUnique/>
      </w:docPartObj>
    </w:sdtPr>
    <w:sdtEndPr>
      <w:rPr>
        <w:b/>
        <w:bCs/>
        <w:noProof/>
      </w:rPr>
    </w:sdtEndPr>
    <w:sdtContent>
      <w:p w14:paraId="57A6EB03" w14:textId="46D1B384" w:rsidR="004263D5" w:rsidRPr="00CE02C1" w:rsidRDefault="00CE02C1" w:rsidP="00CE02C1">
        <w:pPr>
          <w:pStyle w:val="Footer"/>
          <w:rPr>
            <w:b/>
            <w:bCs/>
          </w:rPr>
        </w:pPr>
        <w:r w:rsidRPr="00CE02C1">
          <w:rPr>
            <w:b/>
            <w:bCs/>
          </w:rPr>
          <w:fldChar w:fldCharType="begin"/>
        </w:r>
        <w:r w:rsidRPr="00CE02C1">
          <w:rPr>
            <w:b/>
            <w:bCs/>
          </w:rPr>
          <w:instrText xml:space="preserve"> PAGE   \* MERGEFORMAT </w:instrText>
        </w:r>
        <w:r w:rsidRPr="00CE02C1">
          <w:rPr>
            <w:b/>
            <w:bCs/>
          </w:rPr>
          <w:fldChar w:fldCharType="separate"/>
        </w:r>
        <w:r w:rsidRPr="00CE02C1">
          <w:rPr>
            <w:b/>
            <w:bCs/>
            <w:noProof/>
          </w:rPr>
          <w:t>2</w:t>
        </w:r>
        <w:r w:rsidRPr="00CE02C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C96FBFA" w:rsidR="00CD5597" w:rsidRPr="004263D5" w:rsidRDefault="004263D5" w:rsidP="00CE02C1">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5A44" w14:textId="77777777" w:rsidR="00D67CD9" w:rsidRPr="00CD5597" w:rsidRDefault="00D67CD9" w:rsidP="00C70B49">
      <w:pPr>
        <w:pStyle w:val="Footnote-Separator"/>
        <w:rPr>
          <w:szCs w:val="18"/>
        </w:rPr>
      </w:pPr>
      <w:r w:rsidRPr="00CD5597">
        <w:separator/>
      </w:r>
    </w:p>
  </w:footnote>
  <w:footnote w:type="continuationSeparator" w:id="0">
    <w:p w14:paraId="10334845" w14:textId="77777777" w:rsidR="00D67CD9" w:rsidRPr="00CD5597" w:rsidRDefault="00D67CD9" w:rsidP="00C70B49">
      <w:pPr>
        <w:pStyle w:val="Footnote-Separator"/>
      </w:pPr>
      <w:r w:rsidRPr="00CD5597">
        <w:continuationSeparator/>
      </w:r>
    </w:p>
  </w:footnote>
  <w:footnote w:type="continuationNotice" w:id="1">
    <w:p w14:paraId="2B760403" w14:textId="77777777" w:rsidR="00D67CD9" w:rsidRPr="00CD5597" w:rsidRDefault="00D67CD9" w:rsidP="00C70B49">
      <w:pPr>
        <w:pStyle w:val="ASpacer"/>
      </w:pPr>
    </w:p>
  </w:footnote>
  <w:footnote w:id="2">
    <w:p w14:paraId="45B0BE91" w14:textId="7E01FB89" w:rsidR="00B43E9A" w:rsidRPr="00DA02C2" w:rsidRDefault="00B43E9A" w:rsidP="00B43E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UNEP/MC/COP.6/28, anexo I.</w:t>
      </w:r>
    </w:p>
  </w:footnote>
  <w:footnote w:id="3">
    <w:p w14:paraId="75C979D4" w14:textId="525700AD" w:rsidR="00C72250" w:rsidRPr="00DA02C2" w:rsidRDefault="00C72250" w:rsidP="00C72250">
      <w:pPr>
        <w:pStyle w:val="Footnote-Text"/>
        <w:rPr>
          <w:szCs w:val="18"/>
          <w:lang w:val="es-ES_tradnl"/>
        </w:rPr>
      </w:pPr>
      <w:r w:rsidRPr="00DA02C2">
        <w:rPr>
          <w:rStyle w:val="FootnoteReference"/>
          <w:sz w:val="18"/>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w:t>
      </w:r>
    </w:p>
  </w:footnote>
  <w:footnote w:id="4">
    <w:p w14:paraId="5D4D3207" w14:textId="25DFCF69" w:rsidR="00C72250" w:rsidRPr="00DA02C2" w:rsidRDefault="00C72250" w:rsidP="00C72250">
      <w:pPr>
        <w:pStyle w:val="Footnote-Text"/>
        <w:rPr>
          <w:szCs w:val="18"/>
          <w:lang w:val="es-ES_tradnl"/>
        </w:rPr>
      </w:pPr>
      <w:r w:rsidRPr="00DA02C2">
        <w:rPr>
          <w:rStyle w:val="FootnoteReference"/>
          <w:sz w:val="18"/>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C678844" w:rsidR="002C072B" w:rsidRDefault="0065285C" w:rsidP="00703E96">
    <w:pPr>
      <w:pStyle w:val="Header-pool"/>
    </w:pPr>
    <w:r>
      <w:rPr>
        <w:noProof/>
      </w:rPr>
      <w:t>UNEP/MC/COP.6/</w:t>
    </w:r>
    <w:r w:rsidR="004263D5">
      <w:rPr>
        <w:noProof/>
      </w:rPr>
      <w:t>Dec.</w:t>
    </w:r>
    <w:r w:rsidR="005F2A11">
      <w:rPr>
        <w:noProof/>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63D5"/>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A11"/>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1C7"/>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33E9"/>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A28"/>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E38"/>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31A"/>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2F4C"/>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2C1"/>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67CD9"/>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0FD8"/>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0C22"/>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39B048B8-0400-4F65-A756-5FED977AC629}"/>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2</Pages>
  <Words>387</Words>
  <Characters>2207</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12</cp:revision>
  <cp:lastPrinted>2026-02-27T09:48:00Z</cp:lastPrinted>
  <dcterms:created xsi:type="dcterms:W3CDTF">2026-04-13T14:13:00Z</dcterms:created>
  <dcterms:modified xsi:type="dcterms:W3CDTF">2026-04-15T13:29:00Z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