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3EDA1EF9"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3D4DA7">
              <w:t>7</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r w:rsidRPr="007647EB">
              <w:t xml:space="preserve">Distr. </w:t>
            </w:r>
            <w:bookmarkStart w:id="2" w:name="Distribution"/>
            <w:r w:rsidRPr="007647EB">
              <w:t>générale</w:t>
            </w:r>
            <w:bookmarkEnd w:id="2"/>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4C412FE3" w14:textId="016B1D9C" w:rsidR="00312042" w:rsidRPr="007647EB" w:rsidRDefault="00367F43" w:rsidP="003C458C">
      <w:pPr>
        <w:pStyle w:val="TOC1"/>
      </w:pPr>
      <w:bookmarkStart w:id="7" w:name="_Toc213853064"/>
      <w:bookmarkStart w:id="8" w:name="_Toc219712804"/>
      <w:r w:rsidRPr="007647EB">
        <w:tab/>
      </w:r>
      <w:r w:rsidRPr="007647EB">
        <w:tab/>
      </w:r>
      <w:r w:rsidR="00E01959" w:rsidRPr="007647EB">
        <w:t xml:space="preserve">Décision </w:t>
      </w:r>
      <w:r w:rsidR="00312042" w:rsidRPr="007647EB">
        <w:t>MC-6/7</w:t>
      </w:r>
      <w:r w:rsidRPr="007647EB">
        <w:t> </w:t>
      </w:r>
      <w:r w:rsidR="00312042" w:rsidRPr="007647EB">
        <w:t xml:space="preserve">: </w:t>
      </w:r>
      <w:r w:rsidR="00E01959" w:rsidRPr="007647EB">
        <w:t xml:space="preserve">Prorogation des dérogations </w:t>
      </w:r>
      <w:bookmarkEnd w:id="7"/>
      <w:bookmarkEnd w:id="8"/>
    </w:p>
    <w:p w14:paraId="23E01F15" w14:textId="77777777" w:rsidR="00E01959" w:rsidRPr="007647EB" w:rsidRDefault="00E01959" w:rsidP="00E01959">
      <w:pPr>
        <w:spacing w:after="120"/>
        <w:ind w:left="1247" w:firstLine="624"/>
        <w:rPr>
          <w:rFonts w:asciiTheme="majorBidi" w:hAnsiTheme="majorBidi" w:cstheme="majorBidi"/>
          <w:i/>
        </w:rPr>
      </w:pPr>
      <w:r w:rsidRPr="007647EB">
        <w:rPr>
          <w:i/>
          <w:iCs/>
        </w:rPr>
        <w:t>La Conférence des Parties</w:t>
      </w:r>
      <w:r w:rsidRPr="007647EB">
        <w:t>,</w:t>
      </w:r>
    </w:p>
    <w:p w14:paraId="68152B2A" w14:textId="10FA39D0" w:rsidR="00E01959" w:rsidRPr="007647EB" w:rsidRDefault="00E01959" w:rsidP="00E01959">
      <w:pPr>
        <w:spacing w:after="120"/>
        <w:ind w:left="1247" w:firstLine="624"/>
        <w:rPr>
          <w:rFonts w:asciiTheme="majorBidi" w:hAnsiTheme="majorBidi" w:cstheme="majorBidi"/>
        </w:rPr>
      </w:pPr>
      <w:r w:rsidRPr="007647EB">
        <w:rPr>
          <w:i/>
          <w:iCs/>
        </w:rPr>
        <w:t>Notant</w:t>
      </w:r>
      <w:r w:rsidRPr="007647EB">
        <w:t xml:space="preserve"> que le paragraphe 6 de l</w:t>
      </w:r>
      <w:r w:rsidR="00D82E47" w:rsidRPr="007647EB">
        <w:t>’</w:t>
      </w:r>
      <w:r w:rsidRPr="007647EB">
        <w:t>article 6 de la Convention de Minamata sur le mercure prévoit qu</w:t>
      </w:r>
      <w:r w:rsidR="00D82E47" w:rsidRPr="007647EB">
        <w:t>’</w:t>
      </w:r>
      <w:r w:rsidRPr="007647EB">
        <w:t>elle peut, à la demande d</w:t>
      </w:r>
      <w:r w:rsidR="00D82E47" w:rsidRPr="007647EB">
        <w:t>’</w:t>
      </w:r>
      <w:r w:rsidRPr="007647EB">
        <w:t>une Partie, décider de proroger une dérogation à la date d</w:t>
      </w:r>
      <w:r w:rsidR="00D82E47" w:rsidRPr="007647EB">
        <w:t>’</w:t>
      </w:r>
      <w:r w:rsidRPr="007647EB">
        <w:t>abandon définitif indiquée à l</w:t>
      </w:r>
      <w:r w:rsidR="00D82E47" w:rsidRPr="007647EB">
        <w:t>’</w:t>
      </w:r>
      <w:r w:rsidRPr="007647EB">
        <w:t>annexe A ou B de la Convention,</w:t>
      </w:r>
    </w:p>
    <w:p w14:paraId="0F25CF7D" w14:textId="1686FF95" w:rsidR="00E01959" w:rsidRPr="007647EB" w:rsidRDefault="00E01959" w:rsidP="00E01959">
      <w:pPr>
        <w:spacing w:after="120"/>
        <w:ind w:left="1247" w:firstLine="624"/>
        <w:rPr>
          <w:rFonts w:asciiTheme="majorBidi" w:hAnsiTheme="majorBidi" w:cstheme="majorBidi"/>
        </w:rPr>
      </w:pPr>
      <w:r w:rsidRPr="007647EB">
        <w:rPr>
          <w:i/>
          <w:iCs/>
        </w:rPr>
        <w:t>Sachant</w:t>
      </w:r>
      <w:r w:rsidRPr="007647EB">
        <w:t xml:space="preserve"> que sa sixième réunion marque la première fois qu</w:t>
      </w:r>
      <w:r w:rsidR="00D82E47" w:rsidRPr="007647EB">
        <w:t>’</w:t>
      </w:r>
      <w:r w:rsidRPr="007647EB">
        <w:t>elle est invitée à examiner ces demandes,</w:t>
      </w:r>
    </w:p>
    <w:p w14:paraId="3895B119" w14:textId="766C428B" w:rsidR="00E01959" w:rsidRPr="007647EB" w:rsidRDefault="00E01959" w:rsidP="00E01959">
      <w:pPr>
        <w:spacing w:after="120"/>
        <w:ind w:left="1247" w:firstLine="624"/>
        <w:rPr>
          <w:rFonts w:asciiTheme="majorBidi" w:hAnsiTheme="majorBidi" w:cstheme="majorBidi"/>
        </w:rPr>
      </w:pPr>
      <w:r w:rsidRPr="007647EB">
        <w:rPr>
          <w:i/>
          <w:iCs/>
        </w:rPr>
        <w:t>Accueillant favorablement</w:t>
      </w:r>
      <w:r w:rsidRPr="007647EB">
        <w:t xml:space="preserve"> les demandes révisées de prorogation de dérogations présentées par deux des trois Parties qui avaient demandé une prorogation, dans lesquelles elles fournissent des informations supplémentaires relatives aux alinéas a), b) et c) du paragraphe 6 de l</w:t>
      </w:r>
      <w:r w:rsidR="00D82E47" w:rsidRPr="007647EB">
        <w:t>’</w:t>
      </w:r>
      <w:r w:rsidRPr="007647EB">
        <w:t>article 6 à l</w:t>
      </w:r>
      <w:r w:rsidR="00D82E47" w:rsidRPr="007647EB">
        <w:t>’</w:t>
      </w:r>
      <w:r w:rsidRPr="007647EB">
        <w:t>intention des Parties,</w:t>
      </w:r>
    </w:p>
    <w:p w14:paraId="61B7D8E2" w14:textId="367CE543" w:rsidR="00E01959" w:rsidRPr="007647EB" w:rsidRDefault="00E01959" w:rsidP="00E01959">
      <w:pPr>
        <w:spacing w:after="120"/>
        <w:ind w:left="1247" w:firstLine="624"/>
        <w:rPr>
          <w:rFonts w:asciiTheme="majorBidi" w:hAnsiTheme="majorBidi" w:cstheme="majorBidi"/>
          <w:iCs/>
        </w:rPr>
      </w:pPr>
      <w:r w:rsidRPr="007647EB">
        <w:rPr>
          <w:i/>
          <w:iCs/>
        </w:rPr>
        <w:t>Soulignant</w:t>
      </w:r>
      <w:r w:rsidRPr="007647EB">
        <w:t xml:space="preserve"> la nécessité permanente de protéger la santé humaine et l</w:t>
      </w:r>
      <w:r w:rsidR="00D82E47" w:rsidRPr="007647EB">
        <w:t>’</w:t>
      </w:r>
      <w:r w:rsidRPr="007647EB">
        <w:t>environnement contre la fabrication, l</w:t>
      </w:r>
      <w:r w:rsidR="00D82E47" w:rsidRPr="007647EB">
        <w:t>’</w:t>
      </w:r>
      <w:r w:rsidRPr="007647EB">
        <w:t>importation et l</w:t>
      </w:r>
      <w:r w:rsidR="00D82E47" w:rsidRPr="007647EB">
        <w:t>’</w:t>
      </w:r>
      <w:r w:rsidRPr="007647EB">
        <w:t>exportation des produits inscrits dans la première partie de l</w:t>
      </w:r>
      <w:r w:rsidR="00D82E47" w:rsidRPr="007647EB">
        <w:t>’</w:t>
      </w:r>
      <w:r w:rsidRPr="007647EB">
        <w:t>Annexe A,</w:t>
      </w:r>
    </w:p>
    <w:p w14:paraId="650836E8" w14:textId="3CA01103"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Prend note</w:t>
      </w:r>
      <w:r w:rsidRPr="007647EB">
        <w:t xml:space="preserve"> des demandes de prorogation des dérogations et des informations connexes qui lui ont été soumises à sa sixième réunion par le Bangladesh, l</w:t>
      </w:r>
      <w:r w:rsidR="00D82E47" w:rsidRPr="007647EB">
        <w:t>’</w:t>
      </w:r>
      <w:r w:rsidRPr="007647EB">
        <w:t>Inde et la Thaïlande, conformément au paragraphe 6 de l</w:t>
      </w:r>
      <w:r w:rsidR="00D82E47" w:rsidRPr="007647EB">
        <w:t>’</w:t>
      </w:r>
      <w:r w:rsidRPr="007647EB">
        <w:t>article 6</w:t>
      </w:r>
      <w:r w:rsidR="00367F43" w:rsidRPr="007647EB">
        <w:t> </w:t>
      </w:r>
      <w:r w:rsidRPr="007647EB">
        <w:t>;</w:t>
      </w:r>
    </w:p>
    <w:p w14:paraId="072F5633" w14:textId="5A87F3A9"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Décide</w:t>
      </w:r>
      <w:r w:rsidRPr="007647EB">
        <w:t xml:space="preserve"> de proroger les dérogations aux dates d</w:t>
      </w:r>
      <w:r w:rsidR="00D82E47" w:rsidRPr="007647EB">
        <w:t>’</w:t>
      </w:r>
      <w:r w:rsidRPr="007647EB">
        <w:t>abandon définitif demandées par le Bangladesh</w:t>
      </w:r>
      <w:r w:rsidRPr="007647EB">
        <w:rPr>
          <w:rStyle w:val="FootnoteReference"/>
          <w:rFonts w:cstheme="majorBidi"/>
        </w:rPr>
        <w:footnoteReference w:id="2"/>
      </w:r>
      <w:r w:rsidR="00367F43" w:rsidRPr="007647EB">
        <w:t> </w:t>
      </w:r>
      <w:r w:rsidRPr="007647EB">
        <w:t xml:space="preserve">; </w:t>
      </w:r>
    </w:p>
    <w:p w14:paraId="3E0A95EE" w14:textId="30B8D652"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Décide également</w:t>
      </w:r>
      <w:r w:rsidRPr="007647EB">
        <w:t xml:space="preserve"> de proroger les dérogations aux dates d</w:t>
      </w:r>
      <w:r w:rsidR="00D82E47" w:rsidRPr="007647EB">
        <w:t>’</w:t>
      </w:r>
      <w:r w:rsidRPr="007647EB">
        <w:t>abandon définitif demandées par l</w:t>
      </w:r>
      <w:r w:rsidR="00D82E47" w:rsidRPr="007647EB">
        <w:t>’</w:t>
      </w:r>
      <w:r w:rsidRPr="007647EB">
        <w:t>Inde</w:t>
      </w:r>
      <w:r w:rsidRPr="007647EB">
        <w:rPr>
          <w:rStyle w:val="FootnoteReference"/>
          <w:rFonts w:asciiTheme="majorBidi" w:hAnsiTheme="majorBidi" w:cstheme="majorBidi"/>
        </w:rPr>
        <w:footnoteReference w:id="3"/>
      </w:r>
      <w:r w:rsidRPr="007647EB">
        <w:t> ;</w:t>
      </w:r>
    </w:p>
    <w:p w14:paraId="3726962A" w14:textId="106E4577"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Décide en outre</w:t>
      </w:r>
      <w:r w:rsidRPr="007647EB">
        <w:t xml:space="preserve"> de proroger les dérogations aux dates d</w:t>
      </w:r>
      <w:r w:rsidR="00D82E47" w:rsidRPr="007647EB">
        <w:t>’</w:t>
      </w:r>
      <w:r w:rsidRPr="007647EB">
        <w:t>abandon définitif demandées par la Thaïlande</w:t>
      </w:r>
      <w:r w:rsidRPr="007647EB">
        <w:rPr>
          <w:rStyle w:val="FootnoteReference"/>
          <w:rFonts w:asciiTheme="majorBidi" w:hAnsiTheme="majorBidi" w:cstheme="majorBidi"/>
        </w:rPr>
        <w:footnoteReference w:id="4"/>
      </w:r>
      <w:r w:rsidRPr="007647EB">
        <w:t> ;</w:t>
      </w:r>
    </w:p>
    <w:p w14:paraId="5E5BA6C4" w14:textId="226B60ED" w:rsidR="00E01959" w:rsidRPr="007647EB"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Note</w:t>
      </w:r>
      <w:r w:rsidRPr="007647EB">
        <w:t xml:space="preserve"> que, à l</w:t>
      </w:r>
      <w:r w:rsidR="00D82E47" w:rsidRPr="007647EB">
        <w:t>’</w:t>
      </w:r>
      <w:r w:rsidRPr="007647EB">
        <w:t>exception des prorogations des dérogations visées aux paragraphes 2, 3 et</w:t>
      </w:r>
      <w:r w:rsidR="006D67E5" w:rsidRPr="007647EB">
        <w:t> </w:t>
      </w:r>
      <w:r w:rsidRPr="007647EB">
        <w:t>4 ci-dessus, toutes les dérogations enregistrées aux dates d</w:t>
      </w:r>
      <w:r w:rsidR="00D82E47" w:rsidRPr="007647EB">
        <w:t>’</w:t>
      </w:r>
      <w:r w:rsidRPr="007647EB">
        <w:t>abandon définitif de 2020 figurant à l</w:t>
      </w:r>
      <w:r w:rsidR="00D82E47" w:rsidRPr="007647EB">
        <w:t>’</w:t>
      </w:r>
      <w:r w:rsidRPr="007647EB">
        <w:t>Annexe A expireront après le 31</w:t>
      </w:r>
      <w:r w:rsidR="00367F43" w:rsidRPr="007647EB">
        <w:t> </w:t>
      </w:r>
      <w:r w:rsidRPr="007647EB">
        <w:t>décembre 2025, conformément au paragraphe 5 de l</w:t>
      </w:r>
      <w:r w:rsidR="00D82E47" w:rsidRPr="007647EB">
        <w:t>’</w:t>
      </w:r>
      <w:r w:rsidRPr="007647EB">
        <w:t xml:space="preserve">article 6, et </w:t>
      </w:r>
      <w:r w:rsidRPr="007647EB">
        <w:lastRenderedPageBreak/>
        <w:t>qu</w:t>
      </w:r>
      <w:r w:rsidR="00D82E47" w:rsidRPr="007647EB">
        <w:t>’</w:t>
      </w:r>
      <w:r w:rsidRPr="007647EB">
        <w:t>après cette date, aucun État ou organisation régionale d</w:t>
      </w:r>
      <w:r w:rsidR="00D82E47" w:rsidRPr="007647EB">
        <w:t>’</w:t>
      </w:r>
      <w:r w:rsidRPr="007647EB">
        <w:t>intégration économique ne pourra faire enregistrer de dérogation aux dates d</w:t>
      </w:r>
      <w:r w:rsidR="00D82E47" w:rsidRPr="007647EB">
        <w:t>’</w:t>
      </w:r>
      <w:r w:rsidRPr="007647EB">
        <w:t>abandon définitif de 2020, conformément au paragraphe 8 de l</w:t>
      </w:r>
      <w:r w:rsidR="00D82E47" w:rsidRPr="007647EB">
        <w:t>’</w:t>
      </w:r>
      <w:r w:rsidRPr="007647EB">
        <w:t>article 6</w:t>
      </w:r>
      <w:r w:rsidR="00367F43" w:rsidRPr="007647EB">
        <w:t> </w:t>
      </w:r>
      <w:r w:rsidRPr="007647EB">
        <w:t>;</w:t>
      </w:r>
    </w:p>
    <w:p w14:paraId="24E60FA3" w14:textId="77777777" w:rsidR="00E01959" w:rsidRPr="008A6C44" w:rsidRDefault="00E01959" w:rsidP="00E01959">
      <w:pPr>
        <w:pStyle w:val="ListParagraph"/>
        <w:numPr>
          <w:ilvl w:val="0"/>
          <w:numId w:val="32"/>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7647EB">
        <w:rPr>
          <w:i/>
          <w:iCs/>
        </w:rPr>
        <w:t>Prie</w:t>
      </w:r>
      <w:r w:rsidRPr="007647EB">
        <w:t xml:space="preserve"> le secrétariat de continuer à administrer, tenir à jour et mettre à disposition sur le site Web de la Convention le registre établi au titre du paragraphe 3 de l</w:t>
      </w:r>
      <w:r w:rsidR="00D82E47" w:rsidRPr="007647EB">
        <w:t>’</w:t>
      </w:r>
      <w:r w:rsidRPr="007647EB">
        <w:t>article 6 et les informations connexes, selon qu</w:t>
      </w:r>
      <w:r w:rsidR="00D82E47" w:rsidRPr="007647EB">
        <w:t>’</w:t>
      </w:r>
      <w:r w:rsidRPr="007647EB">
        <w:t xml:space="preserve">il </w:t>
      </w:r>
      <w:r w:rsidR="00E57C39" w:rsidRPr="007647EB">
        <w:t>convient.</w:t>
      </w:r>
    </w:p>
    <w:p w14:paraId="7998AE53" w14:textId="73D2A822" w:rsidR="00312042" w:rsidRPr="007647EB" w:rsidRDefault="00312042"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554BD7">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661F" w14:textId="77777777" w:rsidR="00A37C2E" w:rsidRPr="00300193" w:rsidRDefault="00A37C2E">
      <w:r w:rsidRPr="00300193">
        <w:separator/>
      </w:r>
    </w:p>
  </w:endnote>
  <w:endnote w:type="continuationSeparator" w:id="0">
    <w:p w14:paraId="3ACFCBE8" w14:textId="77777777" w:rsidR="00A37C2E" w:rsidRPr="00300193" w:rsidRDefault="00A37C2E">
      <w:r w:rsidRPr="00300193">
        <w:continuationSeparator/>
      </w:r>
    </w:p>
  </w:endnote>
  <w:endnote w:type="continuationNotice" w:id="1">
    <w:p w14:paraId="175305E3" w14:textId="77777777" w:rsidR="00A37C2E" w:rsidRPr="00300193" w:rsidRDefault="00A37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10445"/>
      <w:docPartObj>
        <w:docPartGallery w:val="Page Numbers (Bottom of Page)"/>
        <w:docPartUnique/>
      </w:docPartObj>
    </w:sdtPr>
    <w:sdtEndPr>
      <w:rPr>
        <w:b/>
        <w:bCs/>
        <w:noProof/>
      </w:rPr>
    </w:sdtEndPr>
    <w:sdtContent>
      <w:p w14:paraId="33CA7A94" w14:textId="3EB29B64" w:rsidR="00554BD7" w:rsidRPr="00256C0F" w:rsidRDefault="00256C0F" w:rsidP="00256C0F">
        <w:pPr>
          <w:pStyle w:val="Footer"/>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748207"/>
      <w:docPartObj>
        <w:docPartGallery w:val="Page Numbers (Bottom of Page)"/>
        <w:docPartUnique/>
      </w:docPartObj>
    </w:sdtPr>
    <w:sdtEndPr>
      <w:rPr>
        <w:b/>
        <w:bCs/>
        <w:noProof/>
      </w:rPr>
    </w:sdtEndPr>
    <w:sdtContent>
      <w:p w14:paraId="51EE4F47" w14:textId="27C03507" w:rsidR="00554BD7" w:rsidRPr="00256C0F" w:rsidRDefault="00256C0F" w:rsidP="00256C0F">
        <w:pPr>
          <w:pStyle w:val="Footer"/>
          <w:jc w:val="right"/>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F8A8EC" w:rsidR="00CD5597" w:rsidRPr="00554BD7" w:rsidRDefault="00554BD7" w:rsidP="00554BD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23CE" w14:textId="77777777" w:rsidR="00A37C2E" w:rsidRPr="00300193" w:rsidRDefault="00A37C2E" w:rsidP="00300193">
      <w:pPr>
        <w:pStyle w:val="Footnote-Separator"/>
        <w:ind w:left="624"/>
        <w:rPr>
          <w:szCs w:val="18"/>
        </w:rPr>
      </w:pPr>
      <w:r w:rsidRPr="00300193">
        <w:separator/>
      </w:r>
    </w:p>
  </w:footnote>
  <w:footnote w:type="continuationSeparator" w:id="0">
    <w:p w14:paraId="773DB850" w14:textId="77777777" w:rsidR="00A37C2E" w:rsidRPr="00300193" w:rsidRDefault="00A37C2E" w:rsidP="00300193">
      <w:pPr>
        <w:pStyle w:val="Footnote-Separator"/>
      </w:pPr>
      <w:r w:rsidRPr="00300193">
        <w:continuationSeparator/>
      </w:r>
    </w:p>
  </w:footnote>
  <w:footnote w:type="continuationNotice" w:id="1">
    <w:p w14:paraId="2242953A" w14:textId="77777777" w:rsidR="00A37C2E" w:rsidRPr="00300193" w:rsidRDefault="00A37C2E" w:rsidP="00300193">
      <w:pPr>
        <w:pStyle w:val="ASpacer"/>
      </w:pPr>
    </w:p>
  </w:footnote>
  <w:footnote w:id="2">
    <w:p w14:paraId="5B525525" w14:textId="5D143765" w:rsidR="00E01959" w:rsidRPr="007B3B11" w:rsidRDefault="00300193" w:rsidP="00300193">
      <w:pPr>
        <w:pStyle w:val="Footnote-Text"/>
        <w:rPr>
          <w:lang w:val="en-GB"/>
        </w:rPr>
      </w:pPr>
      <w:r w:rsidRPr="00300193">
        <w:rPr>
          <w:rStyle w:val="FootnoteReference"/>
          <w:rFonts w:eastAsia="SimSun"/>
          <w:sz w:val="20"/>
        </w:rPr>
        <w:footnoteRef/>
      </w:r>
      <w:r w:rsidR="00E01959" w:rsidRPr="007B3B11">
        <w:rPr>
          <w:lang w:val="en-GB"/>
        </w:rPr>
        <w:t xml:space="preserve"> UNEP/MC/COP.6/28, annexe I.</w:t>
      </w:r>
    </w:p>
  </w:footnote>
  <w:footnote w:id="3">
    <w:p w14:paraId="00994D07" w14:textId="5AD821CF" w:rsidR="00E01959" w:rsidRPr="007B3B11" w:rsidRDefault="00300193" w:rsidP="00300193">
      <w:pPr>
        <w:pStyle w:val="Footnote-Text"/>
        <w:rPr>
          <w:szCs w:val="18"/>
          <w:lang w:val="en-GB"/>
        </w:rPr>
      </w:pPr>
      <w:r w:rsidRPr="00300193">
        <w:rPr>
          <w:rStyle w:val="FootnoteReference"/>
          <w:rFonts w:eastAsia="SimSun"/>
          <w:sz w:val="20"/>
        </w:rPr>
        <w:footnoteRef/>
      </w:r>
      <w:r w:rsidR="00E01959" w:rsidRPr="007B3B11">
        <w:rPr>
          <w:lang w:val="en-GB"/>
        </w:rPr>
        <w:t xml:space="preserve"> Ibid., annexe II.</w:t>
      </w:r>
    </w:p>
  </w:footnote>
  <w:footnote w:id="4">
    <w:p w14:paraId="142CBE31" w14:textId="4A3730F0" w:rsidR="00E01959" w:rsidRPr="007B3B11" w:rsidRDefault="00300193" w:rsidP="00300193">
      <w:pPr>
        <w:pStyle w:val="Footnote-Text"/>
        <w:rPr>
          <w:szCs w:val="18"/>
          <w:lang w:val="en-GB"/>
        </w:rPr>
      </w:pPr>
      <w:r w:rsidRPr="00300193">
        <w:rPr>
          <w:rStyle w:val="FootnoteReference"/>
          <w:rFonts w:eastAsia="SimSun"/>
          <w:sz w:val="20"/>
        </w:rPr>
        <w:footnoteRef/>
      </w:r>
      <w:r w:rsidR="00E01959" w:rsidRPr="007B3B11">
        <w:rPr>
          <w:lang w:val="en-GB"/>
        </w:rPr>
        <w:t xml:space="preserve"> Ibid., annexe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6AAC" w14:textId="0A91220F" w:rsidR="00554BD7" w:rsidRDefault="00256C0F" w:rsidP="00256C0F">
    <w:pPr>
      <w:pStyle w:val="Header-pool"/>
    </w:pPr>
    <w:r>
      <w:fldChar w:fldCharType="begin"/>
    </w:r>
    <w:r>
      <w:instrText xml:space="preserve"> StyleRef A_Symbol </w:instrText>
    </w:r>
    <w:r>
      <w:fldChar w:fldCharType="separate"/>
    </w:r>
    <w:r w:rsidR="003D4DA7">
      <w:rPr>
        <w:noProof/>
      </w:rPr>
      <w:t>UNEP/MC/COP.6/Dec.7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1D51" w14:textId="1A6FB420" w:rsidR="00554BD7" w:rsidRDefault="00256C0F" w:rsidP="00256C0F">
    <w:pPr>
      <w:pStyle w:val="Header-pool"/>
      <w:jc w:val="right"/>
    </w:pPr>
    <w:r>
      <w:fldChar w:fldCharType="begin"/>
    </w:r>
    <w:r>
      <w:instrText xml:space="preserve"> StyleRef A_Symbol </w:instrText>
    </w:r>
    <w:r>
      <w:fldChar w:fldCharType="separate"/>
    </w:r>
    <w:r w:rsidR="003D4DA7">
      <w:rPr>
        <w:noProof/>
      </w:rPr>
      <w:t>UNEP/MC/COP.6/Dec.5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367E"/>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692D"/>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6C0F"/>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745"/>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4DA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1F8B"/>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4BD7"/>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C44"/>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912"/>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1DDB"/>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2E"/>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0D3"/>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E37E21-299C-44AF-8E1C-2937D5CFF897}"/>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2</Pages>
  <Words>376</Words>
  <Characters>2146</Characters>
  <Application>Microsoft Office Word</Application>
  <DocSecurity>0</DocSecurity>
  <PresentationFormat/>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2517</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2026-04-15T10:00:00Z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