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60288"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1760B199"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DE6170">
              <w:t>Dec.</w:t>
            </w:r>
            <w:r w:rsidR="007B49D2">
              <w:t>2</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0CA93EF6" w14:textId="52FB0506" w:rsidR="00312042" w:rsidRPr="00453870" w:rsidRDefault="00312042" w:rsidP="00AD4ED5">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59"/>
      <w:bookmarkStart w:id="1" w:name="_Toc222992802"/>
      <w:r w:rsidRPr="00453870">
        <w:rPr>
          <w:lang w:val="ru-RU"/>
        </w:rPr>
        <w:t>Решение МК-6/2</w:t>
      </w:r>
      <w:r w:rsidR="00705289" w:rsidRPr="00453870">
        <w:rPr>
          <w:lang w:val="ru-RU"/>
        </w:rPr>
        <w:t>.</w:t>
      </w:r>
      <w:r w:rsidRPr="00453870">
        <w:rPr>
          <w:lang w:val="ru-RU"/>
        </w:rPr>
        <w:t xml:space="preserve"> Продвижение работы, связанной с потенциальными ограничениями на торговлю ртутными соединениями</w:t>
      </w:r>
      <w:bookmarkEnd w:id="0"/>
      <w:bookmarkEnd w:id="1"/>
    </w:p>
    <w:p w14:paraId="53E126A7"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7F94B2D9" w14:textId="24C91D9F"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7D254B">
        <w:rPr>
          <w:i/>
          <w:iCs/>
          <w:lang w:val="ru-RU"/>
        </w:rPr>
        <w:t>принимая во внимание</w:t>
      </w:r>
      <w:r>
        <w:rPr>
          <w:lang w:val="ru-RU"/>
        </w:rPr>
        <w:t>, что согласно пункту 13 статьи 3 Минаматской конвенции о ртути Конференция Сторон проводит оценку того, не противоречит ли торговля конкретными ртутными соединениями цели Конвенции – охране здоровья человека и окружающей среды,</w:t>
      </w:r>
    </w:p>
    <w:p w14:paraId="069E3B67" w14:textId="75B110D4"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7D254B">
        <w:rPr>
          <w:i/>
          <w:iCs/>
          <w:lang w:val="ru-RU"/>
        </w:rPr>
        <w:t>напоминая</w:t>
      </w:r>
      <w:r>
        <w:rPr>
          <w:lang w:val="ru-RU"/>
        </w:rPr>
        <w:t>, что согласно пункту 13 статьи 3 Конвенции Конференция Сторон также рассматривает вопрос о том, не следует ли распространить действие пунктов 6 и 8 статьи 3 на конкретные ртутные соединения путем их включения в перечень дополнительного приложения, принятого в соответствии со статьей 27 Конвенции</w:t>
      </w:r>
      <w:r w:rsidR="00032C09">
        <w:rPr>
          <w:lang w:val="ru-RU"/>
        </w:rPr>
        <w:t>,</w:t>
      </w:r>
    </w:p>
    <w:p w14:paraId="7F598899" w14:textId="6ED0FF7A" w:rsidR="00312042" w:rsidRPr="00546B6B"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7D254B">
        <w:rPr>
          <w:i/>
          <w:iCs/>
          <w:lang w:val="ru-RU"/>
        </w:rPr>
        <w:t>признавая</w:t>
      </w:r>
      <w:r>
        <w:rPr>
          <w:lang w:val="ru-RU"/>
        </w:rPr>
        <w:t xml:space="preserve"> работу, выполненную в последний межсессионный период согласно решению</w:t>
      </w:r>
      <w:r w:rsidR="007D254B">
        <w:rPr>
          <w:lang w:val="ru-RU"/>
        </w:rPr>
        <w:t> </w:t>
      </w:r>
      <w:r>
        <w:rPr>
          <w:lang w:val="ru-RU"/>
        </w:rPr>
        <w:t xml:space="preserve">МК-5/3, </w:t>
      </w:r>
    </w:p>
    <w:p w14:paraId="28DA5FE7" w14:textId="2AC1EC85"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7D254B">
        <w:rPr>
          <w:i/>
          <w:iCs/>
          <w:lang w:val="ru-RU"/>
        </w:rPr>
        <w:t>намереваясь</w:t>
      </w:r>
      <w:r>
        <w:rPr>
          <w:lang w:val="ru-RU"/>
        </w:rPr>
        <w:t xml:space="preserve"> углубить понимание текущих глобальных источников поставок и использования конкретных ртутных соединений и торговли ими, чтобы принимать обоснованные решения применительно к Конвенции,</w:t>
      </w:r>
    </w:p>
    <w:p w14:paraId="5C9DE061" w14:textId="31C1474A"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7D254B">
        <w:rPr>
          <w:i/>
          <w:iCs/>
          <w:lang w:val="ru-RU"/>
        </w:rPr>
        <w:t>принимает к сведению</w:t>
      </w:r>
      <w:r>
        <w:rPr>
          <w:lang w:val="ru-RU"/>
        </w:rPr>
        <w:t xml:space="preserve"> доклад о глобальных поставках, производстве и использовании ртутных соединений и торговле ими</w:t>
      </w:r>
      <w:r w:rsidR="00E10A40" w:rsidRPr="00631C1C">
        <w:rPr>
          <w:rStyle w:val="FootnoteReference"/>
          <w:rFonts w:cstheme="majorBidi"/>
          <w:lang w:val="ru-RU"/>
        </w:rPr>
        <w:footnoteReference w:id="2"/>
      </w:r>
      <w:r>
        <w:rPr>
          <w:lang w:val="ru-RU"/>
        </w:rPr>
        <w:t>;</w:t>
      </w:r>
    </w:p>
    <w:p w14:paraId="2FB5E3AC" w14:textId="5ED8A16C"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7D254B">
        <w:rPr>
          <w:i/>
          <w:iCs/>
          <w:lang w:val="ru-RU"/>
        </w:rPr>
        <w:t>призывает</w:t>
      </w:r>
      <w:r>
        <w:rPr>
          <w:lang w:val="ru-RU"/>
        </w:rPr>
        <w:t xml:space="preserve"> Стороны и заинтересованные субъекты изучить содержащуюся в докладе информацию и рассмотреть вопрос о необходимости дополнительного приложения, согласно которому ртутные соединения будут подпадать под действие касающихся торговли положений пунктов 6 и 8 статьи 3;</w:t>
      </w:r>
    </w:p>
    <w:p w14:paraId="6FEC0FAE" w14:textId="1B2D7219"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7D254B">
        <w:rPr>
          <w:i/>
          <w:iCs/>
          <w:lang w:val="ru-RU"/>
        </w:rPr>
        <w:t>предлагает</w:t>
      </w:r>
      <w:r>
        <w:rPr>
          <w:lang w:val="ru-RU"/>
        </w:rPr>
        <w:t xml:space="preserve"> Сторонам и заинтересованным субъектам представить в секретариат до 31 марта 2026 года в добровольном порядке имеющуюся информацию о поставках и использовании ртутных соединений и торговле ими, а также поделиться своими мнениями и материалами в отношении ртутных соединений</w:t>
      </w:r>
      <w:r w:rsidR="00DD04C4" w:rsidRPr="00631C1C">
        <w:rPr>
          <w:rStyle w:val="FootnoteReference"/>
          <w:rFonts w:cstheme="majorBidi"/>
          <w:lang w:val="ru-RU"/>
        </w:rPr>
        <w:footnoteReference w:id="3"/>
      </w:r>
      <w:r>
        <w:rPr>
          <w:lang w:val="ru-RU"/>
        </w:rPr>
        <w:t>, которые могут быть перечислены в предлагаемом приложении;</w:t>
      </w:r>
    </w:p>
    <w:p w14:paraId="4E226A04" w14:textId="7E694BDA"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7D254B">
        <w:rPr>
          <w:i/>
          <w:iCs/>
          <w:lang w:val="ru-RU"/>
        </w:rPr>
        <w:lastRenderedPageBreak/>
        <w:t>постановляет</w:t>
      </w:r>
      <w:r>
        <w:rPr>
          <w:lang w:val="ru-RU"/>
        </w:rPr>
        <w:t xml:space="preserve"> учредить экспертную группу открытого состава, мандат которой будет включать рассмотрение информации, содержащейся в указанном выше докладе, и информации, представленной в соответствии с пунктом 3 выше, работу на английском языке в онлайновом режиме и представление ее рекомендаций в секретариат не позднее чем за </w:t>
      </w:r>
      <w:r w:rsidR="00C13487">
        <w:rPr>
          <w:lang w:val="ru-RU"/>
        </w:rPr>
        <w:t xml:space="preserve">восемь </w:t>
      </w:r>
      <w:r>
        <w:rPr>
          <w:lang w:val="ru-RU"/>
        </w:rPr>
        <w:t xml:space="preserve">месяцев до седьмого совещания Конференции Сторон; </w:t>
      </w:r>
    </w:p>
    <w:p w14:paraId="1949F332" w14:textId="77777777" w:rsidR="00312042" w:rsidRPr="00DA0337" w:rsidRDefault="00312042" w:rsidP="00546B6B">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7D254B">
        <w:rPr>
          <w:i/>
          <w:iCs/>
          <w:lang w:val="ru-RU"/>
        </w:rPr>
        <w:t>предлагает</w:t>
      </w:r>
      <w:r>
        <w:rPr>
          <w:lang w:val="ru-RU"/>
        </w:rPr>
        <w:t xml:space="preserve"> Сторонам и заинтересованным субъектам принять участие в работе экспертной группы;</w:t>
      </w:r>
    </w:p>
    <w:p w14:paraId="353FEED3" w14:textId="5FFFA277" w:rsidR="00312042" w:rsidRPr="007B49D2" w:rsidRDefault="00312042" w:rsidP="00701474">
      <w:pPr>
        <w:pStyle w:val="NormalNonumber"/>
        <w:numPr>
          <w:ilvl w:val="0"/>
          <w:numId w:val="31"/>
        </w:numPr>
        <w:tabs>
          <w:tab w:val="clear" w:pos="624"/>
          <w:tab w:val="clear" w:pos="1247"/>
          <w:tab w:val="clear" w:pos="1871"/>
          <w:tab w:val="clear" w:pos="2495"/>
          <w:tab w:val="clear" w:pos="3119"/>
          <w:tab w:val="clear" w:pos="3742"/>
          <w:tab w:val="clear" w:pos="4366"/>
          <w:tab w:val="clear" w:pos="4990"/>
        </w:tabs>
        <w:ind w:left="1247" w:firstLine="624"/>
        <w:rPr>
          <w:lang w:val="ru-RU"/>
        </w:rPr>
      </w:pPr>
      <w:r w:rsidRPr="007B49D2">
        <w:rPr>
          <w:i/>
          <w:iCs/>
          <w:lang w:val="ru-RU"/>
        </w:rPr>
        <w:t>поручает</w:t>
      </w:r>
      <w:r w:rsidRPr="007B49D2">
        <w:rPr>
          <w:lang w:val="ru-RU"/>
        </w:rPr>
        <w:t xml:space="preserve"> секретариату оказывать экспертной группе поддержку в ее усилиях и представить доклад о работе группы и ее выводах для рассмотрения Конференцией Сторон на ее седьмом совещании.</w:t>
      </w:r>
    </w:p>
    <w:p w14:paraId="47CB1C1C" w14:textId="5A6B6A1D" w:rsidR="00107665" w:rsidRPr="001271A9" w:rsidRDefault="00453870" w:rsidP="007C6E36">
      <w:pPr>
        <w:pStyle w:val="Normal-pool"/>
        <w:tabs>
          <w:tab w:val="clear" w:pos="624"/>
          <w:tab w:val="clear" w:pos="1247"/>
          <w:tab w:val="clear" w:pos="1871"/>
          <w:tab w:val="clear" w:pos="2495"/>
          <w:tab w:val="clear" w:pos="3119"/>
          <w:tab w:val="clear" w:pos="3742"/>
          <w:tab w:val="clear" w:pos="4366"/>
          <w:tab w:val="clear" w:pos="4990"/>
        </w:tabs>
        <w:spacing w:after="120"/>
        <w:ind w:left="1871"/>
        <w:rPr>
          <w:rFonts w:asciiTheme="majorBidi" w:hAnsiTheme="majorBidi" w:cstheme="majorBidi"/>
          <w:lang w:val="ru-RU"/>
        </w:rPr>
      </w:pPr>
      <w:r>
        <w:rPr>
          <w:lang w:val="ru-RU"/>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7B49D2">
      <w:headerReference w:type="even" r:id="rId13"/>
      <w:headerReference w:type="default" r:id="rId14"/>
      <w:footerReference w:type="even" r:id="rId15"/>
      <w:footerReference w:type="first" r:id="rId16"/>
      <w:footnotePr>
        <w:numRestart w:val="eachSect"/>
      </w:footnotePr>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0448" w14:textId="77777777" w:rsidR="008E51C8" w:rsidRPr="00CD5597" w:rsidRDefault="008E51C8">
      <w:r w:rsidRPr="00CD5597">
        <w:separator/>
      </w:r>
    </w:p>
  </w:endnote>
  <w:endnote w:type="continuationSeparator" w:id="0">
    <w:p w14:paraId="38E49F5F" w14:textId="77777777" w:rsidR="008E51C8" w:rsidRPr="00CD5597" w:rsidRDefault="008E51C8">
      <w:r w:rsidRPr="00CD5597">
        <w:continuationSeparator/>
      </w:r>
    </w:p>
  </w:endnote>
  <w:endnote w:type="continuationNotice" w:id="1">
    <w:p w14:paraId="10D0EF95" w14:textId="77777777" w:rsidR="008E51C8" w:rsidRDefault="008E5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08675"/>
      <w:docPartObj>
        <w:docPartGallery w:val="Page Numbers (Bottom of Page)"/>
        <w:docPartUnique/>
      </w:docPartObj>
    </w:sdtPr>
    <w:sdtEndPr>
      <w:rPr>
        <w:b/>
        <w:bCs/>
        <w:noProof/>
      </w:rPr>
    </w:sdtEndPr>
    <w:sdtContent>
      <w:p w14:paraId="190B34F9" w14:textId="371AB72F" w:rsidR="007B49D2" w:rsidRPr="007B49D2" w:rsidRDefault="007B49D2" w:rsidP="007B49D2">
        <w:pPr>
          <w:pStyle w:val="Footer"/>
          <w:rPr>
            <w:b/>
            <w:bCs/>
          </w:rPr>
        </w:pPr>
        <w:r w:rsidRPr="007B49D2">
          <w:rPr>
            <w:b/>
            <w:bCs/>
          </w:rPr>
          <w:fldChar w:fldCharType="begin"/>
        </w:r>
        <w:r w:rsidRPr="007B49D2">
          <w:rPr>
            <w:b/>
            <w:bCs/>
          </w:rPr>
          <w:instrText xml:space="preserve"> PAGE   \* MERGEFORMAT </w:instrText>
        </w:r>
        <w:r w:rsidRPr="007B49D2">
          <w:rPr>
            <w:b/>
            <w:bCs/>
          </w:rPr>
          <w:fldChar w:fldCharType="separate"/>
        </w:r>
        <w:r w:rsidRPr="007B49D2">
          <w:rPr>
            <w:b/>
            <w:bCs/>
            <w:noProof/>
          </w:rPr>
          <w:t>2</w:t>
        </w:r>
        <w:r w:rsidRPr="007B49D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5E180E19" w:rsidR="00CD5597" w:rsidRPr="007B49D2" w:rsidRDefault="007B49D2" w:rsidP="007B49D2">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4878" w14:textId="77777777" w:rsidR="008E51C8" w:rsidRPr="00CD5597" w:rsidRDefault="008E51C8" w:rsidP="00C70B49">
      <w:pPr>
        <w:pStyle w:val="Footnote-Separator"/>
        <w:rPr>
          <w:szCs w:val="18"/>
        </w:rPr>
      </w:pPr>
      <w:r w:rsidRPr="00CD5597">
        <w:separator/>
      </w:r>
    </w:p>
  </w:footnote>
  <w:footnote w:type="continuationSeparator" w:id="0">
    <w:p w14:paraId="54D66FAD" w14:textId="77777777" w:rsidR="008E51C8" w:rsidRPr="00CD5597" w:rsidRDefault="008E51C8" w:rsidP="00C70B49">
      <w:pPr>
        <w:pStyle w:val="Footnote-Separator"/>
      </w:pPr>
      <w:r w:rsidRPr="00CD5597">
        <w:continuationSeparator/>
      </w:r>
    </w:p>
  </w:footnote>
  <w:footnote w:type="continuationNotice" w:id="1">
    <w:p w14:paraId="76812BA6" w14:textId="77777777" w:rsidR="008E51C8" w:rsidRPr="00CD5597" w:rsidRDefault="008E51C8" w:rsidP="00C70B49">
      <w:pPr>
        <w:pStyle w:val="ASpacer"/>
      </w:pPr>
    </w:p>
  </w:footnote>
  <w:footnote w:id="2">
    <w:p w14:paraId="11710DFF" w14:textId="41157CED" w:rsidR="00E10A40" w:rsidRPr="001C713E" w:rsidRDefault="00E10A40" w:rsidP="001C713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1C713E">
        <w:rPr>
          <w:rStyle w:val="FootnoteReference"/>
          <w:sz w:val="18"/>
          <w:lang w:val="ru-RU"/>
        </w:rPr>
        <w:footnoteRef/>
      </w:r>
      <w:r w:rsidRPr="001C713E">
        <w:rPr>
          <w:szCs w:val="18"/>
          <w:lang w:val="ru-RU"/>
        </w:rPr>
        <w:t xml:space="preserve"> </w:t>
      </w:r>
      <w:r w:rsidR="001C713E">
        <w:rPr>
          <w:szCs w:val="18"/>
          <w:lang w:val="ru-RU"/>
        </w:rPr>
        <w:tab/>
      </w:r>
      <w:r w:rsidRPr="001C713E">
        <w:rPr>
          <w:szCs w:val="18"/>
          <w:lang w:val="ru-RU"/>
        </w:rPr>
        <w:t>UNEP/MC/COP.6/5/Add.1.</w:t>
      </w:r>
    </w:p>
  </w:footnote>
  <w:footnote w:id="3">
    <w:p w14:paraId="397EE77F" w14:textId="77777777" w:rsidR="00DD04C4" w:rsidRPr="00D20C0A" w:rsidRDefault="00DD04C4" w:rsidP="00DD04C4">
      <w:pPr>
        <w:pStyle w:val="Footnote-Text"/>
        <w:tabs>
          <w:tab w:val="clear" w:pos="624"/>
          <w:tab w:val="clear" w:pos="1247"/>
          <w:tab w:val="clear" w:pos="1871"/>
          <w:tab w:val="clear" w:pos="2495"/>
          <w:tab w:val="clear" w:pos="3119"/>
          <w:tab w:val="clear" w:pos="3742"/>
          <w:tab w:val="clear" w:pos="4366"/>
          <w:tab w:val="clear" w:pos="4990"/>
        </w:tabs>
        <w:rPr>
          <w:lang w:val="ru-RU"/>
        </w:rPr>
      </w:pPr>
      <w:r w:rsidRPr="001C713E">
        <w:rPr>
          <w:rStyle w:val="FootnoteReference"/>
          <w:sz w:val="18"/>
          <w:lang w:val="ru-RU"/>
        </w:rPr>
        <w:footnoteRef/>
      </w:r>
      <w:r w:rsidRPr="001C713E">
        <w:rPr>
          <w:szCs w:val="18"/>
          <w:lang w:val="ru-RU"/>
        </w:rPr>
        <w:t xml:space="preserve"> </w:t>
      </w:r>
      <w:r>
        <w:rPr>
          <w:szCs w:val="18"/>
          <w:lang w:val="ru-RU"/>
        </w:rPr>
        <w:tab/>
      </w:r>
      <w:r w:rsidRPr="001C713E">
        <w:rPr>
          <w:szCs w:val="18"/>
          <w:lang w:val="ru-RU"/>
        </w:rPr>
        <w:t>Эта работа направлена на изучение ртутных соединений, которые могут быть использованы в продуктах или процессах, или которые могут быть преобразованы в элементарную ртуть. Ею не предусматривается изучение ртутных соединений, подпадающих под определение ртутных отходов в соответствии с пунктом 2 статьи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637D8915" w:rsidR="002C072B" w:rsidRPr="007C6E36" w:rsidRDefault="007C6E36" w:rsidP="007C6E36">
    <w:pPr>
      <w:pStyle w:val="Header-pool"/>
    </w:pPr>
    <w:r>
      <w:fldChar w:fldCharType="begin"/>
    </w:r>
    <w:r>
      <w:instrText xml:space="preserve"> StyleRef A_Symbol </w:instrText>
    </w:r>
    <w:r>
      <w:fldChar w:fldCharType="separate"/>
    </w:r>
    <w:r w:rsidR="001E369A">
      <w:rPr>
        <w:noProof/>
      </w:rPr>
      <w:t>UNEP/MC/COP.6/Dec.2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01890A8" w:rsidR="002C072B" w:rsidRPr="007C6E36" w:rsidRDefault="007C6E36" w:rsidP="007C6E36">
    <w:pPr>
      <w:pStyle w:val="Header-pool"/>
      <w:jc w:val="right"/>
    </w:pPr>
    <w:r>
      <w:fldChar w:fldCharType="begin"/>
    </w:r>
    <w:r>
      <w:instrText xml:space="preserve"> StyleRef A_Symbol </w:instrText>
    </w:r>
    <w:r>
      <w:fldChar w:fldCharType="separate"/>
    </w:r>
    <w:r w:rsidR="001E369A">
      <w:rPr>
        <w:noProof/>
      </w:rPr>
      <w:t>UNEP/MC/COP.6/Dec.2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369A"/>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2CA6"/>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876"/>
    <w:rsid w:val="007B2E28"/>
    <w:rsid w:val="007B3398"/>
    <w:rsid w:val="007B487B"/>
    <w:rsid w:val="007B49D2"/>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E36"/>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8"/>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17B7"/>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D776F"/>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552"/>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172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170"/>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260BC-D5E3-4141-82C3-CEACDC2AFBFB}"/>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34</TotalTime>
  <Pages>2</Pages>
  <Words>402</Words>
  <Characters>2295</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2692</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12</cp:revision>
  <cp:lastPrinted>2026-01-27T13:32:00Z</cp:lastPrinted>
  <dcterms:created xsi:type="dcterms:W3CDTF">2026-03-18T10:27:00Z</dcterms:created>
  <dcterms:modified xsi:type="dcterms:W3CDTF">2026-04-15T10:33:00Z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