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6DEB9A29"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B210F79" w14:textId="77777777" w:rsidR="00312042" w:rsidRPr="00F567E1" w:rsidRDefault="00312042" w:rsidP="004A0CEB">
      <w:pPr>
        <w:pStyle w:val="CH2"/>
        <w:outlineLvl w:val="0"/>
        <w:rPr>
          <w:lang w:val="es-ES_tradnl"/>
        </w:rPr>
      </w:pPr>
      <w:r w:rsidRPr="00F567E1">
        <w:rPr>
          <w:lang w:val="es-ES_tradnl"/>
        </w:rPr>
        <w:tab/>
      </w:r>
      <w:r w:rsidRPr="00F567E1">
        <w:rPr>
          <w:lang w:val="es-ES_tradnl"/>
        </w:rPr>
        <w:tab/>
      </w:r>
      <w:bookmarkStart w:id="0" w:name="_Toc222389366"/>
      <w:bookmarkStart w:id="1" w:name="_Toc222389496"/>
      <w:bookmarkStart w:id="2" w:name="_Toc223088506"/>
      <w:r w:rsidRPr="00F567E1">
        <w:rPr>
          <w:lang w:val="es-ES_tradnl"/>
        </w:rPr>
        <w:t>Decisión MC</w:t>
      </w:r>
      <w:r w:rsidRPr="00F567E1">
        <w:rPr>
          <w:lang w:val="es-ES_tradnl"/>
        </w:rPr>
        <w:noBreakHyphen/>
        <w:t>6/1: fuentes de suministro y comercio</w:t>
      </w:r>
      <w:bookmarkStart w:id="3" w:name="_Toc219712798"/>
      <w:bookmarkEnd w:id="0"/>
      <w:bookmarkEnd w:id="1"/>
      <w:bookmarkEnd w:id="2"/>
      <w:bookmarkEnd w:id="3"/>
    </w:p>
    <w:p w14:paraId="3E5B96A9" w14:textId="77777777"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es-ES_tradnl"/>
        </w:rPr>
      </w:pPr>
      <w:r w:rsidRPr="00F567E1">
        <w:rPr>
          <w:i/>
          <w:iCs/>
          <w:lang w:val="es-ES_tradnl"/>
        </w:rPr>
        <w:t>La Conferencia de las Partes,</w:t>
      </w:r>
    </w:p>
    <w:p w14:paraId="5AAF950E" w14:textId="2B9EDF8B"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Expresando su agradecimiento</w:t>
      </w:r>
      <w:r w:rsidRPr="00F567E1">
        <w:rPr>
          <w:lang w:val="es-ES_tradnl"/>
        </w:rPr>
        <w:t xml:space="preserve"> a las Partes por dar a conocer información sobre las experiencias y los problemas que se plantean en la aplicación del artículo 3 del Convenio de Minamata</w:t>
      </w:r>
      <w:r w:rsidR="001D677A" w:rsidRPr="00F567E1">
        <w:rPr>
          <w:lang w:val="es-ES_tradnl"/>
        </w:rPr>
        <w:t> </w:t>
      </w:r>
      <w:r w:rsidRPr="00F567E1">
        <w:rPr>
          <w:lang w:val="es-ES_tradnl"/>
        </w:rPr>
        <w:t>sobre el Mercurio, así como información sobre las actividades realizadas en relación con la</w:t>
      </w:r>
      <w:r w:rsidR="00931420" w:rsidRPr="00F567E1">
        <w:rPr>
          <w:lang w:val="es-ES_tradnl"/>
        </w:rPr>
        <w:t> </w:t>
      </w:r>
      <w:r w:rsidRPr="00F567E1">
        <w:rPr>
          <w:lang w:val="es-ES_tradnl"/>
        </w:rPr>
        <w:t>declaración de Bali sobre la lucha contra el comercio ilícito de mercurio en respuesta al párrafo 4 de</w:t>
      </w:r>
      <w:r w:rsidR="00931420" w:rsidRPr="00F567E1">
        <w:rPr>
          <w:lang w:val="es-ES_tradnl"/>
        </w:rPr>
        <w:t> </w:t>
      </w:r>
      <w:r w:rsidRPr="00F567E1">
        <w:rPr>
          <w:lang w:val="es-ES_tradnl"/>
        </w:rPr>
        <w:t>la decisión MC</w:t>
      </w:r>
      <w:r w:rsidRPr="00F567E1">
        <w:rPr>
          <w:lang w:val="es-ES_tradnl"/>
        </w:rPr>
        <w:noBreakHyphen/>
        <w:t>5/2,</w:t>
      </w:r>
      <w:bookmarkStart w:id="4" w:name="_Hlk216866538"/>
      <w:bookmarkEnd w:id="4"/>
    </w:p>
    <w:p w14:paraId="1CF614C0" w14:textId="60187436"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las Partes plantearon la cuestión de la presencia de extracción primaria informal o ilícita en sus territorios y los casos de comercio de mercurio no conforme con el Convenio, así como el tráfico ilícito, el comercio ilícito o el contrabando de mercurio, en particular para su uso en la extracción de oro artesanal y en pequeña escala, en sus informes nacionales presentados en virtud del artículo 21 y en la información presentada en respuesta al párrafo 4 de la decisión MC</w:t>
      </w:r>
      <w:r w:rsidRPr="00F567E1">
        <w:rPr>
          <w:lang w:val="es-ES_tradnl"/>
        </w:rPr>
        <w:noBreakHyphen/>
        <w:t>5/2,</w:t>
      </w:r>
    </w:p>
    <w:p w14:paraId="2786DB59" w14:textId="7DAE05C1"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esa extracción primaria y comercio representan un problema para la aplicación del artículo 3,</w:t>
      </w:r>
    </w:p>
    <w:p w14:paraId="7B99B7C0" w14:textId="7524DE39"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Considerando</w:t>
      </w:r>
      <w:r w:rsidRPr="00F567E1">
        <w:rPr>
          <w:lang w:val="es-ES_tradnl"/>
        </w:rPr>
        <w:t xml:space="preserve"> la recomendación del Comité de Aplicación y Cumplimiento del Convenio a</w:t>
      </w:r>
      <w:r w:rsidR="00DA02C2" w:rsidRPr="00F567E1">
        <w:rPr>
          <w:lang w:val="es-ES_tradnl"/>
        </w:rPr>
        <w:t> </w:t>
      </w:r>
      <w:r w:rsidRPr="00F567E1">
        <w:rPr>
          <w:lang w:val="es-ES_tradnl"/>
        </w:rPr>
        <w:t>la</w:t>
      </w:r>
      <w:r w:rsidR="00DA02C2" w:rsidRPr="00F567E1">
        <w:rPr>
          <w:lang w:val="es-ES_tradnl"/>
        </w:rPr>
        <w:t> </w:t>
      </w:r>
      <w:r w:rsidRPr="00F567E1">
        <w:rPr>
          <w:lang w:val="es-ES_tradnl"/>
        </w:rPr>
        <w:t>Conferencia de las Partes en su sexta reunión</w:t>
      </w:r>
      <w:r w:rsidRPr="00F567E1">
        <w:rPr>
          <w:rStyle w:val="FootnoteReference"/>
          <w:rFonts w:asciiTheme="majorBidi" w:hAnsiTheme="majorBidi" w:cstheme="majorBidi"/>
          <w:lang w:val="es-ES_tradnl"/>
        </w:rPr>
        <w:footnoteReference w:id="2"/>
      </w:r>
      <w:r w:rsidRPr="00F567E1">
        <w:rPr>
          <w:lang w:val="es-ES_tradnl"/>
        </w:rPr>
        <w:t>,</w:t>
      </w:r>
    </w:p>
    <w:p w14:paraId="532B3975" w14:textId="181FBB85"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a pesar de los progresos realizados hasta la fecha, las Partes han expresado la necesidad de mejorar la colaboración y recibir más apoyo y asistencia para reforzar la aplicación del artículo 3, y reconociendo el papel del Fondo para el Medio Ambiente Mundial en la prestación de ese apoyo</w:t>
      </w:r>
      <w:r w:rsidRPr="00F567E1">
        <w:rPr>
          <w:rStyle w:val="FootnoteReference"/>
          <w:rFonts w:asciiTheme="majorBidi" w:hAnsiTheme="majorBidi" w:cstheme="majorBidi"/>
          <w:lang w:val="es-ES_tradnl"/>
        </w:rPr>
        <w:footnoteReference w:id="3"/>
      </w:r>
      <w:r w:rsidRPr="00F567E1">
        <w:rPr>
          <w:lang w:val="es-ES_tradnl"/>
        </w:rPr>
        <w:t>,</w:t>
      </w:r>
    </w:p>
    <w:p w14:paraId="3C482F52" w14:textId="5E9603ED"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bookmarkStart w:id="5" w:name="_Hlk216877385"/>
      <w:r w:rsidRPr="00F567E1">
        <w:rPr>
          <w:i/>
          <w:iCs/>
          <w:lang w:val="es-ES_tradnl"/>
        </w:rPr>
        <w:t>Aprueba</w:t>
      </w:r>
      <w:r w:rsidRPr="00F567E1">
        <w:rPr>
          <w:lang w:val="es-ES_tradnl"/>
        </w:rPr>
        <w:t xml:space="preserve"> las actualizaciones</w:t>
      </w:r>
      <w:r w:rsidR="006A51FD" w:rsidRPr="00F567E1">
        <w:rPr>
          <w:rStyle w:val="FootnoteReference"/>
          <w:rFonts w:asciiTheme="majorBidi" w:hAnsiTheme="majorBidi" w:cstheme="majorBidi"/>
          <w:lang w:val="es-ES_tradnl"/>
        </w:rPr>
        <w:footnoteReference w:id="4"/>
      </w:r>
      <w:r w:rsidRPr="00F567E1">
        <w:rPr>
          <w:lang w:val="es-ES_tradnl"/>
        </w:rPr>
        <w:t xml:space="preserve"> de la orientación</w:t>
      </w:r>
      <w:r w:rsidR="00D86B1A" w:rsidRPr="00F567E1">
        <w:rPr>
          <w:rStyle w:val="FootnoteReference"/>
          <w:rFonts w:asciiTheme="majorBidi" w:hAnsiTheme="majorBidi" w:cstheme="majorBidi"/>
          <w:lang w:val="es-ES_tradnl"/>
        </w:rPr>
        <w:footnoteReference w:id="5"/>
      </w:r>
      <w:r w:rsidRPr="00F567E1">
        <w:rPr>
          <w:lang w:val="es-ES_tradnl"/>
        </w:rPr>
        <w:t xml:space="preserve"> sobre la identificación de cada una de</w:t>
      </w:r>
      <w:r w:rsidR="00931420" w:rsidRPr="00F567E1">
        <w:rPr>
          <w:lang w:val="es-ES_tradnl"/>
        </w:rPr>
        <w:t> </w:t>
      </w:r>
      <w:r w:rsidRPr="00F567E1">
        <w:rPr>
          <w:lang w:val="es-ES_tradnl"/>
        </w:rPr>
        <w:t>las existencias de mercurio o compuestos de mercurio que superen las 50 toneladas y fuentes de suministro de mercurio que den lugar a existencias que superen las 10 toneladas al año;</w:t>
      </w:r>
      <w:bookmarkStart w:id="6" w:name="_Hlk219451192"/>
      <w:bookmarkStart w:id="7" w:name="_Hlk216876899"/>
      <w:bookmarkEnd w:id="5"/>
      <w:bookmarkEnd w:id="6"/>
      <w:bookmarkEnd w:id="7"/>
    </w:p>
    <w:p w14:paraId="384C3342" w14:textId="2B334F54"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lastRenderedPageBreak/>
        <w:t>Aprueba también</w:t>
      </w:r>
      <w:r w:rsidRPr="00F567E1">
        <w:rPr>
          <w:lang w:val="es-ES_tradnl"/>
        </w:rPr>
        <w:t xml:space="preserve"> las actualizaciones</w:t>
      </w:r>
      <w:r w:rsidR="00924456" w:rsidRPr="00F567E1">
        <w:rPr>
          <w:rStyle w:val="FootnoteReference"/>
          <w:rFonts w:asciiTheme="majorBidi" w:hAnsiTheme="majorBidi" w:cstheme="majorBidi"/>
          <w:lang w:val="es-ES_tradnl"/>
        </w:rPr>
        <w:footnoteReference w:id="6"/>
      </w:r>
      <w:r w:rsidRPr="00F567E1">
        <w:rPr>
          <w:lang w:val="es-ES_tradnl"/>
        </w:rPr>
        <w:t xml:space="preserve"> de la orientación</w:t>
      </w:r>
      <w:r w:rsidR="00D86B1A" w:rsidRPr="00F567E1">
        <w:rPr>
          <w:rStyle w:val="FootnoteReference"/>
          <w:rFonts w:asciiTheme="majorBidi" w:hAnsiTheme="majorBidi" w:cstheme="majorBidi"/>
          <w:lang w:val="es-ES_tradnl"/>
        </w:rPr>
        <w:footnoteReference w:id="7"/>
      </w:r>
      <w:r w:rsidRPr="00F567E1">
        <w:rPr>
          <w:lang w:val="es-ES_tradnl"/>
        </w:rPr>
        <w:t xml:space="preserve"> sobre el uso de formularios de</w:t>
      </w:r>
      <w:r w:rsidR="004B562A" w:rsidRPr="00F567E1">
        <w:rPr>
          <w:lang w:val="es-ES_tradnl"/>
        </w:rPr>
        <w:t> </w:t>
      </w:r>
      <w:r w:rsidRPr="00F567E1">
        <w:rPr>
          <w:lang w:val="es-ES_tradnl"/>
        </w:rPr>
        <w:t>importación y exportación de mercurio para ayudar a las Partes a identificar, gestionar y reducir el comercio de mercurio a partir de la extracción primaria de mercurio;</w:t>
      </w:r>
    </w:p>
    <w:p w14:paraId="5E5735FA" w14:textId="11918B57"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que informaron sobre las experiencias y los problemas encontrados en la aplicación del párrafo 3 del artículo 3 sobre la extracción primaria de mercurio en sus informes nacionales en virtud del artículo 21 a que faciliten más información a la Secretaría con miras a darla a conocer al Comité de Aplicación y Cumplimiento para su ulterior examen;</w:t>
      </w:r>
    </w:p>
    <w:p w14:paraId="52BEB134" w14:textId="179B3E42"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incluidas las que se benefician de los proyectos en curso del Fondo para el Medio Ambiente Mundial, a que sigan dando a conocer a la Secretaría información sobre sus experiencias en la prevención y la lucha contra el comercio ilícito de mercurio, en particular en lo referente al uso de formularios relacionados con el artículo 3 sobre el comercio de mercurio;</w:t>
      </w:r>
    </w:p>
    <w:p w14:paraId="78A0FB9E" w14:textId="42272C96"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colaboración con las Partes y organizaciones con experiencia en el comercio ilícito, y en función de la disponibilidad de recursos, elabore un informe en el que se presenten estrategias para hacer frente al suministro y el comercio de mercurio de las Partes en situación de incumplimiento de lo dispuesto en el artículo 3, y que, al preparar el informe, la Secretaría:</w:t>
      </w:r>
    </w:p>
    <w:p w14:paraId="52E1D389" w14:textId="4AFA368D"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Utilice la información recopilada de las Partes y otras fuentes pertinentes;</w:t>
      </w:r>
    </w:p>
    <w:p w14:paraId="3C7D016A" w14:textId="73E65D84"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Tenga en cuenta la información sobre las estrategias para prevenir el desvío de mercurio de fuentes extranjeras y nacionales para su uso en la extracción y el tratamiento de oro artesanales y en pequeña escala, conforme a lo indicado en los planes de acción nacionales sobre la extracción de oro artesanal y en pequeña escala presentados por las Partes de conformidad con el párrafo 3 b) del artículo 7;</w:t>
      </w:r>
    </w:p>
    <w:p w14:paraId="22AC26C3" w14:textId="25F0C62A"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Invite a las Partes, al Comité de Aplicación y Cumplimiento y a otros interesados a que</w:t>
      </w:r>
      <w:r w:rsidR="00931420" w:rsidRPr="00F567E1">
        <w:rPr>
          <w:lang w:val="es-ES_tradnl"/>
        </w:rPr>
        <w:t> </w:t>
      </w:r>
      <w:r w:rsidRPr="00F567E1">
        <w:rPr>
          <w:lang w:val="es-ES_tradnl"/>
        </w:rPr>
        <w:t>hagan aportaciones;</w:t>
      </w:r>
    </w:p>
    <w:p w14:paraId="4157C5DB" w14:textId="45AE4713" w:rsidR="00312042" w:rsidRPr="00F567E1" w:rsidRDefault="00312042" w:rsidP="00F234CD">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 Secretaría a que elabore, en función de la disponibilidad de recursos, directrices para el uso coherente de los códigos del Sistema Armonizado de Designación y Codificación de Mercancías relacionados con los productos que contienen mercurio, concretamente el</w:t>
      </w:r>
      <w:r w:rsidR="004B562A" w:rsidRPr="00F567E1">
        <w:rPr>
          <w:lang w:val="es-ES_tradnl"/>
        </w:rPr>
        <w:t> </w:t>
      </w:r>
      <w:r w:rsidRPr="00F567E1">
        <w:rPr>
          <w:lang w:val="es-ES_tradnl"/>
        </w:rPr>
        <w:t>mercurio, los compuestos de mercurio y los desechos de mercurio;</w:t>
      </w:r>
    </w:p>
    <w:p w14:paraId="5F4E332E" w14:textId="5AC45A88" w:rsidR="00312042" w:rsidRPr="00F567E1" w:rsidDel="001D6D3D" w:rsidRDefault="00DF3411"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presente el informe solicitado en el párrafo 5 para su examen por la Conferencia de las Partes en su séptima reunión;</w:t>
      </w:r>
    </w:p>
    <w:p w14:paraId="560E56A2" w14:textId="77777777"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al Comité de Aplicación y Cumplimiento que:</w:t>
      </w:r>
    </w:p>
    <w:p w14:paraId="7F1E6668" w14:textId="5CB3BA05" w:rsidR="00312042" w:rsidRPr="00F567E1" w:rsidRDefault="00DF3411"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Evalúe los motivos que las Partes han alegado como indicios de que afrontan desafíos en la aplicación de las disposiciones relacionadas con el comercio en virtud del artículo 3 y examine si las recomendaciones que sobrepasan las medidas ya adoptadas por la Conferencia de las Partes en sus reuniones 5ª y 6ª podrían ser beneficiosas para optimizar la aplicación;</w:t>
      </w:r>
    </w:p>
    <w:p w14:paraId="4C4B90A7" w14:textId="1BF18610" w:rsidR="00312042" w:rsidRPr="00F567E1" w:rsidRDefault="00312042"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Coopere, en lo que sea necesario, con los órganos de cumplimiento de otros acuerdos ambientales multilaterales sobre sus actividades, con el fin de apoyar a las Partes en la prevención y la</w:t>
      </w:r>
      <w:r w:rsidR="004B562A" w:rsidRPr="00F567E1">
        <w:rPr>
          <w:lang w:val="es-ES_tradnl"/>
        </w:rPr>
        <w:t> </w:t>
      </w:r>
      <w:r w:rsidRPr="00F567E1">
        <w:rPr>
          <w:lang w:val="es-ES_tradnl"/>
        </w:rPr>
        <w:t xml:space="preserve">lucha contra el comercio ilícito; </w:t>
      </w:r>
    </w:p>
    <w:p w14:paraId="09F92DAA" w14:textId="57498593"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Oficina de las Naciones Unidas contra la Droga y el Delito, la Organización Mundial de Aduanas, la Organización Internacional de Policía Criminal (INTERPOL), las organizaciones miembros del Programa Interinstitucional para la Gestión Racional de los Productos Químicos,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así como a las redes mundiales y regionales pertinentes encargadas de hacer cumplir la ley, a que ayuden a las Partes a prevenir y luchar contra el comercio ilícito de mercurio;</w:t>
      </w:r>
    </w:p>
    <w:p w14:paraId="375981D0" w14:textId="142269CB"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del Convenio de Minamata que, en función de la disponibilidad de recursos, siga prestando asesoramiento y realizando actividades de sensibilización y asistencia técnica para fortalecer la capacidad de las Partes de cumplir las obligaciones relacionadas con el comercio que les impone el artículo 3;</w:t>
      </w:r>
    </w:p>
    <w:p w14:paraId="0A8F46D2" w14:textId="77777777" w:rsidR="00312042" w:rsidRPr="00C13DC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lastRenderedPageBreak/>
        <w:t>Solicita también</w:t>
      </w:r>
      <w:r w:rsidRPr="00F567E1">
        <w:rPr>
          <w:lang w:val="es-ES_tradnl"/>
        </w:rPr>
        <w:t xml:space="preserve"> a la Secretaría que rinda informe a la Conferencia de las Partes en su próxima reunión sobre la aplicación de la presente decisión.</w:t>
      </w:r>
    </w:p>
    <w:p w14:paraId="7CFE178C" w14:textId="075AEFF8" w:rsidR="00312042" w:rsidRPr="00D86D58" w:rsidRDefault="00312042" w:rsidP="00C13DC1">
      <w:pPr>
        <w:pStyle w:val="NormalNonumber"/>
        <w:tabs>
          <w:tab w:val="clear" w:pos="1247"/>
          <w:tab w:val="clear" w:pos="1871"/>
          <w:tab w:val="clear" w:pos="2495"/>
          <w:tab w:val="clear" w:pos="3119"/>
          <w:tab w:val="clear" w:pos="3742"/>
          <w:tab w:val="clear" w:pos="4366"/>
          <w:tab w:val="clear" w:pos="4990"/>
        </w:tabs>
        <w:ind w:left="0"/>
        <w:rPr>
          <w:rFonts w:asciiTheme="majorBidi" w:hAnsiTheme="majorBidi" w:cstheme="majorBidi"/>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C13DC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FD2F" w14:textId="77777777" w:rsidR="00BC1500" w:rsidRPr="00CD5597" w:rsidRDefault="00BC1500">
      <w:r w:rsidRPr="00CD5597">
        <w:separator/>
      </w:r>
    </w:p>
  </w:endnote>
  <w:endnote w:type="continuationSeparator" w:id="0">
    <w:p w14:paraId="553DECC0" w14:textId="77777777" w:rsidR="00BC1500" w:rsidRPr="00CD5597" w:rsidRDefault="00BC1500">
      <w:r w:rsidRPr="00CD5597">
        <w:continuationSeparator/>
      </w:r>
    </w:p>
  </w:endnote>
  <w:endnote w:type="continuationNotice" w:id="1">
    <w:p w14:paraId="60ADC1DE" w14:textId="77777777" w:rsidR="00BC1500" w:rsidRDefault="00BC1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57337"/>
      <w:docPartObj>
        <w:docPartGallery w:val="Page Numbers (Bottom of Page)"/>
        <w:docPartUnique/>
      </w:docPartObj>
    </w:sdtPr>
    <w:sdtEndPr>
      <w:rPr>
        <w:b/>
        <w:bCs/>
        <w:noProof/>
      </w:rPr>
    </w:sdtEndPr>
    <w:sdtContent>
      <w:p w14:paraId="0701F075" w14:textId="212ECB88" w:rsidR="00C13DC1" w:rsidRPr="00BF6544" w:rsidRDefault="00BF6544" w:rsidP="00BF6544">
        <w:pPr>
          <w:pStyle w:val="Footer"/>
          <w:rPr>
            <w:b/>
            <w:bCs/>
          </w:rPr>
        </w:pPr>
        <w:r w:rsidRPr="00BF6544">
          <w:rPr>
            <w:b/>
            <w:bCs/>
          </w:rPr>
          <w:fldChar w:fldCharType="begin"/>
        </w:r>
        <w:r w:rsidRPr="00BF6544">
          <w:rPr>
            <w:b/>
            <w:bCs/>
          </w:rPr>
          <w:instrText xml:space="preserve"> PAGE   \* MERGEFORMAT </w:instrText>
        </w:r>
        <w:r w:rsidRPr="00BF6544">
          <w:rPr>
            <w:b/>
            <w:bCs/>
          </w:rPr>
          <w:fldChar w:fldCharType="separate"/>
        </w:r>
        <w:r w:rsidRPr="00BF6544">
          <w:rPr>
            <w:b/>
            <w:bCs/>
            <w:noProof/>
          </w:rPr>
          <w:t>2</w:t>
        </w:r>
        <w:r w:rsidRPr="00BF6544">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15112"/>
      <w:docPartObj>
        <w:docPartGallery w:val="Page Numbers (Bottom of Page)"/>
        <w:docPartUnique/>
      </w:docPartObj>
    </w:sdtPr>
    <w:sdtEndPr>
      <w:rPr>
        <w:b/>
        <w:bCs/>
        <w:noProof/>
      </w:rPr>
    </w:sdtEndPr>
    <w:sdtContent>
      <w:p w14:paraId="6F635C56" w14:textId="7A047EF7" w:rsidR="00C13DC1" w:rsidRPr="00BF6544" w:rsidRDefault="00BF6544" w:rsidP="00BF6544">
        <w:pPr>
          <w:pStyle w:val="Footer"/>
          <w:jc w:val="right"/>
          <w:rPr>
            <w:b/>
            <w:bCs/>
          </w:rPr>
        </w:pPr>
        <w:r w:rsidRPr="00BF6544">
          <w:rPr>
            <w:b/>
            <w:bCs/>
          </w:rPr>
          <w:fldChar w:fldCharType="begin"/>
        </w:r>
        <w:r w:rsidRPr="00BF6544">
          <w:rPr>
            <w:b/>
            <w:bCs/>
          </w:rPr>
          <w:instrText xml:space="preserve"> PAGE   \* MERGEFORMAT </w:instrText>
        </w:r>
        <w:r w:rsidRPr="00BF6544">
          <w:rPr>
            <w:b/>
            <w:bCs/>
          </w:rPr>
          <w:fldChar w:fldCharType="separate"/>
        </w:r>
        <w:r w:rsidRPr="00BF6544">
          <w:rPr>
            <w:b/>
            <w:bCs/>
            <w:noProof/>
          </w:rPr>
          <w:t>2</w:t>
        </w:r>
        <w:r w:rsidRPr="00BF654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81F9868" w:rsidR="00CD5597" w:rsidRPr="00D12847" w:rsidRDefault="00D12847" w:rsidP="00BF6544">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E4D0" w14:textId="77777777" w:rsidR="00BC1500" w:rsidRPr="00CD5597" w:rsidRDefault="00BC1500" w:rsidP="00C70B49">
      <w:pPr>
        <w:pStyle w:val="Footnote-Separator"/>
        <w:rPr>
          <w:szCs w:val="18"/>
        </w:rPr>
      </w:pPr>
      <w:r w:rsidRPr="00CD5597">
        <w:separator/>
      </w:r>
    </w:p>
  </w:footnote>
  <w:footnote w:type="continuationSeparator" w:id="0">
    <w:p w14:paraId="387979A4" w14:textId="77777777" w:rsidR="00BC1500" w:rsidRPr="00CD5597" w:rsidRDefault="00BC1500" w:rsidP="00C70B49">
      <w:pPr>
        <w:pStyle w:val="Footnote-Separator"/>
      </w:pPr>
      <w:r w:rsidRPr="00CD5597">
        <w:continuationSeparator/>
      </w:r>
    </w:p>
  </w:footnote>
  <w:footnote w:type="continuationNotice" w:id="1">
    <w:p w14:paraId="4EE99EF6" w14:textId="77777777" w:rsidR="00BC1500" w:rsidRPr="00CD5597" w:rsidRDefault="00BC1500" w:rsidP="00C70B49">
      <w:pPr>
        <w:pStyle w:val="ASpacer"/>
      </w:pPr>
    </w:p>
  </w:footnote>
  <w:footnote w:id="2">
    <w:p w14:paraId="35A1D58E" w14:textId="36CB9462"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UNEP/MC/COP.6/14, anexo, párr. 3 b).</w:t>
      </w:r>
    </w:p>
  </w:footnote>
  <w:footnote w:id="3">
    <w:p w14:paraId="1C8A6E7F" w14:textId="3B084892"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Por ejemplo, el proyecto de lanzamiento reciente titulado “</w:t>
      </w:r>
      <w:proofErr w:type="spellStart"/>
      <w:r w:rsidRPr="00DA02C2">
        <w:rPr>
          <w:szCs w:val="18"/>
          <w:lang w:val="es-ES_tradnl"/>
        </w:rPr>
        <w:t>Accelerate</w:t>
      </w:r>
      <w:proofErr w:type="spellEnd"/>
      <w:r w:rsidRPr="00DA02C2">
        <w:rPr>
          <w:szCs w:val="18"/>
          <w:lang w:val="es-ES_tradnl"/>
        </w:rPr>
        <w:t xml:space="preserve"> Minamata </w:t>
      </w:r>
      <w:proofErr w:type="spellStart"/>
      <w:r w:rsidRPr="00DA02C2">
        <w:rPr>
          <w:szCs w:val="18"/>
          <w:lang w:val="es-ES_tradnl"/>
        </w:rPr>
        <w:t>Convention</w:t>
      </w:r>
      <w:proofErr w:type="spellEnd"/>
      <w:r w:rsidRPr="00DA02C2">
        <w:rPr>
          <w:szCs w:val="18"/>
          <w:lang w:val="es-ES_tradnl"/>
        </w:rPr>
        <w:t xml:space="preserve"> </w:t>
      </w:r>
      <w:proofErr w:type="spellStart"/>
      <w:r w:rsidRPr="00DA02C2">
        <w:rPr>
          <w:szCs w:val="18"/>
          <w:lang w:val="es-ES_tradnl"/>
        </w:rPr>
        <w:t>compliance</w:t>
      </w:r>
      <w:proofErr w:type="spellEnd"/>
      <w:r w:rsidRPr="00DA02C2">
        <w:rPr>
          <w:szCs w:val="18"/>
          <w:lang w:val="es-ES_tradnl"/>
        </w:rPr>
        <w:t xml:space="preserve"> </w:t>
      </w:r>
      <w:proofErr w:type="spellStart"/>
      <w:r w:rsidRPr="00DA02C2">
        <w:rPr>
          <w:szCs w:val="18"/>
          <w:lang w:val="es-ES_tradnl"/>
        </w:rPr>
        <w:t>through</w:t>
      </w:r>
      <w:proofErr w:type="spellEnd"/>
      <w:r w:rsidRPr="00DA02C2">
        <w:rPr>
          <w:szCs w:val="18"/>
          <w:lang w:val="es-ES_tradnl"/>
        </w:rPr>
        <w:t xml:space="preserve"> </w:t>
      </w:r>
      <w:proofErr w:type="spellStart"/>
      <w:r w:rsidRPr="00DA02C2">
        <w:rPr>
          <w:szCs w:val="18"/>
          <w:lang w:val="es-ES_tradnl"/>
        </w:rPr>
        <w:t>improved</w:t>
      </w:r>
      <w:proofErr w:type="spellEnd"/>
      <w:r w:rsidRPr="00DA02C2">
        <w:rPr>
          <w:szCs w:val="18"/>
          <w:lang w:val="es-ES_tradnl"/>
        </w:rPr>
        <w:t xml:space="preserve"> </w:t>
      </w:r>
      <w:proofErr w:type="spellStart"/>
      <w:r w:rsidRPr="00DA02C2">
        <w:rPr>
          <w:szCs w:val="18"/>
          <w:lang w:val="es-ES_tradnl"/>
        </w:rPr>
        <w:t>understanding</w:t>
      </w:r>
      <w:proofErr w:type="spellEnd"/>
      <w:r w:rsidRPr="00DA02C2">
        <w:rPr>
          <w:szCs w:val="18"/>
          <w:lang w:val="es-ES_tradnl"/>
        </w:rPr>
        <w:t xml:space="preserve"> and control of </w:t>
      </w:r>
      <w:proofErr w:type="spellStart"/>
      <w:r w:rsidRPr="00DA02C2">
        <w:rPr>
          <w:szCs w:val="18"/>
          <w:lang w:val="es-ES_tradnl"/>
        </w:rPr>
        <w:t>mercury</w:t>
      </w:r>
      <w:proofErr w:type="spellEnd"/>
      <w:r w:rsidRPr="00DA02C2">
        <w:rPr>
          <w:szCs w:val="18"/>
          <w:lang w:val="es-ES_tradnl"/>
        </w:rPr>
        <w:t xml:space="preserve"> </w:t>
      </w:r>
      <w:proofErr w:type="spellStart"/>
      <w:r w:rsidRPr="00DA02C2">
        <w:rPr>
          <w:szCs w:val="18"/>
          <w:lang w:val="es-ES_tradnl"/>
        </w:rPr>
        <w:t>trade</w:t>
      </w:r>
      <w:proofErr w:type="spellEnd"/>
      <w:r w:rsidRPr="00DA02C2">
        <w:rPr>
          <w:szCs w:val="18"/>
          <w:lang w:val="es-ES_tradnl"/>
        </w:rPr>
        <w:t xml:space="preserve"> in </w:t>
      </w:r>
      <w:proofErr w:type="spellStart"/>
      <w:r w:rsidRPr="00DA02C2">
        <w:rPr>
          <w:szCs w:val="18"/>
          <w:lang w:val="es-ES_tradnl"/>
        </w:rPr>
        <w:t>Latin</w:t>
      </w:r>
      <w:proofErr w:type="spellEnd"/>
      <w:r w:rsidRPr="00DA02C2">
        <w:rPr>
          <w:szCs w:val="18"/>
          <w:lang w:val="es-ES_tradnl"/>
        </w:rPr>
        <w:t xml:space="preserve"> America”.</w:t>
      </w:r>
    </w:p>
  </w:footnote>
  <w:footnote w:id="4">
    <w:p w14:paraId="013A1712" w14:textId="6F52ABC9" w:rsidR="006A51FD" w:rsidRPr="00DA02C2" w:rsidRDefault="006A51FD" w:rsidP="006A51FD">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UNEP/MC/COP.6/26.</w:t>
      </w:r>
    </w:p>
  </w:footnote>
  <w:footnote w:id="5">
    <w:p w14:paraId="3A3ABC83" w14:textId="77777777" w:rsidR="00D86B1A" w:rsidRPr="00DA02C2" w:rsidRDefault="00D86B1A" w:rsidP="00D86B1A">
      <w:pPr>
        <w:pStyle w:val="Footnote-Text"/>
        <w:rPr>
          <w:szCs w:val="18"/>
          <w:lang w:val="es-ES_tradnl"/>
        </w:rPr>
      </w:pPr>
      <w:r w:rsidRPr="00DA02C2">
        <w:rPr>
          <w:rStyle w:val="FootnoteReference"/>
          <w:sz w:val="18"/>
          <w:lang w:val="es-ES_tradnl"/>
        </w:rPr>
        <w:footnoteRef/>
      </w:r>
      <w:r w:rsidRPr="00DA02C2">
        <w:rPr>
          <w:szCs w:val="18"/>
          <w:lang w:val="es-ES_tradnl"/>
        </w:rPr>
        <w:t xml:space="preserve"> La orientación se aprobó en la decisión MC</w:t>
      </w:r>
      <w:r w:rsidRPr="00DA02C2">
        <w:rPr>
          <w:szCs w:val="18"/>
          <w:lang w:val="es-ES_tradnl"/>
        </w:rPr>
        <w:noBreakHyphen/>
        <w:t>1/2.</w:t>
      </w:r>
    </w:p>
  </w:footnote>
  <w:footnote w:id="6">
    <w:p w14:paraId="7E329062" w14:textId="12E21E32" w:rsidR="00924456" w:rsidRPr="00DA02C2" w:rsidRDefault="00924456" w:rsidP="00924456">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UNEP/MC/COP.6/27.</w:t>
      </w:r>
    </w:p>
  </w:footnote>
  <w:footnote w:id="7">
    <w:p w14:paraId="62A8509C" w14:textId="77777777" w:rsidR="00D86B1A" w:rsidRPr="00DA02C2" w:rsidRDefault="00D86B1A" w:rsidP="00D86B1A">
      <w:pPr>
        <w:pStyle w:val="Footnote-Text"/>
        <w:rPr>
          <w:szCs w:val="18"/>
          <w:lang w:val="es-ES_tradnl"/>
        </w:rPr>
      </w:pPr>
      <w:r w:rsidRPr="00DA02C2">
        <w:rPr>
          <w:rStyle w:val="FootnoteReference"/>
          <w:sz w:val="18"/>
          <w:lang w:val="es-ES_tradnl"/>
        </w:rPr>
        <w:footnoteRef/>
      </w:r>
      <w:r w:rsidRPr="00DA02C2">
        <w:rPr>
          <w:szCs w:val="18"/>
          <w:lang w:val="es-ES_tradnl"/>
        </w:rPr>
        <w:t xml:space="preserve"> La orientación se aprobó en la decisión MC</w:t>
      </w:r>
      <w:r w:rsidRPr="00DA02C2">
        <w:rPr>
          <w:szCs w:val="18"/>
          <w:lang w:val="es-ES_tradnl"/>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BC76C5D" w:rsidR="002C072B" w:rsidRPr="00D12847" w:rsidRDefault="00D12847" w:rsidP="00D12847">
    <w:pPr>
      <w:pStyle w:val="Header-pool"/>
    </w:pPr>
    <w:r>
      <w:fldChar w:fldCharType="begin"/>
    </w:r>
    <w:r>
      <w:instrText xml:space="preserve"> StyleRef A_Symbol </w:instrText>
    </w:r>
    <w:r>
      <w:fldChar w:fldCharType="separate"/>
    </w:r>
    <w:r w:rsidR="00BF6544">
      <w:rPr>
        <w:noProof/>
      </w:rPr>
      <w:t>UNEP/MC/COP.6/Dec.1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C4D7991" w:rsidR="002C072B" w:rsidRPr="00D12847" w:rsidRDefault="00D12847" w:rsidP="00D12847">
    <w:pPr>
      <w:pStyle w:val="Header-pool"/>
      <w:jc w:val="right"/>
    </w:pPr>
    <w:r>
      <w:fldChar w:fldCharType="begin"/>
    </w:r>
    <w:r>
      <w:instrText xml:space="preserve"> StyleRef A_Symbol </w:instrText>
    </w:r>
    <w:r>
      <w:fldChar w:fldCharType="separate"/>
    </w:r>
    <w:r w:rsidR="00BF6544">
      <w:rPr>
        <w:noProof/>
      </w:rPr>
      <w:t>UNEP/MC/COP.6/Dec.1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500"/>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BF6544"/>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3DC1"/>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47"/>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6D58"/>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A8F0EBDD-365E-46EC-9893-C18AF58A6C1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3</Pages>
  <Words>989</Words>
  <Characters>5638</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10</cp:revision>
  <cp:lastPrinted>2026-02-27T09:48:00Z</cp:lastPrinted>
  <dcterms:created xsi:type="dcterms:W3CDTF">2026-04-13T14:13:00Z</dcterms:created>
  <dcterms:modified xsi:type="dcterms:W3CDTF">2026-04-15T13:13:00Z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