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62A25BD5"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Dec.1</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7B210F79" w14:textId="79FC197B" w:rsidR="00312042" w:rsidRPr="00D20C0A" w:rsidRDefault="00312042" w:rsidP="00F541C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rPr>
          <w:lang w:val="ru-RU"/>
        </w:rPr>
      </w:pPr>
      <w:bookmarkStart w:id="0" w:name="_Toc222992801"/>
      <w:r>
        <w:rPr>
          <w:lang w:val="ru-RU"/>
        </w:rPr>
        <w:t xml:space="preserve">Решение МК-6/1. </w:t>
      </w:r>
      <w:r w:rsidRPr="00453870">
        <w:rPr>
          <w:lang w:val="ru-RU"/>
        </w:rPr>
        <w:t>Источники</w:t>
      </w:r>
      <w:r>
        <w:rPr>
          <w:lang w:val="ru-RU"/>
        </w:rPr>
        <w:t xml:space="preserve"> поставок и торговля</w:t>
      </w:r>
      <w:bookmarkEnd w:id="0"/>
    </w:p>
    <w:p w14:paraId="3E5B96A9"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ru-RU"/>
        </w:rPr>
      </w:pPr>
      <w:r>
        <w:rPr>
          <w:i/>
          <w:iCs/>
          <w:lang w:val="ru-RU"/>
        </w:rPr>
        <w:t>Конференция Сторон,</w:t>
      </w:r>
    </w:p>
    <w:p w14:paraId="5AAF950E" w14:textId="49FF0ED6"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выражая</w:t>
      </w:r>
      <w:r>
        <w:rPr>
          <w:lang w:val="ru-RU"/>
        </w:rPr>
        <w:t xml:space="preserve"> признательность Сторонам за обмен информацией об опыте и трудностях, возникающих при осуществлении статьи 3 Минаматской конвенции о ртути, а также информацией о мероприятиях, проведенных в связи с Балийской декларацией о борьбе с незаконной торговлей ртутью, в ответ на пункт 4 решения MК-5/2,</w:t>
      </w:r>
      <w:bookmarkStart w:id="1" w:name="_Hlk216866538"/>
      <w:bookmarkEnd w:id="1"/>
    </w:p>
    <w:p w14:paraId="1CF614C0" w14:textId="60187436"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lang w:val="ru-RU"/>
        </w:rPr>
      </w:pPr>
      <w:r w:rsidRPr="007D254B">
        <w:rPr>
          <w:i/>
          <w:iCs/>
          <w:lang w:val="ru-RU"/>
        </w:rPr>
        <w:t>отмечая</w:t>
      </w:r>
      <w:r>
        <w:rPr>
          <w:lang w:val="ru-RU"/>
        </w:rPr>
        <w:t>, что в своих национальных докладах в соответствии со статьей 21 и в информации, представленной в ответ на пункт 4 решения MК-5/2, Стороны подняли вопрос о наличии не согласующейся с Конвенцией неофициальной или незаконной первичной добычи на своих территориях, а также о незаконном обороте ртути, незаконной торговле ртутью или контрабанде ртути, в частности для использования в кустарной и мелкомасштабной золотодобыче,</w:t>
      </w:r>
    </w:p>
    <w:p w14:paraId="2786DB59" w14:textId="7DAE05C1"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lang w:val="ru-RU"/>
        </w:rPr>
      </w:pPr>
      <w:r w:rsidRPr="007D254B">
        <w:rPr>
          <w:i/>
          <w:iCs/>
          <w:lang w:val="ru-RU"/>
        </w:rPr>
        <w:t>признавая</w:t>
      </w:r>
      <w:r>
        <w:rPr>
          <w:lang w:val="ru-RU"/>
        </w:rPr>
        <w:t>, что такого рода первичная добыча и торговля создают трудности для осуществления статьи 3 Конвенции,</w:t>
      </w:r>
    </w:p>
    <w:p w14:paraId="7B99B7C0" w14:textId="120CE0D5" w:rsidR="00312042" w:rsidRPr="00546B6B"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учитывая</w:t>
      </w:r>
      <w:r>
        <w:rPr>
          <w:lang w:val="ru-RU"/>
        </w:rPr>
        <w:t xml:space="preserve"> рекомендацию Комитета по осуществлению и соблюдению Минаматской конвенции, представленную Конференции Сторон на ее шестом совещании</w:t>
      </w:r>
      <w:r w:rsidRPr="00631C1C">
        <w:rPr>
          <w:rStyle w:val="FootnoteReference"/>
          <w:rFonts w:asciiTheme="majorBidi" w:hAnsiTheme="majorBidi" w:cstheme="majorBidi"/>
          <w:lang w:val="ru-RU"/>
        </w:rPr>
        <w:footnoteReference w:id="2"/>
      </w:r>
      <w:r>
        <w:rPr>
          <w:lang w:val="ru-RU"/>
        </w:rPr>
        <w:t>,</w:t>
      </w:r>
    </w:p>
    <w:p w14:paraId="532B3975" w14:textId="181FBB85"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отмечая</w:t>
      </w:r>
      <w:r>
        <w:rPr>
          <w:lang w:val="ru-RU"/>
        </w:rPr>
        <w:t>, что, несмотря на достигнутый по настоящее время прогресс, Стороны заявили о необходимости укрепления сотрудничества и получения дополнительной поддержки и помощи для более эффективного осуществления статьи 3, признавая роль Глобального экологического фонда в оказании такой поддержки</w:t>
      </w:r>
      <w:r w:rsidRPr="00631C1C">
        <w:rPr>
          <w:rStyle w:val="FootnoteReference"/>
          <w:rFonts w:asciiTheme="majorBidi" w:hAnsiTheme="majorBidi" w:cstheme="majorBidi"/>
          <w:lang w:val="ru-RU"/>
        </w:rPr>
        <w:footnoteReference w:id="3"/>
      </w:r>
      <w:r>
        <w:rPr>
          <w:lang w:val="ru-RU"/>
        </w:rPr>
        <w:t>,</w:t>
      </w:r>
    </w:p>
    <w:p w14:paraId="3C482F52" w14:textId="48981391"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bookmarkStart w:id="2" w:name="_Hlk216877385"/>
      <w:r w:rsidRPr="007D254B">
        <w:rPr>
          <w:i/>
          <w:iCs/>
          <w:lang w:val="ru-RU"/>
        </w:rPr>
        <w:t>принимает</w:t>
      </w:r>
      <w:r>
        <w:rPr>
          <w:lang w:val="ru-RU"/>
        </w:rPr>
        <w:t xml:space="preserve"> обновления</w:t>
      </w:r>
      <w:r w:rsidR="006A51FD" w:rsidRPr="00D86B1A">
        <w:rPr>
          <w:rStyle w:val="FootnoteReference"/>
          <w:rFonts w:asciiTheme="majorBidi" w:hAnsiTheme="majorBidi" w:cstheme="majorBidi"/>
          <w:lang w:val="ru-RU"/>
        </w:rPr>
        <w:footnoteReference w:id="4"/>
      </w:r>
      <w:r>
        <w:rPr>
          <w:lang w:val="ru-RU"/>
        </w:rPr>
        <w:t xml:space="preserve"> к руководству</w:t>
      </w:r>
      <w:r w:rsidR="00D86B1A" w:rsidRPr="00D86B1A">
        <w:rPr>
          <w:rStyle w:val="FootnoteReference"/>
          <w:rFonts w:asciiTheme="majorBidi" w:hAnsiTheme="majorBidi" w:cstheme="majorBidi"/>
          <w:lang w:val="ru-RU"/>
        </w:rPr>
        <w:footnoteReference w:id="5"/>
      </w:r>
      <w:r>
        <w:rPr>
          <w:lang w:val="ru-RU"/>
        </w:rPr>
        <w:t xml:space="preserve"> по выявлению отдельных запасов ртути или ртутных соединений в объеме свыше 50 тонн и источников поставок ртути, обеспечивающих создание запасов ртути в объеме свыше 10 тонн в год;</w:t>
      </w:r>
      <w:bookmarkStart w:id="3" w:name="_Hlk219451192"/>
      <w:bookmarkStart w:id="4" w:name="_Hlk216876899"/>
      <w:bookmarkEnd w:id="2"/>
      <w:bookmarkEnd w:id="3"/>
      <w:bookmarkEnd w:id="4"/>
    </w:p>
    <w:p w14:paraId="384C3342" w14:textId="193D9123"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lastRenderedPageBreak/>
        <w:t>принимает также</w:t>
      </w:r>
      <w:r>
        <w:rPr>
          <w:lang w:val="ru-RU"/>
        </w:rPr>
        <w:t xml:space="preserve"> обновления</w:t>
      </w:r>
      <w:r w:rsidR="00924456" w:rsidRPr="00D86B1A">
        <w:rPr>
          <w:rStyle w:val="FootnoteReference"/>
          <w:rFonts w:asciiTheme="majorBidi" w:hAnsiTheme="majorBidi" w:cstheme="majorBidi"/>
          <w:lang w:val="ru-RU"/>
        </w:rPr>
        <w:footnoteReference w:id="6"/>
      </w:r>
      <w:r>
        <w:rPr>
          <w:lang w:val="ru-RU"/>
        </w:rPr>
        <w:t xml:space="preserve"> к руководству</w:t>
      </w:r>
      <w:r w:rsidR="00D86B1A" w:rsidRPr="00636DE0">
        <w:rPr>
          <w:rStyle w:val="FootnoteReference"/>
          <w:rFonts w:asciiTheme="majorBidi" w:hAnsiTheme="majorBidi" w:cstheme="majorBidi"/>
          <w:lang w:val="ru-RU"/>
        </w:rPr>
        <w:footnoteReference w:id="7"/>
      </w:r>
      <w:r>
        <w:rPr>
          <w:lang w:val="ru-RU"/>
        </w:rPr>
        <w:t xml:space="preserve"> по использованию форм для данных об импорте и экспорте ртути для оказания помощи Сторонам в выявлении, регулировании и сокращении торговли ртутью, полученной в результате первичной добычи ртути;</w:t>
      </w:r>
    </w:p>
    <w:p w14:paraId="5E5735FA" w14:textId="11918B57"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предлагает</w:t>
      </w:r>
      <w:r>
        <w:rPr>
          <w:lang w:val="ru-RU"/>
        </w:rPr>
        <w:t xml:space="preserve"> Сторонам, которые в своих национальных докладах в соответствии со статьей 21 сообщили об опыте и трудностях, связанных с осуществлением пункта 3 статьи 3 о первичной добыче ртути, направить дополнительную информацию в секретариат, с тем чтобы она была передана Комитету по осуществлению и соблюдению для дальнейшего рассмотрения;</w:t>
      </w:r>
    </w:p>
    <w:p w14:paraId="52BEB134" w14:textId="179B3E42"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призывает</w:t>
      </w:r>
      <w:r>
        <w:rPr>
          <w:lang w:val="ru-RU"/>
        </w:rPr>
        <w:t xml:space="preserve"> Стороны, в том числе получающие поддержку в рамках текущих проектов Глобального экологического фонда, продолжать обмениваться с секретариатом информацией об опыте предупреждения и пресечения незаконной торговли ртутью, в том числе касающейся использования форм, относящихся к статье 3 о торговле ртутью;</w:t>
      </w:r>
    </w:p>
    <w:p w14:paraId="78A0FB9E" w14:textId="3632AC5F"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поручает</w:t>
      </w:r>
      <w:r>
        <w:rPr>
          <w:lang w:val="ru-RU"/>
        </w:rPr>
        <w:t xml:space="preserve"> секретариату в сотрудничестве со Сторонами и организациями, обладающими экспертными знаниями в области незаконной торговли, и при наличии ресурсов</w:t>
      </w:r>
      <w:r w:rsidR="00B50083">
        <w:rPr>
          <w:lang w:val="ru-RU"/>
        </w:rPr>
        <w:t>,</w:t>
      </w:r>
      <w:r>
        <w:rPr>
          <w:lang w:val="ru-RU"/>
        </w:rPr>
        <w:t xml:space="preserve"> подготовить доклад с изложением стратегий в отношении вопроса поставок ртути и торговли ею для Сторон, не соблюдающих положения статьи 3, а секретариату при подготовке доклада следует:</w:t>
      </w:r>
    </w:p>
    <w:p w14:paraId="52E1D389" w14:textId="4AFA368D" w:rsidR="00312042" w:rsidRPr="00DA0337" w:rsidRDefault="00312042" w:rsidP="00546B6B">
      <w:pPr>
        <w:pStyle w:val="ANormal"/>
        <w:numPr>
          <w:ilvl w:val="1"/>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использовать информацию, полученную от Сторон и других соответствующих источников;</w:t>
      </w:r>
    </w:p>
    <w:p w14:paraId="3C7D016A" w14:textId="4AEF89EA" w:rsidR="00312042" w:rsidRPr="00DA0337" w:rsidRDefault="00312042" w:rsidP="00546B6B">
      <w:pPr>
        <w:pStyle w:val="ANormal"/>
        <w:numPr>
          <w:ilvl w:val="1"/>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принимать во внимание информацию о стратегиях предотвращения перенаправления ртути из иностранных и внутренних источников для использования в кустарной и мелкомасштабной добыче и обработке золота, содержащуюся в национальных планах действий в отношении кустарной и мелкомасштабной золотодобычи, представленных Сторонами в соответствии с пунктом 3 b) статьи 7;</w:t>
      </w:r>
    </w:p>
    <w:p w14:paraId="22AC26C3" w14:textId="4E7DF2A5" w:rsidR="00312042" w:rsidRPr="00DA0337" w:rsidRDefault="00312042" w:rsidP="00546B6B">
      <w:pPr>
        <w:pStyle w:val="ANormal"/>
        <w:numPr>
          <w:ilvl w:val="1"/>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предложить Сторонам, Комитету по осуществлению и соблюдению и други</w:t>
      </w:r>
      <w:r w:rsidR="002834F8">
        <w:rPr>
          <w:lang w:val="ru-RU"/>
        </w:rPr>
        <w:t>м</w:t>
      </w:r>
      <w:r>
        <w:rPr>
          <w:lang w:val="ru-RU"/>
        </w:rPr>
        <w:t xml:space="preserve"> заинтересованны</w:t>
      </w:r>
      <w:r w:rsidR="002834F8">
        <w:rPr>
          <w:lang w:val="ru-RU"/>
        </w:rPr>
        <w:t>м</w:t>
      </w:r>
      <w:r>
        <w:rPr>
          <w:lang w:val="ru-RU"/>
        </w:rPr>
        <w:t xml:space="preserve"> субъектам представить свои материалы;</w:t>
      </w:r>
    </w:p>
    <w:p w14:paraId="4157C5DB" w14:textId="483F5FB6"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поручает</w:t>
      </w:r>
      <w:r>
        <w:rPr>
          <w:lang w:val="ru-RU"/>
        </w:rPr>
        <w:t xml:space="preserve"> секретариату разработать, при наличии ресурсов, руководство по единообразному использованию кодов Гармонизированной системы описания и кодирования товаров, относящихся к ртутьсодержащим товарам, в частности к ртути, соединениям ртути и ртутным отходам;</w:t>
      </w:r>
    </w:p>
    <w:p w14:paraId="5F4E332E" w14:textId="5AC45A88" w:rsidR="00312042" w:rsidRPr="00DA0337" w:rsidDel="001D6D3D" w:rsidRDefault="00DF3411"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поручает</w:t>
      </w:r>
      <w:r>
        <w:rPr>
          <w:lang w:val="ru-RU"/>
        </w:rPr>
        <w:t xml:space="preserve"> секретариату представить доклад, испрошенный в пункте 5 выше, для рассмотрения Конференцией Сторон на ее седьмом совещании;</w:t>
      </w:r>
    </w:p>
    <w:p w14:paraId="560E56A2" w14:textId="77777777"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поручает</w:t>
      </w:r>
      <w:r>
        <w:rPr>
          <w:lang w:val="ru-RU"/>
        </w:rPr>
        <w:t xml:space="preserve"> Комитету по осуществлению и соблюдению:</w:t>
      </w:r>
    </w:p>
    <w:p w14:paraId="7F1E6668" w14:textId="0D5DE7BA" w:rsidR="00312042" w:rsidRPr="00DA0337" w:rsidRDefault="00DF3411" w:rsidP="00546B6B">
      <w:pPr>
        <w:pStyle w:val="Normal-pool"/>
        <w:numPr>
          <w:ilvl w:val="1"/>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 xml:space="preserve">оценить причины, которые приводятся Сторонами в качестве указаний на то, что они сталкиваются с трудностями при осуществлении положений, касающихся торговли, согласно статье 3, и рассмотреть вопрос о том, могут ли рекомендации, выходящие за рамки мер, уже принятых Конференцией </w:t>
      </w:r>
      <w:r w:rsidR="00F858A5">
        <w:rPr>
          <w:lang w:val="ru-RU"/>
        </w:rPr>
        <w:t xml:space="preserve">Сторон </w:t>
      </w:r>
      <w:r>
        <w:rPr>
          <w:lang w:val="ru-RU"/>
        </w:rPr>
        <w:t>на ее пятом и шестом совещаниях, оказаться полезными для совершенствования осуществления;</w:t>
      </w:r>
    </w:p>
    <w:p w14:paraId="4C4B90A7" w14:textId="37912BC9" w:rsidR="00312042" w:rsidRPr="00DA0337" w:rsidRDefault="00312042" w:rsidP="00546B6B">
      <w:pPr>
        <w:pStyle w:val="Normal-pool"/>
        <w:numPr>
          <w:ilvl w:val="1"/>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 xml:space="preserve">работать совместно, по мере необходимости, с органами по соблюдению других многосторонних природоохранных соглашений по вопросам их деятельности с целью оказания поддержки Сторонам в предотвращении и пресечении незаконной торговли; </w:t>
      </w:r>
    </w:p>
    <w:p w14:paraId="09F92DAA" w14:textId="3B73A2BE"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призывает</w:t>
      </w:r>
      <w:r>
        <w:rPr>
          <w:lang w:val="ru-RU"/>
        </w:rPr>
        <w:t xml:space="preserve"> Управление Организации Объединенных Наций по наркотикам и преступности, Всемирную таможенную организацию, Международную организацию уголовной полиции (ИНТЕРПОЛ), организации – члены Межорганизационной программы по рациональному регулированию химических веществ, секретариат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а также соответствующие глобальные и региональные сети по обеспечению соблюдения оказывать Сторонам помощь в деле предупреждения и пресечения незаконной торговли ртутью;</w:t>
      </w:r>
    </w:p>
    <w:p w14:paraId="375981D0" w14:textId="142269CB"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поручает</w:t>
      </w:r>
      <w:r>
        <w:rPr>
          <w:lang w:val="ru-RU"/>
        </w:rPr>
        <w:t xml:space="preserve"> секретариату Минаматской конвенции, при наличии ресурсов, продолжать предоставлять консультации и проводить мероприятия по повышению </w:t>
      </w:r>
      <w:r>
        <w:rPr>
          <w:lang w:val="ru-RU"/>
        </w:rPr>
        <w:lastRenderedPageBreak/>
        <w:t>осведомленности и оказанию технической помощи с целью укрепления потенциала Сторон для выполнения их касающихся торговли обязательств согласно статье 3;</w:t>
      </w:r>
    </w:p>
    <w:p w14:paraId="7FD5E518" w14:textId="07413A2F"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sectPr w:rsidR="00312042" w:rsidRPr="00DA0337" w:rsidSect="00E84D8D">
          <w:headerReference w:type="even" r:id="rId13"/>
          <w:headerReference w:type="default" r:id="rId14"/>
          <w:footerReference w:type="even" r:id="rId15"/>
          <w:footerReference w:type="default" r:id="rId16"/>
          <w:footerReference w:type="first" r:id="rId17"/>
          <w:pgSz w:w="11906" w:h="16838" w:code="9"/>
          <w:pgMar w:top="907" w:right="992" w:bottom="1418" w:left="1418" w:header="539" w:footer="975" w:gutter="0"/>
          <w:cols w:space="539"/>
          <w:titlePg/>
          <w:docGrid w:linePitch="360"/>
        </w:sectPr>
      </w:pPr>
      <w:r w:rsidRPr="007D254B">
        <w:rPr>
          <w:i/>
          <w:iCs/>
          <w:lang w:val="ru-RU"/>
        </w:rPr>
        <w:t>также поручает</w:t>
      </w:r>
      <w:r>
        <w:rPr>
          <w:lang w:val="ru-RU"/>
        </w:rPr>
        <w:t xml:space="preserve"> секретариату представить Конференции Сторон на ее следующем совещании доклад о выполнении настоящего решения.</w:t>
      </w:r>
    </w:p>
    <w:p w14:paraId="47CB1C1C" w14:textId="08FC0640" w:rsidR="00107665" w:rsidRPr="001271A9" w:rsidRDefault="00107665" w:rsidP="00A836B3">
      <w:pPr>
        <w:pStyle w:val="Normal-pool"/>
        <w:tabs>
          <w:tab w:val="clear" w:pos="624"/>
          <w:tab w:val="clear" w:pos="1247"/>
          <w:tab w:val="clear" w:pos="1871"/>
          <w:tab w:val="clear" w:pos="2495"/>
          <w:tab w:val="clear" w:pos="3119"/>
          <w:tab w:val="clear" w:pos="3742"/>
          <w:tab w:val="clear" w:pos="4366"/>
          <w:tab w:val="clear" w:pos="4990"/>
        </w:tabs>
        <w:spacing w:after="120"/>
        <w:rPr>
          <w:rFonts w:asciiTheme="majorBidi" w:hAnsiTheme="majorBidi" w:cstheme="majorBidi"/>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8"/>
      <w:headerReference w:type="default" r:id="rId19"/>
      <w:headerReference w:type="first" r:id="rId20"/>
      <w:footerReference w:type="first" r:id="rId21"/>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A179" w14:textId="77777777" w:rsidR="002B162F" w:rsidRPr="00CD5597" w:rsidRDefault="002B162F">
      <w:r w:rsidRPr="00CD5597">
        <w:separator/>
      </w:r>
    </w:p>
  </w:endnote>
  <w:endnote w:type="continuationSeparator" w:id="0">
    <w:p w14:paraId="5296BF8C" w14:textId="77777777" w:rsidR="002B162F" w:rsidRPr="00CD5597" w:rsidRDefault="002B162F">
      <w:r w:rsidRPr="00CD5597">
        <w:continuationSeparator/>
      </w:r>
    </w:p>
  </w:endnote>
  <w:endnote w:type="continuationNotice" w:id="1">
    <w:p w14:paraId="21E0CD56" w14:textId="77777777" w:rsidR="002B162F" w:rsidRDefault="002B1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163F8453" w:rsidR="00312042" w:rsidRDefault="00377588" w:rsidP="00E84D8D">
    <w:pPr>
      <w:pStyle w:val="Footer-jobnumber"/>
    </w:pPr>
    <w:r>
      <w:rPr>
        <w:lang w:val="en-US"/>
      </w:rPr>
      <w:tab/>
    </w:r>
    <w:r w:rsidR="0052179F">
      <w:rPr>
        <w:lang w:val="en-US"/>
      </w:rPr>
      <w:t>1803</w:t>
    </w:r>
    <w:r w:rsidR="0052179F">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CC47" w14:textId="77777777" w:rsidR="002B162F" w:rsidRPr="00CD5597" w:rsidRDefault="002B162F" w:rsidP="00C70B49">
      <w:pPr>
        <w:pStyle w:val="Footnote-Separator"/>
        <w:rPr>
          <w:szCs w:val="18"/>
        </w:rPr>
      </w:pPr>
      <w:r w:rsidRPr="00CD5597">
        <w:separator/>
      </w:r>
    </w:p>
  </w:footnote>
  <w:footnote w:type="continuationSeparator" w:id="0">
    <w:p w14:paraId="5719CBA4" w14:textId="77777777" w:rsidR="002B162F" w:rsidRPr="00CD5597" w:rsidRDefault="002B162F" w:rsidP="00C70B49">
      <w:pPr>
        <w:pStyle w:val="Footnote-Separator"/>
      </w:pPr>
      <w:r w:rsidRPr="00CD5597">
        <w:continuationSeparator/>
      </w:r>
    </w:p>
  </w:footnote>
  <w:footnote w:type="continuationNotice" w:id="1">
    <w:p w14:paraId="681CE0E3" w14:textId="77777777" w:rsidR="002B162F" w:rsidRPr="00CD5597" w:rsidRDefault="002B162F" w:rsidP="00C70B49">
      <w:pPr>
        <w:pStyle w:val="ASpacer"/>
      </w:pPr>
    </w:p>
  </w:footnote>
  <w:footnote w:id="2">
    <w:p w14:paraId="35A1D58E" w14:textId="4FFB1F08" w:rsidR="00312042" w:rsidRPr="00D20C0A" w:rsidRDefault="00312042"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UNEP/MC/COP.6/14, приложение, пункт 3 b).</w:t>
      </w:r>
    </w:p>
  </w:footnote>
  <w:footnote w:id="3">
    <w:p w14:paraId="1C8A6E7F" w14:textId="6FE264A6" w:rsidR="00312042" w:rsidRPr="00D20C0A" w:rsidRDefault="00312042"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Например, недавно запущенный проект под названием «Ускорение соблюдения Минаматской конвенции путем улучшения понимания и контроля за торговл</w:t>
      </w:r>
      <w:r w:rsidR="007E5EE4">
        <w:rPr>
          <w:lang w:val="ru-RU"/>
        </w:rPr>
        <w:t>ей</w:t>
      </w:r>
      <w:r>
        <w:rPr>
          <w:lang w:val="ru-RU"/>
        </w:rPr>
        <w:t xml:space="preserve"> ртутью в Латинской Америке».</w:t>
      </w:r>
    </w:p>
  </w:footnote>
  <w:footnote w:id="4">
    <w:p w14:paraId="013A1712" w14:textId="5B3C1FFA" w:rsidR="006A51FD" w:rsidRPr="00D20C0A" w:rsidRDefault="006A51FD"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UNEP/MC/COP.6/26.</w:t>
      </w:r>
    </w:p>
  </w:footnote>
  <w:footnote w:id="5">
    <w:p w14:paraId="3A3ABC83" w14:textId="2CA39469" w:rsidR="00D86B1A" w:rsidRPr="00D20C0A" w:rsidRDefault="00D86B1A"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Руководство было принято в решении MК-1/2.</w:t>
      </w:r>
    </w:p>
  </w:footnote>
  <w:footnote w:id="6">
    <w:p w14:paraId="7E329062" w14:textId="1A814AC7" w:rsidR="00924456" w:rsidRPr="00D20C0A" w:rsidRDefault="00924456"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UNEP/MC/COP.6/27.</w:t>
      </w:r>
    </w:p>
  </w:footnote>
  <w:footnote w:id="7">
    <w:p w14:paraId="62A8509C" w14:textId="6D1E6478" w:rsidR="00D86B1A" w:rsidRPr="00D20C0A" w:rsidRDefault="00D86B1A"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Руководство было принято в решении MК-1/2.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77A30C75" w:rsidR="00312042" w:rsidRPr="00377588" w:rsidRDefault="00377588" w:rsidP="00377588">
    <w:pPr>
      <w:pStyle w:val="Header-pool"/>
    </w:pPr>
    <w:r>
      <w:fldChar w:fldCharType="begin"/>
    </w:r>
    <w:r>
      <w:instrText xml:space="preserve"> StyleRef A_Symbol </w:instrText>
    </w:r>
    <w:r>
      <w:fldChar w:fldCharType="separate"/>
    </w:r>
    <w:r w:rsidR="00A836B3">
      <w:rPr>
        <w:noProof/>
      </w:rPr>
      <w:t>UNEP/MC/COP.6/Dec.1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6210C400" w:rsidR="00312042" w:rsidRPr="00377588" w:rsidRDefault="00377588" w:rsidP="00377588">
    <w:pPr>
      <w:pStyle w:val="Header-pool"/>
      <w:jc w:val="right"/>
    </w:pPr>
    <w:r>
      <w:fldChar w:fldCharType="begin"/>
    </w:r>
    <w:r>
      <w:instrText xml:space="preserve"> StyleRef A_Symbol </w:instrText>
    </w:r>
    <w:r>
      <w:fldChar w:fldCharType="separate"/>
    </w:r>
    <w:r w:rsidR="00A836B3">
      <w:rPr>
        <w:noProof/>
      </w:rPr>
      <w:t>UNEP/MC/COP.6/Dec.1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6B3"/>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36C17E12-C77E-465C-B3B2-13A78B5D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33</TotalTime>
  <Pages>3</Pages>
  <Words>886</Words>
  <Characters>5052</Characters>
  <Application>Microsoft Office Word</Application>
  <DocSecurity>0</DocSecurity>
  <PresentationFormat/>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5927</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11</cp:revision>
  <cp:lastPrinted>2026-01-27T13:32:00Z</cp:lastPrinted>
  <dcterms:created xsi:type="dcterms:W3CDTF">2026-03-18T10:27:00Z</dcterms:created>
  <dcterms:modified xsi:type="dcterms:W3CDTF">2026-04-15T10:40:00Z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