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AF82FB" w14:textId="4C661F9A" w:rsidR="00EB41E1" w:rsidRPr="00752413" w:rsidRDefault="00EB41E1" w:rsidP="00EB41E1">
      <w:pPr>
        <w:spacing w:after="60"/>
        <w:jc w:val="right"/>
        <w:rPr>
          <w:rFonts w:ascii="Roboto" w:hAnsi="Roboto"/>
          <w:b/>
          <w:bCs/>
          <w:sz w:val="20"/>
          <w:szCs w:val="20"/>
        </w:rPr>
      </w:pPr>
      <w:bookmarkStart w:id="0" w:name="_GoBack"/>
      <w:bookmarkEnd w:id="0"/>
      <w:r w:rsidRPr="00752413">
        <w:rPr>
          <w:rFonts w:ascii="Roboto" w:hAnsi="Roboto"/>
          <w:b/>
          <w:bCs/>
          <w:sz w:val="20"/>
          <w:szCs w:val="20"/>
        </w:rPr>
        <w:t>Annex</w:t>
      </w:r>
    </w:p>
    <w:p w14:paraId="5C815D78" w14:textId="2548674C" w:rsidR="00917055" w:rsidRPr="00752413" w:rsidRDefault="00CB77B9">
      <w:pPr>
        <w:spacing w:after="60"/>
        <w:jc w:val="center"/>
        <w:rPr>
          <w:rFonts w:ascii="Roboto" w:hAnsi="Roboto"/>
          <w:sz w:val="20"/>
          <w:szCs w:val="20"/>
        </w:rPr>
      </w:pPr>
      <w:r w:rsidRPr="00752413">
        <w:rPr>
          <w:rFonts w:ascii="Roboto" w:hAnsi="Roboto"/>
          <w:b/>
          <w:bCs/>
          <w:sz w:val="20"/>
          <w:szCs w:val="20"/>
        </w:rPr>
        <w:t>Minamata Convention on Mercury</w:t>
      </w:r>
    </w:p>
    <w:p w14:paraId="5C815D79" w14:textId="77777777" w:rsidR="00917055" w:rsidRPr="00D93C5A" w:rsidRDefault="00EE01C2">
      <w:pPr>
        <w:spacing w:after="60"/>
        <w:jc w:val="center"/>
        <w:rPr>
          <w:rFonts w:ascii="Roboto" w:hAnsi="Roboto"/>
          <w:sz w:val="20"/>
          <w:szCs w:val="20"/>
        </w:rPr>
      </w:pPr>
      <w:r w:rsidRPr="00D93C5A">
        <w:rPr>
          <w:rFonts w:ascii="Roboto" w:hAnsi="Roboto"/>
          <w:b/>
          <w:bCs/>
          <w:sz w:val="20"/>
          <w:szCs w:val="20"/>
        </w:rPr>
        <w:t>Third Review of the Financial Mechanism</w:t>
      </w:r>
    </w:p>
    <w:p w14:paraId="19387EBB" w14:textId="0AE2C59F" w:rsidR="00752413" w:rsidRDefault="00EE01C2" w:rsidP="00752413">
      <w:pPr>
        <w:pBdr>
          <w:bottom w:val="single" w:sz="6" w:space="8" w:color="1F4E79"/>
        </w:pBdr>
        <w:spacing w:after="200"/>
        <w:jc w:val="center"/>
        <w:rPr>
          <w:rFonts w:ascii="Roboto" w:hAnsi="Roboto"/>
          <w:sz w:val="20"/>
          <w:szCs w:val="20"/>
        </w:rPr>
      </w:pPr>
      <w:r w:rsidRPr="00D93C5A">
        <w:rPr>
          <w:rFonts w:ascii="Roboto" w:hAnsi="Roboto"/>
          <w:sz w:val="20"/>
          <w:szCs w:val="20"/>
        </w:rPr>
        <w:t xml:space="preserve">Template for the </w:t>
      </w:r>
      <w:r w:rsidR="00A075D6">
        <w:rPr>
          <w:rFonts w:ascii="Roboto" w:hAnsi="Roboto"/>
          <w:sz w:val="20"/>
          <w:szCs w:val="20"/>
        </w:rPr>
        <w:t>s</w:t>
      </w:r>
      <w:r w:rsidRPr="00D93C5A">
        <w:rPr>
          <w:rFonts w:ascii="Roboto" w:hAnsi="Roboto"/>
          <w:sz w:val="20"/>
          <w:szCs w:val="20"/>
        </w:rPr>
        <w:t xml:space="preserve">ubmission of </w:t>
      </w:r>
      <w:r w:rsidR="00A075D6">
        <w:rPr>
          <w:rFonts w:ascii="Roboto" w:hAnsi="Roboto"/>
          <w:sz w:val="20"/>
          <w:szCs w:val="20"/>
        </w:rPr>
        <w:t>i</w:t>
      </w:r>
      <w:r w:rsidRPr="00D93C5A">
        <w:rPr>
          <w:rFonts w:ascii="Roboto" w:hAnsi="Roboto"/>
          <w:sz w:val="20"/>
          <w:szCs w:val="20"/>
        </w:rPr>
        <w:t xml:space="preserve">nformation by Parties and </w:t>
      </w:r>
      <w:r w:rsidR="00A075D6">
        <w:rPr>
          <w:rFonts w:ascii="Roboto" w:hAnsi="Roboto"/>
          <w:sz w:val="20"/>
          <w:szCs w:val="20"/>
        </w:rPr>
        <w:t>s</w:t>
      </w:r>
      <w:r w:rsidRPr="00D93C5A">
        <w:rPr>
          <w:rFonts w:ascii="Roboto" w:hAnsi="Roboto"/>
          <w:sz w:val="20"/>
          <w:szCs w:val="20"/>
        </w:rPr>
        <w:t>takeholders</w:t>
      </w:r>
    </w:p>
    <w:p w14:paraId="26085AF8" w14:textId="2853AE50" w:rsidR="00735369" w:rsidRDefault="00735369" w:rsidP="49342E10">
      <w:pPr>
        <w:pBdr>
          <w:bottom w:val="single" w:sz="6" w:space="8" w:color="1F4E79"/>
        </w:pBdr>
        <w:spacing w:after="200"/>
        <w:rPr>
          <w:rFonts w:ascii="Roboto" w:hAnsi="Roboto"/>
          <w:sz w:val="20"/>
          <w:szCs w:val="20"/>
        </w:rPr>
      </w:pPr>
      <w:r w:rsidRPr="00735369">
        <w:rPr>
          <w:rFonts w:ascii="Roboto" w:hAnsi="Roboto"/>
          <w:sz w:val="20"/>
          <w:szCs w:val="20"/>
        </w:rPr>
        <w:t>1.</w:t>
      </w:r>
      <w:r>
        <w:rPr>
          <w:rFonts w:ascii="Roboto" w:hAnsi="Roboto"/>
          <w:sz w:val="20"/>
          <w:szCs w:val="20"/>
        </w:rPr>
        <w:t xml:space="preserve"> </w:t>
      </w:r>
      <w:r w:rsidRPr="00735369">
        <w:rPr>
          <w:rFonts w:ascii="Roboto" w:hAnsi="Roboto"/>
          <w:sz w:val="20"/>
          <w:szCs w:val="20"/>
        </w:rPr>
        <w:t xml:space="preserve">In paragraph 5 of article 13 on financial resources and mechanism, the Minamata Convention on Mercury defines a mechanism for the provision of adequate, predictable and timely financial resources to support developing-country parties and parties with economies in transition in implementing their obligations under the Convention. Paragraph 6 of the same article states that the mechanism is to include the Global Environment Facility (GEF) trust fund and </w:t>
      </w:r>
      <w:r w:rsidR="00684ED7">
        <w:rPr>
          <w:rFonts w:ascii="Roboto" w:hAnsi="Roboto"/>
          <w:sz w:val="20"/>
          <w:szCs w:val="20"/>
        </w:rPr>
        <w:t>the</w:t>
      </w:r>
      <w:r w:rsidRPr="00735369">
        <w:rPr>
          <w:rFonts w:ascii="Roboto" w:hAnsi="Roboto"/>
          <w:sz w:val="20"/>
          <w:szCs w:val="20"/>
        </w:rPr>
        <w:t xml:space="preserve"> </w:t>
      </w:r>
      <w:r w:rsidR="00684ED7">
        <w:rPr>
          <w:rFonts w:ascii="Roboto" w:hAnsi="Roboto"/>
          <w:sz w:val="20"/>
          <w:szCs w:val="20"/>
        </w:rPr>
        <w:t>S</w:t>
      </w:r>
      <w:r w:rsidRPr="00735369">
        <w:rPr>
          <w:rFonts w:ascii="Roboto" w:hAnsi="Roboto"/>
          <w:sz w:val="20"/>
          <w:szCs w:val="20"/>
        </w:rPr>
        <w:t xml:space="preserve">pecific </w:t>
      </w:r>
      <w:r w:rsidR="00684ED7">
        <w:rPr>
          <w:rFonts w:ascii="Roboto" w:hAnsi="Roboto"/>
          <w:sz w:val="20"/>
          <w:szCs w:val="20"/>
        </w:rPr>
        <w:t>I</w:t>
      </w:r>
      <w:r w:rsidRPr="00735369">
        <w:rPr>
          <w:rFonts w:ascii="Roboto" w:hAnsi="Roboto"/>
          <w:sz w:val="20"/>
          <w:szCs w:val="20"/>
        </w:rPr>
        <w:t xml:space="preserve">nternational </w:t>
      </w:r>
      <w:r w:rsidR="00684ED7">
        <w:rPr>
          <w:rFonts w:ascii="Roboto" w:hAnsi="Roboto"/>
          <w:sz w:val="20"/>
          <w:szCs w:val="20"/>
        </w:rPr>
        <w:t>P</w:t>
      </w:r>
      <w:r w:rsidRPr="00735369">
        <w:rPr>
          <w:rFonts w:ascii="Roboto" w:hAnsi="Roboto"/>
          <w:sz w:val="20"/>
          <w:szCs w:val="20"/>
        </w:rPr>
        <w:t>rogramme to support capacity-building and technical assistance</w:t>
      </w:r>
      <w:r w:rsidR="00FE6905">
        <w:rPr>
          <w:rFonts w:ascii="Roboto" w:hAnsi="Roboto"/>
          <w:sz w:val="20"/>
          <w:szCs w:val="20"/>
        </w:rPr>
        <w:t xml:space="preserve"> (SIP)</w:t>
      </w:r>
      <w:r w:rsidRPr="00735369">
        <w:rPr>
          <w:rFonts w:ascii="Roboto" w:hAnsi="Roboto"/>
          <w:sz w:val="20"/>
          <w:szCs w:val="20"/>
        </w:rPr>
        <w:t>.</w:t>
      </w:r>
    </w:p>
    <w:p w14:paraId="4477A6EA" w14:textId="77777777" w:rsidR="00501A04" w:rsidRDefault="00735369" w:rsidP="49342E10">
      <w:pPr>
        <w:pBdr>
          <w:bottom w:val="single" w:sz="6" w:space="8" w:color="1F4E79"/>
        </w:pBdr>
        <w:spacing w:after="200"/>
        <w:rPr>
          <w:rFonts w:ascii="Roboto" w:hAnsi="Roboto"/>
          <w:sz w:val="20"/>
          <w:szCs w:val="20"/>
        </w:rPr>
      </w:pPr>
      <w:r>
        <w:rPr>
          <w:rFonts w:ascii="Roboto" w:hAnsi="Roboto"/>
          <w:sz w:val="20"/>
          <w:szCs w:val="20"/>
        </w:rPr>
        <w:t xml:space="preserve">2. </w:t>
      </w:r>
      <w:r w:rsidR="00EE01C2" w:rsidRPr="49342E10">
        <w:rPr>
          <w:rFonts w:ascii="Roboto" w:hAnsi="Roboto"/>
          <w:sz w:val="20"/>
          <w:szCs w:val="20"/>
        </w:rPr>
        <w:t>In accordance with decision MC-6/11 of the Conference of the Parties to the Minamata Convention on Mercury, Parties, intergovernmental organizations, non-governmental organizations and stakeholders are invited to submit information on their experience gained through their interactions with the financial mechanism</w:t>
      </w:r>
      <w:r w:rsidR="00162B3F">
        <w:rPr>
          <w:rFonts w:ascii="Roboto" w:hAnsi="Roboto"/>
          <w:sz w:val="20"/>
          <w:szCs w:val="20"/>
        </w:rPr>
        <w:t xml:space="preserve"> of the Convention</w:t>
      </w:r>
      <w:r w:rsidR="00EE01C2" w:rsidRPr="49342E10">
        <w:rPr>
          <w:rFonts w:ascii="Roboto" w:hAnsi="Roboto"/>
          <w:sz w:val="20"/>
          <w:szCs w:val="20"/>
        </w:rPr>
        <w:t>, consistent with the terms of reference for the third review.</w:t>
      </w:r>
      <w:r w:rsidR="00501A04">
        <w:rPr>
          <w:rFonts w:ascii="Roboto" w:hAnsi="Roboto"/>
          <w:sz w:val="20"/>
          <w:szCs w:val="20"/>
        </w:rPr>
        <w:t xml:space="preserve"> </w:t>
      </w:r>
    </w:p>
    <w:p w14:paraId="077503D8" w14:textId="12F6101A" w:rsidR="00752413" w:rsidRDefault="00501A04" w:rsidP="49342E10">
      <w:pPr>
        <w:pBdr>
          <w:bottom w:val="single" w:sz="6" w:space="8" w:color="1F4E79"/>
        </w:pBdr>
        <w:spacing w:after="200"/>
        <w:rPr>
          <w:rFonts w:ascii="Roboto" w:hAnsi="Roboto"/>
          <w:sz w:val="20"/>
          <w:szCs w:val="20"/>
        </w:rPr>
      </w:pPr>
      <w:r>
        <w:rPr>
          <w:rFonts w:ascii="Roboto" w:hAnsi="Roboto"/>
          <w:sz w:val="20"/>
          <w:szCs w:val="20"/>
        </w:rPr>
        <w:t xml:space="preserve">3. </w:t>
      </w:r>
      <w:r w:rsidRPr="00501A04">
        <w:rPr>
          <w:rFonts w:ascii="Roboto" w:hAnsi="Roboto"/>
          <w:sz w:val="20"/>
          <w:szCs w:val="20"/>
        </w:rPr>
        <w:t>The terms of reference are informed by the respective mandates of GEF and the Specific International Programme for their support for the Minamata Convention on Mercury, as set forth in article 13 of the Convention, and in relevant decisions of the Conference of the Parties (see decision</w:t>
      </w:r>
      <w:r w:rsidR="00C8198B">
        <w:rPr>
          <w:rFonts w:ascii="Roboto" w:hAnsi="Roboto"/>
          <w:sz w:val="20"/>
          <w:szCs w:val="20"/>
        </w:rPr>
        <w:t>s</w:t>
      </w:r>
      <w:r w:rsidRPr="00501A04">
        <w:rPr>
          <w:rFonts w:ascii="Roboto" w:hAnsi="Roboto"/>
          <w:sz w:val="20"/>
          <w:szCs w:val="20"/>
        </w:rPr>
        <w:t xml:space="preserve"> </w:t>
      </w:r>
      <w:hyperlink r:id="rId10" w:history="1">
        <w:r w:rsidRPr="0070318A">
          <w:rPr>
            <w:rStyle w:val="Hyperlink"/>
            <w:rFonts w:ascii="Roboto" w:hAnsi="Roboto"/>
            <w:sz w:val="20"/>
            <w:szCs w:val="20"/>
          </w:rPr>
          <w:t>MC-1/5</w:t>
        </w:r>
      </w:hyperlink>
      <w:r w:rsidR="00705F99">
        <w:rPr>
          <w:rFonts w:ascii="Roboto" w:hAnsi="Roboto"/>
          <w:sz w:val="20"/>
          <w:szCs w:val="20"/>
        </w:rPr>
        <w:t xml:space="preserve">, </w:t>
      </w:r>
      <w:hyperlink r:id="rId11" w:history="1">
        <w:r w:rsidR="00705F99" w:rsidRPr="0070318A">
          <w:rPr>
            <w:rStyle w:val="Hyperlink"/>
            <w:rFonts w:ascii="Roboto" w:hAnsi="Roboto"/>
            <w:sz w:val="20"/>
            <w:szCs w:val="20"/>
          </w:rPr>
          <w:t>MC-5/7</w:t>
        </w:r>
      </w:hyperlink>
      <w:r w:rsidR="00705F99">
        <w:rPr>
          <w:rFonts w:ascii="Roboto" w:hAnsi="Roboto"/>
          <w:sz w:val="20"/>
          <w:szCs w:val="20"/>
        </w:rPr>
        <w:t>,</w:t>
      </w:r>
      <w:r w:rsidR="000732DD">
        <w:rPr>
          <w:rFonts w:ascii="Roboto" w:hAnsi="Roboto"/>
          <w:sz w:val="20"/>
          <w:szCs w:val="20"/>
        </w:rPr>
        <w:t xml:space="preserve"> </w:t>
      </w:r>
      <w:hyperlink r:id="rId12" w:history="1">
        <w:r w:rsidR="000732DD" w:rsidRPr="0070318A">
          <w:rPr>
            <w:rStyle w:val="Hyperlink"/>
            <w:rFonts w:ascii="Roboto" w:hAnsi="Roboto"/>
            <w:sz w:val="20"/>
            <w:szCs w:val="20"/>
          </w:rPr>
          <w:t>MC-5/</w:t>
        </w:r>
        <w:r w:rsidR="000732DD">
          <w:rPr>
            <w:rStyle w:val="Hyperlink"/>
            <w:rFonts w:ascii="Roboto" w:hAnsi="Roboto"/>
            <w:sz w:val="20"/>
            <w:szCs w:val="20"/>
          </w:rPr>
          <w:t>11,</w:t>
        </w:r>
      </w:hyperlink>
      <w:r w:rsidR="007C7391">
        <w:rPr>
          <w:rFonts w:ascii="Roboto" w:hAnsi="Roboto"/>
          <w:sz w:val="20"/>
          <w:szCs w:val="20"/>
        </w:rPr>
        <w:t xml:space="preserve"> and </w:t>
      </w:r>
      <w:hyperlink r:id="rId13" w:history="1">
        <w:r w:rsidR="007C7391" w:rsidRPr="00745C58">
          <w:rPr>
            <w:rStyle w:val="Hyperlink"/>
            <w:rFonts w:ascii="Roboto" w:hAnsi="Roboto"/>
            <w:sz w:val="20"/>
            <w:szCs w:val="20"/>
          </w:rPr>
          <w:t>MC-6/10</w:t>
        </w:r>
      </w:hyperlink>
      <w:r w:rsidRPr="00501A04">
        <w:rPr>
          <w:rFonts w:ascii="Roboto" w:hAnsi="Roboto"/>
          <w:sz w:val="20"/>
          <w:szCs w:val="20"/>
        </w:rPr>
        <w:t xml:space="preserve">, on guidance to GEF, and decision </w:t>
      </w:r>
      <w:hyperlink r:id="rId14" w:history="1">
        <w:r w:rsidRPr="00784774">
          <w:rPr>
            <w:rStyle w:val="Hyperlink"/>
            <w:rFonts w:ascii="Roboto" w:hAnsi="Roboto"/>
            <w:sz w:val="20"/>
            <w:szCs w:val="20"/>
          </w:rPr>
          <w:t>MC 1/6</w:t>
        </w:r>
      </w:hyperlink>
      <w:r w:rsidRPr="00501A04">
        <w:rPr>
          <w:rFonts w:ascii="Roboto" w:hAnsi="Roboto"/>
          <w:sz w:val="20"/>
          <w:szCs w:val="20"/>
        </w:rPr>
        <w:t>, on the Specific International Programme).</w:t>
      </w:r>
    </w:p>
    <w:p w14:paraId="577BDE71" w14:textId="6C563BDB" w:rsidR="000171EF" w:rsidRPr="0010185D" w:rsidRDefault="008C667A" w:rsidP="49342E10">
      <w:pPr>
        <w:pBdr>
          <w:bottom w:val="single" w:sz="6" w:space="8" w:color="1F4E79"/>
        </w:pBdr>
        <w:spacing w:after="200"/>
        <w:rPr>
          <w:rFonts w:ascii="Roboto" w:hAnsi="Roboto"/>
          <w:sz w:val="20"/>
          <w:szCs w:val="20"/>
          <w:lang w:val="en-GB"/>
        </w:rPr>
      </w:pPr>
      <w:r>
        <w:rPr>
          <w:rFonts w:ascii="Roboto" w:hAnsi="Roboto"/>
          <w:sz w:val="20"/>
          <w:szCs w:val="20"/>
          <w:lang w:val="en-GB"/>
        </w:rPr>
        <w:t>4</w:t>
      </w:r>
      <w:r w:rsidR="000171EF">
        <w:rPr>
          <w:rFonts w:ascii="Roboto" w:hAnsi="Roboto"/>
          <w:sz w:val="20"/>
          <w:szCs w:val="20"/>
          <w:lang w:val="en-GB"/>
        </w:rPr>
        <w:t xml:space="preserve">. </w:t>
      </w:r>
      <w:r w:rsidR="000171EF" w:rsidRPr="000171EF">
        <w:rPr>
          <w:rFonts w:ascii="Roboto" w:hAnsi="Roboto"/>
          <w:sz w:val="20"/>
          <w:szCs w:val="20"/>
          <w:lang w:val="en-GB"/>
        </w:rPr>
        <w:t xml:space="preserve">The </w:t>
      </w:r>
      <w:r w:rsidR="000171EF">
        <w:rPr>
          <w:rFonts w:ascii="Roboto" w:hAnsi="Roboto"/>
          <w:sz w:val="20"/>
          <w:szCs w:val="20"/>
          <w:lang w:val="en-GB"/>
        </w:rPr>
        <w:t>third</w:t>
      </w:r>
      <w:r w:rsidR="00A87A92">
        <w:rPr>
          <w:rFonts w:ascii="Roboto" w:hAnsi="Roboto"/>
          <w:sz w:val="20"/>
          <w:szCs w:val="20"/>
          <w:lang w:val="en-GB"/>
        </w:rPr>
        <w:t xml:space="preserve"> </w:t>
      </w:r>
      <w:r w:rsidR="000171EF" w:rsidRPr="000171EF">
        <w:rPr>
          <w:rFonts w:ascii="Roboto" w:hAnsi="Roboto"/>
          <w:sz w:val="20"/>
          <w:szCs w:val="20"/>
          <w:lang w:val="en-GB"/>
        </w:rPr>
        <w:t xml:space="preserve">review of the financial mechanism will be of use in the development of GEF projects and programmes within the funding allocation and programming directions of the </w:t>
      </w:r>
      <w:r w:rsidR="00A87A92">
        <w:rPr>
          <w:rFonts w:ascii="Roboto" w:hAnsi="Roboto"/>
          <w:sz w:val="20"/>
          <w:szCs w:val="20"/>
          <w:lang w:val="en-GB"/>
        </w:rPr>
        <w:t xml:space="preserve">ninth </w:t>
      </w:r>
      <w:r w:rsidR="000171EF" w:rsidRPr="000171EF">
        <w:rPr>
          <w:rFonts w:ascii="Roboto" w:hAnsi="Roboto"/>
          <w:sz w:val="20"/>
          <w:szCs w:val="20"/>
          <w:lang w:val="en-GB"/>
        </w:rPr>
        <w:t>GEF replenishment period, and for future rounds of the Specific International Programme.</w:t>
      </w:r>
    </w:p>
    <w:p w14:paraId="2E25DBA2" w14:textId="203D4897" w:rsidR="007A32D8" w:rsidRDefault="003930A9" w:rsidP="00752413">
      <w:pPr>
        <w:pBdr>
          <w:bottom w:val="single" w:sz="6" w:space="8" w:color="1F4E79"/>
        </w:pBdr>
        <w:spacing w:after="200"/>
        <w:rPr>
          <w:rFonts w:ascii="Roboto" w:hAnsi="Roboto"/>
          <w:sz w:val="20"/>
          <w:szCs w:val="20"/>
        </w:rPr>
      </w:pPr>
      <w:r>
        <w:rPr>
          <w:rFonts w:ascii="Roboto" w:hAnsi="Roboto"/>
          <w:sz w:val="20"/>
          <w:szCs w:val="20"/>
        </w:rPr>
        <w:t xml:space="preserve">5. </w:t>
      </w:r>
      <w:r w:rsidR="00EE01C2" w:rsidRPr="00D93C5A">
        <w:rPr>
          <w:rFonts w:ascii="Roboto" w:hAnsi="Roboto"/>
          <w:sz w:val="20"/>
          <w:szCs w:val="20"/>
        </w:rPr>
        <w:t xml:space="preserve">Submissions should be communicated to the Secretariat by email </w:t>
      </w:r>
      <w:hyperlink r:id="rId15" w:history="1">
        <w:r w:rsidR="00C61936" w:rsidRPr="00535D18">
          <w:rPr>
            <w:rStyle w:val="Hyperlink"/>
            <w:rFonts w:ascii="Roboto" w:hAnsi="Roboto"/>
            <w:sz w:val="20"/>
            <w:szCs w:val="20"/>
          </w:rPr>
          <w:t>mea-minamatasecretariat@un.org</w:t>
        </w:r>
      </w:hyperlink>
      <w:r w:rsidR="001C0A40">
        <w:rPr>
          <w:rFonts w:ascii="Roboto" w:hAnsi="Roboto"/>
          <w:sz w:val="20"/>
          <w:szCs w:val="20"/>
        </w:rPr>
        <w:t xml:space="preserve">, </w:t>
      </w:r>
      <w:r w:rsidR="00EE01C2" w:rsidRPr="00D93C5A">
        <w:rPr>
          <w:rFonts w:ascii="Roboto" w:hAnsi="Roboto"/>
          <w:sz w:val="20"/>
          <w:szCs w:val="20"/>
        </w:rPr>
        <w:t xml:space="preserve">with copies to </w:t>
      </w:r>
      <w:hyperlink r:id="rId16" w:history="1">
        <w:r w:rsidR="00C61936" w:rsidRPr="00535D18">
          <w:rPr>
            <w:rStyle w:val="Hyperlink"/>
            <w:rFonts w:ascii="Roboto" w:hAnsi="Roboto"/>
            <w:sz w:val="20"/>
            <w:szCs w:val="20"/>
          </w:rPr>
          <w:t>brenda.koekkoek@un.org</w:t>
        </w:r>
      </w:hyperlink>
      <w:r w:rsidR="00C61936">
        <w:rPr>
          <w:rFonts w:ascii="Roboto" w:hAnsi="Roboto"/>
          <w:sz w:val="20"/>
          <w:szCs w:val="20"/>
        </w:rPr>
        <w:t xml:space="preserve"> </w:t>
      </w:r>
      <w:r w:rsidR="00EE01C2" w:rsidRPr="00D93C5A">
        <w:rPr>
          <w:rFonts w:ascii="Roboto" w:hAnsi="Roboto"/>
          <w:sz w:val="20"/>
          <w:szCs w:val="20"/>
        </w:rPr>
        <w:t xml:space="preserve">and </w:t>
      </w:r>
      <w:hyperlink r:id="rId17" w:history="1">
        <w:r w:rsidR="00C61936" w:rsidRPr="00535D18">
          <w:rPr>
            <w:rStyle w:val="Hyperlink"/>
            <w:rFonts w:ascii="Roboto" w:hAnsi="Roboto"/>
            <w:sz w:val="20"/>
            <w:szCs w:val="20"/>
          </w:rPr>
          <w:t>alexander.romanov@un.org</w:t>
        </w:r>
      </w:hyperlink>
      <w:r w:rsidR="00EE01C2" w:rsidRPr="00D93C5A">
        <w:rPr>
          <w:rFonts w:ascii="Roboto" w:hAnsi="Roboto"/>
          <w:sz w:val="20"/>
          <w:szCs w:val="20"/>
        </w:rPr>
        <w:t xml:space="preserve">, </w:t>
      </w:r>
      <w:r w:rsidR="00FE2860" w:rsidRPr="00FE2860">
        <w:rPr>
          <w:rFonts w:ascii="Roboto" w:hAnsi="Roboto"/>
          <w:sz w:val="20"/>
          <w:szCs w:val="20"/>
        </w:rPr>
        <w:t>by</w:t>
      </w:r>
      <w:r w:rsidR="00EE01C2" w:rsidRPr="00C61936">
        <w:rPr>
          <w:rFonts w:ascii="Roboto" w:hAnsi="Roboto"/>
          <w:b/>
          <w:bCs/>
          <w:sz w:val="20"/>
          <w:szCs w:val="20"/>
        </w:rPr>
        <w:t xml:space="preserve"> 30 April 2026</w:t>
      </w:r>
      <w:r w:rsidR="00EE01C2" w:rsidRPr="00D93C5A">
        <w:rPr>
          <w:rFonts w:ascii="Roboto" w:hAnsi="Roboto"/>
          <w:sz w:val="20"/>
          <w:szCs w:val="20"/>
        </w:rPr>
        <w:t>.</w:t>
      </w:r>
    </w:p>
    <w:p w14:paraId="5C815D7E" w14:textId="56410AF6" w:rsidR="00917055" w:rsidRPr="00D93C5A" w:rsidRDefault="00EE01C2">
      <w:pPr>
        <w:pStyle w:val="Heading1"/>
        <w:rPr>
          <w:rFonts w:ascii="Roboto" w:hAnsi="Roboto"/>
          <w:color w:val="auto"/>
          <w:sz w:val="20"/>
          <w:szCs w:val="20"/>
        </w:rPr>
      </w:pPr>
      <w:r w:rsidRPr="00D93C5A">
        <w:rPr>
          <w:rFonts w:ascii="Roboto" w:hAnsi="Roboto"/>
          <w:color w:val="auto"/>
          <w:sz w:val="20"/>
          <w:szCs w:val="20"/>
        </w:rPr>
        <w:t>Section I: Identification of the Submitting Entity</w:t>
      </w:r>
    </w:p>
    <w:p w14:paraId="5C815D7F" w14:textId="77777777" w:rsidR="00917055" w:rsidRPr="00D93C5A" w:rsidRDefault="00EE01C2">
      <w:pPr>
        <w:spacing w:after="80"/>
        <w:rPr>
          <w:rFonts w:ascii="Roboto" w:hAnsi="Roboto"/>
          <w:sz w:val="20"/>
          <w:szCs w:val="20"/>
        </w:rPr>
      </w:pPr>
      <w:r w:rsidRPr="00D93C5A">
        <w:rPr>
          <w:rFonts w:ascii="Roboto" w:hAnsi="Roboto"/>
          <w:i/>
          <w:iCs/>
          <w:sz w:val="20"/>
          <w:szCs w:val="20"/>
        </w:rPr>
        <w:t>Please complete the following information to identify the entity making this submission.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5826"/>
      </w:tblGrid>
      <w:tr w:rsidR="00CB77B9" w:rsidRPr="00D93C5A" w14:paraId="5C815D82" w14:textId="77777777" w:rsidTr="007433C0">
        <w:trPr>
          <w:trHeight w:val="385"/>
        </w:trPr>
        <w:tc>
          <w:tcPr>
            <w:tcW w:w="32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C815D80" w14:textId="77777777" w:rsidR="00917055" w:rsidRPr="00D93C5A" w:rsidRDefault="00EE01C2">
            <w:pPr>
              <w:rPr>
                <w:rFonts w:ascii="Roboto" w:hAnsi="Roboto"/>
                <w:sz w:val="20"/>
                <w:szCs w:val="20"/>
              </w:rPr>
            </w:pPr>
            <w:r w:rsidRPr="00D93C5A">
              <w:rPr>
                <w:rFonts w:ascii="Roboto" w:hAnsi="Roboto"/>
                <w:b/>
                <w:bCs/>
                <w:sz w:val="20"/>
                <w:szCs w:val="20"/>
              </w:rPr>
              <w:t>Name of Party / Organization</w:t>
            </w:r>
          </w:p>
        </w:tc>
        <w:tc>
          <w:tcPr>
            <w:tcW w:w="5826"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24C14EBF" w14:textId="77777777" w:rsidR="00F81606" w:rsidRDefault="00F81606" w:rsidP="00F81606">
            <w:r>
              <w:t xml:space="preserve">Environmental Authority  </w:t>
            </w:r>
          </w:p>
          <w:p w14:paraId="5C815D81" w14:textId="5A9F1A50" w:rsidR="00917055" w:rsidRPr="00D93C5A" w:rsidRDefault="00917055">
            <w:pPr>
              <w:rPr>
                <w:rFonts w:ascii="Roboto" w:hAnsi="Roboto"/>
                <w:sz w:val="20"/>
                <w:szCs w:val="20"/>
              </w:rPr>
            </w:pPr>
          </w:p>
        </w:tc>
      </w:tr>
      <w:tr w:rsidR="00CB77B9" w:rsidRPr="00D93C5A" w14:paraId="5C815D85" w14:textId="77777777" w:rsidTr="00CB77B9">
        <w:tc>
          <w:tcPr>
            <w:tcW w:w="32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C815D83" w14:textId="77777777" w:rsidR="00917055" w:rsidRPr="00D93C5A" w:rsidRDefault="00EE01C2">
            <w:pPr>
              <w:rPr>
                <w:rFonts w:ascii="Roboto" w:hAnsi="Roboto"/>
                <w:sz w:val="20"/>
                <w:szCs w:val="20"/>
              </w:rPr>
            </w:pPr>
            <w:r w:rsidRPr="00D93C5A">
              <w:rPr>
                <w:rFonts w:ascii="Roboto" w:hAnsi="Roboto"/>
                <w:b/>
                <w:bCs/>
                <w:sz w:val="20"/>
                <w:szCs w:val="20"/>
              </w:rPr>
              <w:t>Type of Entity</w:t>
            </w:r>
          </w:p>
        </w:tc>
        <w:tc>
          <w:tcPr>
            <w:tcW w:w="5826"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C815D84" w14:textId="675E4C20" w:rsidR="00917055" w:rsidRPr="00F81606" w:rsidRDefault="00F81606" w:rsidP="00F81606">
            <w:r>
              <w:t xml:space="preserve">Government </w:t>
            </w:r>
          </w:p>
        </w:tc>
      </w:tr>
      <w:tr w:rsidR="00CB77B9" w:rsidRPr="00D93C5A" w14:paraId="5C815D88" w14:textId="77777777" w:rsidTr="00CB77B9">
        <w:tc>
          <w:tcPr>
            <w:tcW w:w="32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C815D86" w14:textId="77777777" w:rsidR="00917055" w:rsidRPr="00D93C5A" w:rsidRDefault="00EE01C2">
            <w:pPr>
              <w:rPr>
                <w:rFonts w:ascii="Roboto" w:hAnsi="Roboto"/>
                <w:sz w:val="20"/>
                <w:szCs w:val="20"/>
              </w:rPr>
            </w:pPr>
            <w:r w:rsidRPr="00D93C5A">
              <w:rPr>
                <w:rFonts w:ascii="Roboto" w:hAnsi="Roboto"/>
                <w:b/>
                <w:bCs/>
                <w:sz w:val="20"/>
                <w:szCs w:val="20"/>
              </w:rPr>
              <w:t>Contact Person</w:t>
            </w:r>
          </w:p>
        </w:tc>
        <w:tc>
          <w:tcPr>
            <w:tcW w:w="5826"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C815D87" w14:textId="7191466A" w:rsidR="00917055" w:rsidRPr="00F81606" w:rsidRDefault="00F81606" w:rsidP="00F81606">
            <w:pPr>
              <w:rPr>
                <w:sz w:val="24"/>
                <w:szCs w:val="24"/>
              </w:rPr>
            </w:pPr>
            <w:r>
              <w:rPr>
                <w:sz w:val="24"/>
                <w:szCs w:val="24"/>
              </w:rPr>
              <w:t>Director of Chemicals and Waste Management Department</w:t>
            </w:r>
          </w:p>
        </w:tc>
      </w:tr>
      <w:tr w:rsidR="00CB77B9" w:rsidRPr="00D93C5A" w14:paraId="5C815D8B" w14:textId="77777777" w:rsidTr="00CB77B9">
        <w:tc>
          <w:tcPr>
            <w:tcW w:w="32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C815D89" w14:textId="77777777" w:rsidR="00917055" w:rsidRPr="00D93C5A" w:rsidRDefault="00EE01C2">
            <w:pPr>
              <w:rPr>
                <w:rFonts w:ascii="Roboto" w:hAnsi="Roboto"/>
                <w:sz w:val="20"/>
                <w:szCs w:val="20"/>
              </w:rPr>
            </w:pPr>
            <w:r w:rsidRPr="00D93C5A">
              <w:rPr>
                <w:rFonts w:ascii="Roboto" w:hAnsi="Roboto"/>
                <w:b/>
                <w:bCs/>
                <w:sz w:val="20"/>
                <w:szCs w:val="20"/>
              </w:rPr>
              <w:t>Email Address</w:t>
            </w:r>
          </w:p>
        </w:tc>
        <w:tc>
          <w:tcPr>
            <w:tcW w:w="5826"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C815D8A" w14:textId="0F3939FB" w:rsidR="00917055" w:rsidRPr="00F81606" w:rsidRDefault="00392547" w:rsidP="00F81606">
            <w:pPr>
              <w:rPr>
                <w:lang w:bidi="ar-OM"/>
              </w:rPr>
            </w:pPr>
            <w:hyperlink r:id="rId18" w:history="1">
              <w:r w:rsidR="00F81606" w:rsidRPr="00EE6E86">
                <w:rPr>
                  <w:rStyle w:val="Hyperlink"/>
                  <w:lang w:bidi="ar-OM"/>
                </w:rPr>
                <w:t>chemical_dept@ea.gov.om</w:t>
              </w:r>
            </w:hyperlink>
          </w:p>
        </w:tc>
      </w:tr>
      <w:tr w:rsidR="00CB77B9" w:rsidRPr="00D93C5A" w14:paraId="5C815D8E" w14:textId="77777777" w:rsidTr="00CB77B9">
        <w:tc>
          <w:tcPr>
            <w:tcW w:w="3200"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C815D8C" w14:textId="77777777" w:rsidR="00917055" w:rsidRPr="00D93C5A" w:rsidRDefault="00EE01C2">
            <w:pPr>
              <w:rPr>
                <w:rFonts w:ascii="Roboto" w:hAnsi="Roboto"/>
                <w:sz w:val="20"/>
                <w:szCs w:val="20"/>
              </w:rPr>
            </w:pPr>
            <w:r w:rsidRPr="00D93C5A">
              <w:rPr>
                <w:rFonts w:ascii="Roboto" w:hAnsi="Roboto"/>
                <w:b/>
                <w:bCs/>
                <w:sz w:val="20"/>
                <w:szCs w:val="20"/>
              </w:rPr>
              <w:t>Date of Submission</w:t>
            </w:r>
          </w:p>
        </w:tc>
        <w:tc>
          <w:tcPr>
            <w:tcW w:w="5826" w:type="dxa"/>
            <w:tcBorders>
              <w:top w:val="single" w:sz="1" w:space="0" w:color="AAAAAA"/>
              <w:left w:val="single" w:sz="1" w:space="0" w:color="AAAAAA"/>
              <w:bottom w:val="single" w:sz="1" w:space="0" w:color="AAAAAA"/>
              <w:right w:val="single" w:sz="1" w:space="0" w:color="AAAAAA"/>
            </w:tcBorders>
            <w:tcMar>
              <w:top w:w="80" w:type="dxa"/>
              <w:left w:w="120" w:type="dxa"/>
              <w:bottom w:w="80" w:type="dxa"/>
              <w:right w:w="120" w:type="dxa"/>
            </w:tcMar>
          </w:tcPr>
          <w:p w14:paraId="5C815D8D" w14:textId="05D38B8E" w:rsidR="00917055" w:rsidRPr="00F81606" w:rsidRDefault="00F81606" w:rsidP="00F81606">
            <w:pPr>
              <w:rPr>
                <w:lang w:bidi="ar-OM"/>
              </w:rPr>
            </w:pPr>
            <w:r>
              <w:rPr>
                <w:lang w:bidi="ar-OM"/>
              </w:rPr>
              <w:t>29/4/2026</w:t>
            </w:r>
          </w:p>
        </w:tc>
      </w:tr>
    </w:tbl>
    <w:p w14:paraId="5C815D90" w14:textId="7D67B0D0" w:rsidR="00917055" w:rsidRPr="00D93C5A" w:rsidRDefault="00EE01C2">
      <w:pPr>
        <w:pStyle w:val="Heading1"/>
        <w:rPr>
          <w:rFonts w:ascii="Roboto" w:hAnsi="Roboto"/>
          <w:color w:val="auto"/>
          <w:sz w:val="20"/>
          <w:szCs w:val="20"/>
        </w:rPr>
      </w:pPr>
      <w:r w:rsidRPr="00D93C5A">
        <w:rPr>
          <w:rFonts w:ascii="Roboto" w:hAnsi="Roboto"/>
          <w:color w:val="auto"/>
          <w:sz w:val="20"/>
          <w:szCs w:val="20"/>
        </w:rPr>
        <w:t>Section II: Executive Summary</w:t>
      </w:r>
    </w:p>
    <w:p w14:paraId="5C815D91" w14:textId="77777777" w:rsidR="00917055" w:rsidRPr="00D93C5A" w:rsidRDefault="00EE01C2">
      <w:pPr>
        <w:spacing w:after="80"/>
        <w:rPr>
          <w:rFonts w:ascii="Roboto" w:hAnsi="Roboto"/>
          <w:sz w:val="20"/>
          <w:szCs w:val="20"/>
        </w:rPr>
      </w:pPr>
      <w:r w:rsidRPr="00D93C5A">
        <w:rPr>
          <w:rFonts w:ascii="Roboto" w:hAnsi="Roboto"/>
          <w:i/>
          <w:iCs/>
          <w:sz w:val="20"/>
          <w:szCs w:val="20"/>
        </w:rPr>
        <w:t>Please provide a brief overview of your experience with the financial mechanism (recommended length: 250–500 words).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CB77B9" w:rsidRPr="00D93C5A" w14:paraId="5C815D9B" w14:textId="77777777">
        <w:tc>
          <w:tcPr>
            <w:tcW w:w="9026"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40" w:type="dxa"/>
              <w:bottom w:w="100" w:type="dxa"/>
              <w:right w:w="140" w:type="dxa"/>
            </w:tcMar>
          </w:tcPr>
          <w:p w14:paraId="06C7D39E" w14:textId="21861350" w:rsidR="00F81606" w:rsidRDefault="00F81606" w:rsidP="00EF5E64">
            <w:pPr>
              <w:pStyle w:val="NormalWeb"/>
              <w:jc w:val="both"/>
            </w:pPr>
            <w:r>
              <w:t xml:space="preserve">The Sultanate of Oman’s engagement with the financial mechanism of the </w:t>
            </w:r>
            <w:r w:rsidRPr="00EF5E64">
              <w:t>Minamata Convention on Mercury</w:t>
            </w:r>
            <w:r w:rsidR="00EF5E64" w:rsidRPr="00EF5E64">
              <w:t xml:space="preserve"> </w:t>
            </w:r>
            <w:r w:rsidR="00EF5E64">
              <w:t>as t</w:t>
            </w:r>
            <w:r w:rsidR="00EF5E64" w:rsidRPr="00EF5E64">
              <w:t>he Sultanate received funding from GF to implement the MIA project, which was carried out with the participation of various stakeholders in partnership with the private sector.</w:t>
            </w:r>
            <w:r w:rsidR="00EF5E64">
              <w:t xml:space="preserve"> This </w:t>
            </w:r>
            <w:r>
              <w:t>has supported initial efforts to strengthen national capacity in mercury management and align with international environmental commitments.</w:t>
            </w:r>
          </w:p>
          <w:p w14:paraId="5C815D9A" w14:textId="3FC725B8" w:rsidR="00917055" w:rsidRPr="007433C0" w:rsidRDefault="00F81606" w:rsidP="00EF5E64">
            <w:pPr>
              <w:pStyle w:val="NormalWeb"/>
              <w:jc w:val="both"/>
            </w:pPr>
            <w:r>
              <w:t xml:space="preserve">Through the </w:t>
            </w:r>
            <w:r>
              <w:rPr>
                <w:rStyle w:val="whitespace-normal"/>
              </w:rPr>
              <w:t>Global Environment Facility</w:t>
            </w:r>
            <w:r>
              <w:t xml:space="preserve">, Oman has benefited from technical and financial support in areas such as preliminary mercury inventory development. These efforts have </w:t>
            </w:r>
            <w:r w:rsidR="00EF5E64">
              <w:lastRenderedPageBreak/>
              <w:t>contributed to build</w:t>
            </w:r>
            <w:r>
              <w:t xml:space="preserve"> a foundational understanding of mercury sources, uses, and potential environmental impacts within the country.</w:t>
            </w:r>
          </w:p>
        </w:tc>
      </w:tr>
    </w:tbl>
    <w:p w14:paraId="5C815D9C" w14:textId="77777777" w:rsidR="00917055" w:rsidRPr="00D93C5A" w:rsidRDefault="00917055">
      <w:pPr>
        <w:spacing w:after="200"/>
        <w:rPr>
          <w:rFonts w:ascii="Roboto" w:hAnsi="Roboto"/>
          <w:sz w:val="20"/>
          <w:szCs w:val="20"/>
        </w:rPr>
      </w:pPr>
    </w:p>
    <w:p w14:paraId="5C815D9D" w14:textId="59226048" w:rsidR="00917055" w:rsidRPr="00D93C5A" w:rsidRDefault="00EE01C2">
      <w:pPr>
        <w:pStyle w:val="Heading1"/>
        <w:rPr>
          <w:rFonts w:ascii="Roboto" w:hAnsi="Roboto"/>
          <w:color w:val="auto"/>
          <w:sz w:val="20"/>
          <w:szCs w:val="20"/>
        </w:rPr>
      </w:pPr>
      <w:r w:rsidRPr="00D93C5A">
        <w:rPr>
          <w:rFonts w:ascii="Roboto" w:hAnsi="Roboto"/>
          <w:color w:val="auto"/>
          <w:sz w:val="20"/>
          <w:szCs w:val="20"/>
        </w:rPr>
        <w:t>Section III: Information Organized by Performance Criteria</w:t>
      </w:r>
    </w:p>
    <w:p w14:paraId="5C815D9E" w14:textId="77777777" w:rsidR="00917055" w:rsidRPr="00D93C5A" w:rsidRDefault="00EE01C2">
      <w:pPr>
        <w:spacing w:after="120"/>
        <w:jc w:val="both"/>
        <w:rPr>
          <w:rFonts w:ascii="Roboto" w:hAnsi="Roboto"/>
          <w:sz w:val="20"/>
          <w:szCs w:val="20"/>
        </w:rPr>
      </w:pPr>
      <w:r w:rsidRPr="00D93C5A">
        <w:rPr>
          <w:rFonts w:ascii="Roboto" w:hAnsi="Roboto"/>
          <w:sz w:val="20"/>
          <w:szCs w:val="20"/>
        </w:rPr>
        <w:t>In accordance with the terms of reference for the third review of the financial mechanism (Annex to decision MC-6/11), Parties and stakeholders are invited to provide information organized according to the following performance criteria.</w:t>
      </w:r>
    </w:p>
    <w:p w14:paraId="5C815D9F" w14:textId="77777777" w:rsidR="00917055" w:rsidRPr="00D93C5A" w:rsidRDefault="00917055">
      <w:pPr>
        <w:spacing w:after="120"/>
        <w:rPr>
          <w:rFonts w:ascii="Roboto" w:hAnsi="Roboto"/>
          <w:sz w:val="20"/>
          <w:szCs w:val="20"/>
        </w:rPr>
      </w:pPr>
    </w:p>
    <w:p w14:paraId="5C815DA0" w14:textId="77777777" w:rsidR="00917055" w:rsidRPr="00D93C5A" w:rsidRDefault="00EE01C2">
      <w:pPr>
        <w:pStyle w:val="Heading2"/>
        <w:rPr>
          <w:rFonts w:ascii="Roboto" w:hAnsi="Roboto"/>
          <w:color w:val="auto"/>
          <w:sz w:val="20"/>
          <w:szCs w:val="20"/>
        </w:rPr>
      </w:pPr>
      <w:r w:rsidRPr="00D93C5A">
        <w:rPr>
          <w:rFonts w:ascii="Roboto" w:hAnsi="Roboto"/>
          <w:color w:val="auto"/>
          <w:sz w:val="20"/>
          <w:szCs w:val="20"/>
        </w:rPr>
        <w:t>Criterion (a): Responsiveness of the GEF and the Specific International Programme</w:t>
      </w:r>
    </w:p>
    <w:p w14:paraId="5C815DA1" w14:textId="77777777" w:rsidR="00917055" w:rsidRPr="00D93C5A" w:rsidRDefault="00EE01C2">
      <w:pPr>
        <w:spacing w:after="80"/>
        <w:rPr>
          <w:rFonts w:ascii="Roboto" w:hAnsi="Roboto"/>
          <w:sz w:val="20"/>
          <w:szCs w:val="20"/>
        </w:rPr>
      </w:pPr>
      <w:r w:rsidRPr="00D93C5A">
        <w:rPr>
          <w:rFonts w:ascii="Roboto" w:hAnsi="Roboto"/>
          <w:i/>
          <w:iCs/>
          <w:sz w:val="20"/>
          <w:szCs w:val="20"/>
        </w:rPr>
        <w:t>Please describe your experience with the responsiveness of the Global Environment Facility (GEF) and/or the Specific International Programme (SIP) to guidance adopted by or provided by the Conference of the Parties. You may wish to address the alignment of funded projects with COP decisions, strategic priorities, and the needs of your country or region.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CB77B9" w:rsidRPr="00D93C5A" w14:paraId="5C815DAB" w14:textId="77777777">
        <w:tc>
          <w:tcPr>
            <w:tcW w:w="9026"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40" w:type="dxa"/>
              <w:bottom w:w="100" w:type="dxa"/>
              <w:right w:w="140" w:type="dxa"/>
            </w:tcMar>
          </w:tcPr>
          <w:p w14:paraId="0443A6CD" w14:textId="43A7DFCB" w:rsidR="00F81606" w:rsidRDefault="00F81606" w:rsidP="007433C0">
            <w:pPr>
              <w:pStyle w:val="NormalWeb"/>
              <w:jc w:val="both"/>
            </w:pPr>
            <w:r>
              <w:t xml:space="preserve">The responsiveness of the </w:t>
            </w:r>
            <w:r>
              <w:rPr>
                <w:rStyle w:val="whitespace-normal"/>
              </w:rPr>
              <w:t>Global Environment Facility</w:t>
            </w:r>
            <w:r>
              <w:t xml:space="preserve"> has been generally positive in addressing the needs and priorities of the Sultanate of Oman under the </w:t>
            </w:r>
            <w:r>
              <w:rPr>
                <w:rStyle w:val="whitespace-normal"/>
              </w:rPr>
              <w:t>Minamata Convention on Mercury</w:t>
            </w:r>
            <w:r>
              <w:t>.</w:t>
            </w:r>
          </w:p>
          <w:p w14:paraId="5C815DAA" w14:textId="2BB0C5A1" w:rsidR="00917055" w:rsidRPr="007433C0" w:rsidRDefault="00F81606" w:rsidP="004074E0">
            <w:pPr>
              <w:pStyle w:val="NormalWeb"/>
              <w:jc w:val="both"/>
            </w:pPr>
            <w:r>
              <w:t xml:space="preserve">The </w:t>
            </w:r>
            <w:r>
              <w:rPr>
                <w:rStyle w:val="whitespace-normal"/>
              </w:rPr>
              <w:t>Global Environment Facility</w:t>
            </w:r>
            <w:r>
              <w:t xml:space="preserve"> has demonstrated responsiveness by aligning its funding support with national priorities, particularly in the areas of mercury inventory development, institutional strengthening, and technical</w:t>
            </w:r>
            <w:r w:rsidR="007433C0">
              <w:t xml:space="preserve"> capacity-building.</w:t>
            </w:r>
          </w:p>
        </w:tc>
      </w:tr>
    </w:tbl>
    <w:p w14:paraId="5C815DAC" w14:textId="77777777" w:rsidR="00917055" w:rsidRPr="00D93C5A" w:rsidRDefault="00917055">
      <w:pPr>
        <w:spacing w:after="200"/>
        <w:rPr>
          <w:rFonts w:ascii="Roboto" w:hAnsi="Roboto"/>
          <w:sz w:val="20"/>
          <w:szCs w:val="20"/>
        </w:rPr>
      </w:pPr>
    </w:p>
    <w:p w14:paraId="41E8DA49" w14:textId="77777777" w:rsidR="00EB41E1" w:rsidRDefault="00EB41E1">
      <w:pPr>
        <w:pStyle w:val="Heading2"/>
        <w:rPr>
          <w:rFonts w:ascii="Roboto" w:hAnsi="Roboto"/>
          <w:color w:val="auto"/>
          <w:sz w:val="20"/>
          <w:szCs w:val="20"/>
        </w:rPr>
      </w:pPr>
    </w:p>
    <w:p w14:paraId="5C815DAD" w14:textId="42F81275" w:rsidR="00917055" w:rsidRPr="00D93C5A" w:rsidRDefault="00EE01C2">
      <w:pPr>
        <w:pStyle w:val="Heading2"/>
        <w:rPr>
          <w:rFonts w:ascii="Roboto" w:hAnsi="Roboto"/>
          <w:color w:val="auto"/>
          <w:sz w:val="20"/>
          <w:szCs w:val="20"/>
        </w:rPr>
      </w:pPr>
      <w:r w:rsidRPr="00D93C5A">
        <w:rPr>
          <w:rFonts w:ascii="Roboto" w:hAnsi="Roboto"/>
          <w:color w:val="auto"/>
          <w:sz w:val="20"/>
          <w:szCs w:val="20"/>
        </w:rPr>
        <w:t>Criterion (b): Impact on mercury supply, use, emissions and releases</w:t>
      </w:r>
    </w:p>
    <w:p w14:paraId="5C815DAE" w14:textId="77777777" w:rsidR="00917055" w:rsidRPr="00D93C5A" w:rsidRDefault="00EE01C2">
      <w:pPr>
        <w:spacing w:after="80"/>
        <w:rPr>
          <w:rFonts w:ascii="Roboto" w:hAnsi="Roboto"/>
          <w:sz w:val="20"/>
          <w:szCs w:val="20"/>
        </w:rPr>
      </w:pPr>
      <w:r w:rsidRPr="00D93C5A">
        <w:rPr>
          <w:rFonts w:ascii="Roboto" w:hAnsi="Roboto"/>
          <w:i/>
          <w:iCs/>
          <w:sz w:val="20"/>
          <w:szCs w:val="20"/>
        </w:rPr>
        <w:t>Please describe the extent to which projects funded by the financial mechanism have reduced, or are expected to reduce, the supply, use, emissions and releases of mercury, and deliver other benefits in terms of Convention implementation. Where possible, please provide specific examples and quantitative data.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CB77B9" w:rsidRPr="00D93C5A" w14:paraId="5C815DB8" w14:textId="77777777">
        <w:tc>
          <w:tcPr>
            <w:tcW w:w="9026"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40" w:type="dxa"/>
              <w:bottom w:w="100" w:type="dxa"/>
              <w:right w:w="140" w:type="dxa"/>
            </w:tcMar>
          </w:tcPr>
          <w:p w14:paraId="0835CD02" w14:textId="217673F2" w:rsidR="00F81606" w:rsidRDefault="00F81606" w:rsidP="004074E0">
            <w:pPr>
              <w:spacing w:before="100" w:beforeAutospacing="1" w:after="100" w:afterAutospacing="1"/>
              <w:rPr>
                <w:rFonts w:ascii="Times New Roman" w:eastAsia="Times New Roman" w:hAnsi="Times New Roman" w:cs="Times New Roman"/>
                <w:sz w:val="24"/>
                <w:szCs w:val="24"/>
              </w:rPr>
            </w:pPr>
            <w:r w:rsidRPr="00961566">
              <w:rPr>
                <w:rFonts w:ascii="Times New Roman" w:eastAsia="Times New Roman" w:hAnsi="Times New Roman" w:cs="Times New Roman"/>
                <w:sz w:val="24"/>
                <w:szCs w:val="24"/>
              </w:rPr>
              <w:t xml:space="preserve">The financial mechanism of the Minamata Convention on </w:t>
            </w:r>
            <w:r w:rsidR="004074E0">
              <w:rPr>
                <w:rFonts w:ascii="Times New Roman" w:eastAsia="Times New Roman" w:hAnsi="Times New Roman" w:cs="Times New Roman"/>
                <w:sz w:val="24"/>
                <w:szCs w:val="24"/>
              </w:rPr>
              <w:t>implementing MIA project</w:t>
            </w:r>
            <w:r w:rsidRPr="00961566">
              <w:rPr>
                <w:rFonts w:ascii="Times New Roman" w:eastAsia="Times New Roman" w:hAnsi="Times New Roman" w:cs="Times New Roman"/>
                <w:sz w:val="24"/>
                <w:szCs w:val="24"/>
              </w:rPr>
              <w:t>, through support from the Global Environment Facility, has contributed to foundational progress in addressing mercury supply, use, emissions, and releases in the Sultanate of Oman.</w:t>
            </w:r>
          </w:p>
          <w:p w14:paraId="13067443" w14:textId="77777777" w:rsidR="00F81606" w:rsidRPr="0035711D" w:rsidRDefault="00F81606" w:rsidP="00F81606">
            <w:pPr>
              <w:spacing w:before="100" w:beforeAutospacing="1" w:after="100" w:afterAutospacing="1"/>
              <w:rPr>
                <w:rFonts w:ascii="Times New Roman" w:eastAsia="Times New Roman" w:hAnsi="Times New Roman" w:cs="Times New Roman"/>
                <w:sz w:val="24"/>
                <w:szCs w:val="24"/>
              </w:rPr>
            </w:pPr>
            <w:r w:rsidRPr="00961566">
              <w:rPr>
                <w:rFonts w:ascii="Times New Roman" w:eastAsia="Times New Roman" w:hAnsi="Times New Roman" w:cs="Times New Roman"/>
                <w:b/>
                <w:bCs/>
                <w:sz w:val="24"/>
                <w:szCs w:val="24"/>
              </w:rPr>
              <w:t>1. Mercury Supply</w:t>
            </w:r>
          </w:p>
          <w:p w14:paraId="79A6DA18" w14:textId="77777777" w:rsidR="00F81606" w:rsidRDefault="00F81606" w:rsidP="00F81606">
            <w:pPr>
              <w:spacing w:before="100" w:beforeAutospacing="1" w:after="100" w:afterAutospacing="1"/>
              <w:rPr>
                <w:rFonts w:ascii="Times New Roman" w:eastAsia="Times New Roman" w:hAnsi="Times New Roman" w:cs="Times New Roman"/>
                <w:sz w:val="24"/>
                <w:szCs w:val="24"/>
              </w:rPr>
            </w:pPr>
            <w:r w:rsidRPr="00961566">
              <w:rPr>
                <w:rFonts w:ascii="Times New Roman" w:eastAsia="Times New Roman" w:hAnsi="Times New Roman" w:cs="Times New Roman"/>
                <w:sz w:val="24"/>
                <w:szCs w:val="24"/>
              </w:rPr>
              <w:t>Support has enabled the development of preliminary national understanding of mercury sources and supply chains. This has strengthened awareness of imported mercury and mercury-added products, supporting early steps toward inventory development and control measures.</w:t>
            </w:r>
          </w:p>
          <w:p w14:paraId="1109CDEC" w14:textId="77777777" w:rsidR="00F81606" w:rsidRPr="0035711D" w:rsidRDefault="00F81606" w:rsidP="00F81606">
            <w:pPr>
              <w:spacing w:before="100" w:beforeAutospacing="1" w:after="100" w:afterAutospacing="1"/>
              <w:rPr>
                <w:rFonts w:ascii="Times New Roman" w:eastAsia="Times New Roman" w:hAnsi="Times New Roman" w:cs="Times New Roman"/>
                <w:sz w:val="24"/>
                <w:szCs w:val="24"/>
              </w:rPr>
            </w:pPr>
            <w:r w:rsidRPr="00961566">
              <w:rPr>
                <w:rFonts w:ascii="Times New Roman" w:eastAsia="Times New Roman" w:hAnsi="Times New Roman" w:cs="Times New Roman"/>
                <w:b/>
                <w:bCs/>
                <w:sz w:val="24"/>
                <w:szCs w:val="24"/>
              </w:rPr>
              <w:t>2. Mercury Use</w:t>
            </w:r>
          </w:p>
          <w:p w14:paraId="402D8C4F" w14:textId="77777777" w:rsidR="00F81606" w:rsidRDefault="00F81606" w:rsidP="00F81606">
            <w:pPr>
              <w:spacing w:before="100" w:beforeAutospacing="1" w:after="100" w:afterAutospacing="1"/>
              <w:rPr>
                <w:rFonts w:ascii="Times New Roman" w:eastAsia="Times New Roman" w:hAnsi="Times New Roman" w:cs="Times New Roman"/>
                <w:sz w:val="24"/>
                <w:szCs w:val="24"/>
              </w:rPr>
            </w:pPr>
            <w:r w:rsidRPr="00961566">
              <w:rPr>
                <w:rFonts w:ascii="Times New Roman" w:eastAsia="Times New Roman" w:hAnsi="Times New Roman" w:cs="Times New Roman"/>
                <w:sz w:val="24"/>
                <w:szCs w:val="24"/>
              </w:rPr>
              <w:t>Capacity-building activities have improved national knowledge of mercury use in industrial processes and products. This has supported the identification of priority sectors and encouraged movement toward safer alternatives and reduced reliance on mercury-containing materials.</w:t>
            </w:r>
          </w:p>
          <w:p w14:paraId="2E6C87AB" w14:textId="77777777" w:rsidR="00F81606" w:rsidRPr="0035711D" w:rsidRDefault="00F81606" w:rsidP="00F81606">
            <w:pPr>
              <w:spacing w:before="100" w:beforeAutospacing="1" w:after="100" w:afterAutospacing="1"/>
              <w:rPr>
                <w:rFonts w:ascii="Times New Roman" w:eastAsia="Times New Roman" w:hAnsi="Times New Roman" w:cs="Times New Roman"/>
                <w:sz w:val="24"/>
                <w:szCs w:val="24"/>
              </w:rPr>
            </w:pPr>
            <w:r w:rsidRPr="00961566">
              <w:rPr>
                <w:rFonts w:ascii="Times New Roman" w:eastAsia="Times New Roman" w:hAnsi="Times New Roman" w:cs="Times New Roman"/>
                <w:b/>
                <w:bCs/>
                <w:sz w:val="24"/>
                <w:szCs w:val="24"/>
              </w:rPr>
              <w:t>3. Emissions</w:t>
            </w:r>
          </w:p>
          <w:p w14:paraId="79E5E454" w14:textId="0826C342" w:rsidR="00F81606" w:rsidRDefault="00F81606" w:rsidP="00DC0945">
            <w:pPr>
              <w:spacing w:before="100" w:beforeAutospacing="1" w:after="100" w:afterAutospacing="1"/>
              <w:rPr>
                <w:rFonts w:ascii="Times New Roman" w:eastAsia="Times New Roman" w:hAnsi="Times New Roman" w:cs="Times New Roman"/>
                <w:sz w:val="24"/>
                <w:szCs w:val="24"/>
              </w:rPr>
            </w:pPr>
            <w:r w:rsidRPr="00961566">
              <w:rPr>
                <w:rFonts w:ascii="Times New Roman" w:eastAsia="Times New Roman" w:hAnsi="Times New Roman" w:cs="Times New Roman"/>
                <w:sz w:val="24"/>
                <w:szCs w:val="24"/>
              </w:rPr>
              <w:lastRenderedPageBreak/>
              <w:t>Technical assistance has contributed to building institutional awareness of mercury emissions from relevant sectors. While large-scale emission reduction measures are still in early stages, the groundwork has been established for future adoption of Best Available Techniques (BAT) and Best Environmental Practices (BEP).</w:t>
            </w:r>
          </w:p>
          <w:p w14:paraId="03756D1F" w14:textId="77777777" w:rsidR="00F81606" w:rsidRPr="0035711D" w:rsidRDefault="00F81606" w:rsidP="00F81606">
            <w:pPr>
              <w:spacing w:before="100" w:beforeAutospacing="1" w:after="100" w:afterAutospacing="1"/>
              <w:rPr>
                <w:rFonts w:ascii="Times New Roman" w:eastAsia="Times New Roman" w:hAnsi="Times New Roman" w:cs="Times New Roman"/>
                <w:sz w:val="24"/>
                <w:szCs w:val="24"/>
              </w:rPr>
            </w:pPr>
            <w:r w:rsidRPr="00961566">
              <w:rPr>
                <w:rFonts w:ascii="Times New Roman" w:eastAsia="Times New Roman" w:hAnsi="Times New Roman" w:cs="Times New Roman"/>
                <w:b/>
                <w:bCs/>
                <w:sz w:val="24"/>
                <w:szCs w:val="24"/>
              </w:rPr>
              <w:t>4. Releases to Environment</w:t>
            </w:r>
          </w:p>
          <w:p w14:paraId="5C815DB7" w14:textId="3A5827AC" w:rsidR="00F81606" w:rsidRPr="00DC0945" w:rsidRDefault="00F81606" w:rsidP="00DC0945">
            <w:pPr>
              <w:spacing w:before="100" w:beforeAutospacing="1" w:after="100" w:afterAutospacing="1"/>
              <w:rPr>
                <w:rFonts w:ascii="Times New Roman" w:eastAsia="Times New Roman" w:hAnsi="Times New Roman" w:cs="Times New Roman"/>
                <w:sz w:val="24"/>
                <w:szCs w:val="24"/>
              </w:rPr>
            </w:pPr>
            <w:r w:rsidRPr="00961566">
              <w:rPr>
                <w:rFonts w:ascii="Times New Roman" w:eastAsia="Times New Roman" w:hAnsi="Times New Roman" w:cs="Times New Roman"/>
                <w:sz w:val="24"/>
                <w:szCs w:val="24"/>
              </w:rPr>
              <w:t>Initial assessments supported through the financial mechanism have improved understanding of potential releases of mercury to air, water, and soil. This includes identification of key pathways and sectors contributing to environmental contamination, forming the basis for future mitigation strategies.</w:t>
            </w:r>
          </w:p>
        </w:tc>
      </w:tr>
    </w:tbl>
    <w:p w14:paraId="5C815DB9" w14:textId="77777777" w:rsidR="00917055" w:rsidRPr="00D93C5A" w:rsidRDefault="00917055">
      <w:pPr>
        <w:spacing w:after="200"/>
        <w:rPr>
          <w:rFonts w:ascii="Roboto" w:hAnsi="Roboto"/>
          <w:sz w:val="20"/>
          <w:szCs w:val="20"/>
        </w:rPr>
      </w:pPr>
    </w:p>
    <w:p w14:paraId="49916651" w14:textId="77777777" w:rsidR="00EB41E1" w:rsidRDefault="00EB41E1">
      <w:pPr>
        <w:pStyle w:val="Heading2"/>
        <w:rPr>
          <w:rFonts w:ascii="Roboto" w:hAnsi="Roboto"/>
          <w:color w:val="auto"/>
          <w:sz w:val="20"/>
          <w:szCs w:val="20"/>
        </w:rPr>
      </w:pPr>
    </w:p>
    <w:p w14:paraId="5C815DBA" w14:textId="1D0AFCD0" w:rsidR="00917055" w:rsidRPr="00D93C5A" w:rsidRDefault="00EE01C2">
      <w:pPr>
        <w:pStyle w:val="Heading2"/>
        <w:rPr>
          <w:rFonts w:ascii="Roboto" w:hAnsi="Roboto"/>
          <w:color w:val="auto"/>
          <w:sz w:val="20"/>
          <w:szCs w:val="20"/>
        </w:rPr>
      </w:pPr>
      <w:r w:rsidRPr="00D93C5A">
        <w:rPr>
          <w:rFonts w:ascii="Roboto" w:hAnsi="Roboto"/>
          <w:color w:val="auto"/>
          <w:sz w:val="20"/>
          <w:szCs w:val="20"/>
        </w:rPr>
        <w:t>Criterion (c): Transparency and timeliness of project approval processes</w:t>
      </w:r>
    </w:p>
    <w:p w14:paraId="5C815DBB" w14:textId="77777777" w:rsidR="00917055" w:rsidRPr="00D93C5A" w:rsidRDefault="00EE01C2">
      <w:pPr>
        <w:spacing w:after="80"/>
        <w:rPr>
          <w:rFonts w:ascii="Roboto" w:hAnsi="Roboto"/>
          <w:sz w:val="20"/>
          <w:szCs w:val="20"/>
        </w:rPr>
      </w:pPr>
      <w:r w:rsidRPr="00D93C5A">
        <w:rPr>
          <w:rFonts w:ascii="Roboto" w:hAnsi="Roboto"/>
          <w:i/>
          <w:iCs/>
          <w:sz w:val="20"/>
          <w:szCs w:val="20"/>
        </w:rPr>
        <w:t>Please describe your experience with the transparency and timeliness of project approval processes under the financial mechanism. You may wish to address the clarity of decision-making procedures, communication with applicants, and the duration of the approval process.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CB77B9" w:rsidRPr="00D93C5A" w14:paraId="5C815DC5" w14:textId="77777777">
        <w:tc>
          <w:tcPr>
            <w:tcW w:w="9026"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40" w:type="dxa"/>
              <w:bottom w:w="100" w:type="dxa"/>
              <w:right w:w="140" w:type="dxa"/>
            </w:tcMar>
          </w:tcPr>
          <w:p w14:paraId="5C815DC4" w14:textId="0518BC79" w:rsidR="00047FE4" w:rsidRPr="00F81606" w:rsidRDefault="00F81606" w:rsidP="00A333D9">
            <w:pPr>
              <w:spacing w:before="100" w:beforeAutospacing="1" w:after="100" w:afterAutospacing="1"/>
              <w:jc w:val="both"/>
              <w:rPr>
                <w:rFonts w:ascii="Times New Roman" w:eastAsia="Times New Roman" w:hAnsi="Times New Roman" w:cs="Times New Roman"/>
                <w:sz w:val="24"/>
                <w:szCs w:val="24"/>
              </w:rPr>
            </w:pPr>
            <w:r w:rsidRPr="00122E05">
              <w:rPr>
                <w:rFonts w:ascii="Times New Roman" w:eastAsia="Times New Roman" w:hAnsi="Times New Roman" w:cs="Times New Roman"/>
                <w:sz w:val="24"/>
                <w:szCs w:val="24"/>
              </w:rPr>
              <w:t>The project approval processes under the financial mechanism of the Minamata Convention on Mercury, particularly through the Glob</w:t>
            </w:r>
            <w:r w:rsidR="00047FE4">
              <w:rPr>
                <w:rFonts w:ascii="Times New Roman" w:eastAsia="Times New Roman" w:hAnsi="Times New Roman" w:cs="Times New Roman"/>
                <w:sz w:val="24"/>
                <w:szCs w:val="24"/>
              </w:rPr>
              <w:t xml:space="preserve">al Environment Facility </w:t>
            </w:r>
            <w:r w:rsidRPr="00122E05">
              <w:rPr>
                <w:rFonts w:ascii="Times New Roman" w:eastAsia="Times New Roman" w:hAnsi="Times New Roman" w:cs="Times New Roman"/>
                <w:sz w:val="24"/>
                <w:szCs w:val="24"/>
              </w:rPr>
              <w:t>demonstrated transparency in its operational procedures, particularly in outlining eligibility criteria and supporting documentation for capacity-building requests. Its communication with national focal points has generally supported clarity in expectations and reporting requirements.</w:t>
            </w:r>
          </w:p>
        </w:tc>
      </w:tr>
    </w:tbl>
    <w:p w14:paraId="5C815DC7" w14:textId="77777777" w:rsidR="00917055" w:rsidRPr="00D93C5A" w:rsidRDefault="00EE01C2">
      <w:pPr>
        <w:pStyle w:val="Heading2"/>
        <w:rPr>
          <w:rFonts w:ascii="Roboto" w:hAnsi="Roboto"/>
          <w:color w:val="auto"/>
          <w:sz w:val="20"/>
          <w:szCs w:val="20"/>
          <w:rtl/>
          <w:lang w:bidi="ar-OM"/>
        </w:rPr>
      </w:pPr>
      <w:r w:rsidRPr="00D93C5A">
        <w:rPr>
          <w:rFonts w:ascii="Roboto" w:hAnsi="Roboto"/>
          <w:color w:val="auto"/>
          <w:sz w:val="20"/>
          <w:szCs w:val="20"/>
        </w:rPr>
        <w:t>Criterion (d): Simplicity, flexibility and expeditiousness of procedures</w:t>
      </w:r>
    </w:p>
    <w:p w14:paraId="5C815DC8" w14:textId="77777777" w:rsidR="00917055" w:rsidRPr="00D93C5A" w:rsidRDefault="00EE01C2">
      <w:pPr>
        <w:spacing w:after="80"/>
        <w:rPr>
          <w:rFonts w:ascii="Roboto" w:hAnsi="Roboto"/>
          <w:sz w:val="20"/>
          <w:szCs w:val="20"/>
        </w:rPr>
      </w:pPr>
      <w:r w:rsidRPr="00D93C5A">
        <w:rPr>
          <w:rFonts w:ascii="Roboto" w:hAnsi="Roboto"/>
          <w:i/>
          <w:iCs/>
          <w:sz w:val="20"/>
          <w:szCs w:val="20"/>
        </w:rPr>
        <w:t>Please describe your experience with the simplicity, flexibility and expeditiousness of the procedures for accessing funds and for implementing and reporting on projects. You may wish to address the administrative burden of application, reporting requirements, and any challenges encountered.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CB77B9" w:rsidRPr="00D93C5A" w14:paraId="5C815DD2" w14:textId="77777777" w:rsidTr="00AC0675">
        <w:trPr>
          <w:trHeight w:val="626"/>
        </w:trPr>
        <w:tc>
          <w:tcPr>
            <w:tcW w:w="9026"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40" w:type="dxa"/>
              <w:bottom w:w="100" w:type="dxa"/>
              <w:right w:w="140" w:type="dxa"/>
            </w:tcMar>
          </w:tcPr>
          <w:p w14:paraId="5C815DD1" w14:textId="1BC9EF4F" w:rsidR="00917055" w:rsidRPr="00AC0675" w:rsidRDefault="00AC0675" w:rsidP="00AC067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G</w:t>
            </w:r>
            <w:r w:rsidRPr="00122E05">
              <w:rPr>
                <w:rFonts w:ascii="Times New Roman" w:eastAsia="Times New Roman" w:hAnsi="Times New Roman" w:cs="Times New Roman"/>
                <w:sz w:val="24"/>
                <w:szCs w:val="24"/>
              </w:rPr>
              <w:t xml:space="preserve">enerally </w:t>
            </w:r>
            <w:r>
              <w:rPr>
                <w:rFonts w:ascii="Times New Roman" w:eastAsia="Times New Roman" w:hAnsi="Times New Roman" w:cs="Times New Roman"/>
                <w:sz w:val="24"/>
                <w:szCs w:val="24"/>
              </w:rPr>
              <w:t>it was</w:t>
            </w:r>
            <w:r w:rsidRPr="00122E05">
              <w:rPr>
                <w:rFonts w:ascii="Times New Roman" w:eastAsia="Times New Roman" w:hAnsi="Times New Roman" w:cs="Times New Roman"/>
                <w:sz w:val="24"/>
                <w:szCs w:val="24"/>
              </w:rPr>
              <w:t xml:space="preserve"> more straight</w:t>
            </w:r>
            <w:r>
              <w:rPr>
                <w:rFonts w:ascii="Times New Roman" w:eastAsia="Times New Roman" w:hAnsi="Times New Roman" w:cs="Times New Roman"/>
                <w:sz w:val="24"/>
                <w:szCs w:val="24"/>
              </w:rPr>
              <w:t xml:space="preserve"> </w:t>
            </w:r>
            <w:r w:rsidRPr="00122E05">
              <w:rPr>
                <w:rFonts w:ascii="Times New Roman" w:eastAsia="Times New Roman" w:hAnsi="Times New Roman" w:cs="Times New Roman"/>
                <w:sz w:val="24"/>
                <w:szCs w:val="24"/>
              </w:rPr>
              <w:t>forward procedures for capacity-building support, making it relatively easier for countries to request and receive techni</w:t>
            </w:r>
            <w:r>
              <w:rPr>
                <w:rFonts w:ascii="Times New Roman" w:eastAsia="Times New Roman" w:hAnsi="Times New Roman" w:cs="Times New Roman"/>
                <w:sz w:val="24"/>
                <w:szCs w:val="24"/>
              </w:rPr>
              <w:t>cal assistance</w:t>
            </w:r>
          </w:p>
        </w:tc>
      </w:tr>
    </w:tbl>
    <w:p w14:paraId="5C815DD3" w14:textId="77777777" w:rsidR="00917055" w:rsidRPr="00D93C5A" w:rsidRDefault="00917055">
      <w:pPr>
        <w:spacing w:after="200"/>
        <w:rPr>
          <w:rFonts w:ascii="Roboto" w:hAnsi="Roboto"/>
          <w:sz w:val="20"/>
          <w:szCs w:val="20"/>
        </w:rPr>
      </w:pPr>
    </w:p>
    <w:p w14:paraId="5C815DD4" w14:textId="77777777" w:rsidR="00917055" w:rsidRPr="00D93C5A" w:rsidRDefault="00EE01C2">
      <w:pPr>
        <w:pStyle w:val="Heading2"/>
        <w:rPr>
          <w:rFonts w:ascii="Roboto" w:hAnsi="Roboto"/>
          <w:color w:val="auto"/>
          <w:sz w:val="20"/>
          <w:szCs w:val="20"/>
        </w:rPr>
      </w:pPr>
      <w:r w:rsidRPr="00D93C5A">
        <w:rPr>
          <w:rFonts w:ascii="Roboto" w:hAnsi="Roboto"/>
          <w:color w:val="auto"/>
          <w:sz w:val="20"/>
          <w:szCs w:val="20"/>
        </w:rPr>
        <w:t>Criterion (e): Adequacy of resources</w:t>
      </w:r>
    </w:p>
    <w:p w14:paraId="5C815DD5" w14:textId="77777777" w:rsidR="00917055" w:rsidRPr="00D93C5A" w:rsidRDefault="00EE01C2">
      <w:pPr>
        <w:spacing w:after="80"/>
        <w:rPr>
          <w:rFonts w:ascii="Roboto" w:hAnsi="Roboto"/>
          <w:sz w:val="20"/>
          <w:szCs w:val="20"/>
        </w:rPr>
      </w:pPr>
      <w:r w:rsidRPr="00D93C5A">
        <w:rPr>
          <w:rFonts w:ascii="Roboto" w:hAnsi="Roboto"/>
          <w:i/>
          <w:iCs/>
          <w:sz w:val="20"/>
          <w:szCs w:val="20"/>
        </w:rPr>
        <w:t>Please provide your views on the adequacy of resources available through the financial mechanism to support Convention implementation. You may wish to address whether the level of funding is sufficient to meet identified needs and priorities.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CB77B9" w:rsidRPr="00D93C5A" w14:paraId="5C815DDF" w14:textId="77777777">
        <w:tc>
          <w:tcPr>
            <w:tcW w:w="9026"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40" w:type="dxa"/>
              <w:bottom w:w="100" w:type="dxa"/>
              <w:right w:w="140" w:type="dxa"/>
            </w:tcMar>
          </w:tcPr>
          <w:p w14:paraId="6D8D6AEA" w14:textId="3F8CDE30" w:rsidR="00F81606" w:rsidRDefault="00F81606" w:rsidP="00AB3097">
            <w:pPr>
              <w:spacing w:before="100" w:beforeAutospacing="1" w:after="100" w:afterAutospacing="1"/>
              <w:rPr>
                <w:rFonts w:ascii="Times New Roman" w:eastAsia="Times New Roman" w:hAnsi="Times New Roman" w:cs="Times New Roman"/>
                <w:sz w:val="24"/>
                <w:szCs w:val="24"/>
              </w:rPr>
            </w:pPr>
            <w:r w:rsidRPr="009C273E">
              <w:rPr>
                <w:rFonts w:ascii="Times New Roman" w:eastAsia="Times New Roman" w:hAnsi="Times New Roman" w:cs="Times New Roman"/>
                <w:sz w:val="24"/>
                <w:szCs w:val="24"/>
              </w:rPr>
              <w:t>The adequacy of resources under the financial mechanism of the Minamata Convention on Mercury, primarily through the Global Environment Facility, is generally considered sufficient for initiating and supporting early-stage implementation activities, particularly in developing national capacities.</w:t>
            </w:r>
          </w:p>
          <w:p w14:paraId="654B7FBA" w14:textId="77777777" w:rsidR="00F81606" w:rsidRPr="0035711D" w:rsidRDefault="00F81606" w:rsidP="00F81606">
            <w:pPr>
              <w:spacing w:before="100" w:beforeAutospacing="1" w:after="100" w:afterAutospacing="1"/>
              <w:rPr>
                <w:rFonts w:ascii="Times New Roman" w:eastAsia="Times New Roman" w:hAnsi="Times New Roman" w:cs="Times New Roman"/>
                <w:sz w:val="24"/>
                <w:szCs w:val="24"/>
              </w:rPr>
            </w:pPr>
            <w:r w:rsidRPr="009C273E">
              <w:rPr>
                <w:rFonts w:ascii="Times New Roman" w:eastAsia="Times New Roman" w:hAnsi="Times New Roman" w:cs="Times New Roman"/>
                <w:b/>
                <w:bCs/>
                <w:sz w:val="24"/>
                <w:szCs w:val="24"/>
              </w:rPr>
              <w:t>Financial Resources</w:t>
            </w:r>
          </w:p>
          <w:p w14:paraId="5C815DDE" w14:textId="0B08F231" w:rsidR="00917055" w:rsidRPr="00F81606" w:rsidRDefault="00F81606" w:rsidP="00AB3097">
            <w:pPr>
              <w:spacing w:before="100" w:beforeAutospacing="1" w:after="100" w:afterAutospacing="1"/>
              <w:rPr>
                <w:rFonts w:ascii="Times New Roman" w:eastAsia="Times New Roman" w:hAnsi="Times New Roman" w:cs="Times New Roman"/>
                <w:sz w:val="24"/>
                <w:szCs w:val="24"/>
              </w:rPr>
            </w:pPr>
            <w:r w:rsidRPr="009C273E">
              <w:rPr>
                <w:rFonts w:ascii="Times New Roman" w:eastAsia="Times New Roman" w:hAnsi="Times New Roman" w:cs="Times New Roman"/>
                <w:sz w:val="24"/>
                <w:szCs w:val="24"/>
              </w:rPr>
              <w:t>The Global Environment Facility provides essential grant-based financing that has enabled countries, including the Sultanate of Oman, to undertake foundational activities such as mercury inventories, institutional strengthening, and initial policy development. However, available funding is often limited in scale compared to the full scope of national implementation needs, particularly for large-scale infrastructure or long-term mitigation projects.</w:t>
            </w:r>
          </w:p>
        </w:tc>
      </w:tr>
    </w:tbl>
    <w:p w14:paraId="5C815DE0" w14:textId="77777777" w:rsidR="00917055" w:rsidRPr="00D93C5A" w:rsidRDefault="00917055">
      <w:pPr>
        <w:spacing w:after="200"/>
        <w:rPr>
          <w:rFonts w:ascii="Roboto" w:hAnsi="Roboto"/>
          <w:sz w:val="20"/>
          <w:szCs w:val="20"/>
        </w:rPr>
      </w:pPr>
    </w:p>
    <w:p w14:paraId="5C815DE1" w14:textId="77777777" w:rsidR="00917055" w:rsidRPr="00D93C5A" w:rsidRDefault="00EE01C2">
      <w:pPr>
        <w:pStyle w:val="Heading2"/>
        <w:rPr>
          <w:rFonts w:ascii="Roboto" w:hAnsi="Roboto"/>
          <w:color w:val="auto"/>
          <w:sz w:val="20"/>
          <w:szCs w:val="20"/>
        </w:rPr>
      </w:pPr>
      <w:r w:rsidRPr="00D93C5A">
        <w:rPr>
          <w:rFonts w:ascii="Roboto" w:hAnsi="Roboto"/>
          <w:color w:val="auto"/>
          <w:sz w:val="20"/>
          <w:szCs w:val="20"/>
        </w:rPr>
        <w:lastRenderedPageBreak/>
        <w:t>Criterion (f): Country ownership and sustainability</w:t>
      </w:r>
    </w:p>
    <w:p w14:paraId="5C815DE2" w14:textId="77777777" w:rsidR="00917055" w:rsidRPr="00D93C5A" w:rsidRDefault="00EE01C2">
      <w:pPr>
        <w:spacing w:after="80"/>
        <w:rPr>
          <w:rFonts w:ascii="Roboto" w:hAnsi="Roboto"/>
          <w:sz w:val="20"/>
          <w:szCs w:val="20"/>
        </w:rPr>
      </w:pPr>
      <w:r w:rsidRPr="00D93C5A">
        <w:rPr>
          <w:rFonts w:ascii="Roboto" w:hAnsi="Roboto"/>
          <w:i/>
          <w:iCs/>
          <w:sz w:val="20"/>
          <w:szCs w:val="20"/>
        </w:rPr>
        <w:t>Please describe your experience with the level of country ownership and sustainability of activities funded by the financial mechanism. You may wish to address the involvement of national institutions, alignment with national priorities, and the sustainability of project outcomes beyond the funding period.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CB77B9" w:rsidRPr="00D93C5A" w14:paraId="5C815DEC" w14:textId="77777777" w:rsidTr="007A32D8">
        <w:trPr>
          <w:trHeight w:val="1784"/>
        </w:trPr>
        <w:tc>
          <w:tcPr>
            <w:tcW w:w="9026"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40" w:type="dxa"/>
              <w:bottom w:w="100" w:type="dxa"/>
              <w:right w:w="140" w:type="dxa"/>
            </w:tcMar>
          </w:tcPr>
          <w:p w14:paraId="7B3A6B97" w14:textId="77777777" w:rsidR="00F81606" w:rsidRPr="009C273E" w:rsidRDefault="00F81606" w:rsidP="00F81606">
            <w:pPr>
              <w:spacing w:before="100" w:beforeAutospacing="1" w:after="100" w:afterAutospacing="1"/>
              <w:rPr>
                <w:rFonts w:ascii="Times New Roman" w:eastAsia="Times New Roman" w:hAnsi="Times New Roman" w:cs="Times New Roman"/>
                <w:sz w:val="24"/>
                <w:szCs w:val="24"/>
              </w:rPr>
            </w:pPr>
            <w:r w:rsidRPr="009C273E">
              <w:rPr>
                <w:rFonts w:ascii="Times New Roman" w:eastAsia="Times New Roman" w:hAnsi="Times New Roman" w:cs="Times New Roman"/>
                <w:sz w:val="24"/>
                <w:szCs w:val="24"/>
              </w:rPr>
              <w:t>The Sultanate of Oman has demonstrated increasing national ownership by actively engaging relevant institutions in the implementation of mercury-related activities, including inventory development, regulatory strengthening, and awareness-raising initiatives. National focal points and competent authorities have played a central role in coordinating with international partners and ensuring alignment of activities with national priorities.</w:t>
            </w:r>
          </w:p>
          <w:p w14:paraId="0B3E8A8D" w14:textId="34EBF22C" w:rsidR="00F81606" w:rsidRDefault="00F81606" w:rsidP="00AB3097">
            <w:pPr>
              <w:spacing w:before="100" w:beforeAutospacing="1" w:after="100" w:afterAutospacing="1"/>
              <w:rPr>
                <w:rFonts w:ascii="Times New Roman" w:eastAsia="Times New Roman" w:hAnsi="Times New Roman" w:cs="Times New Roman"/>
                <w:sz w:val="24"/>
                <w:szCs w:val="24"/>
              </w:rPr>
            </w:pPr>
            <w:r w:rsidRPr="009C273E">
              <w:rPr>
                <w:rFonts w:ascii="Times New Roman" w:eastAsia="Times New Roman" w:hAnsi="Times New Roman" w:cs="Times New Roman"/>
                <w:sz w:val="24"/>
                <w:szCs w:val="24"/>
              </w:rPr>
              <w:t>Support from the Global Environment Facility has been instrumental in enabling nationally driven project design and implementation, strengthened institutional engagement through targeted capacity-building and technical assistance.</w:t>
            </w:r>
          </w:p>
          <w:p w14:paraId="7955FF16" w14:textId="77777777" w:rsidR="00F81606" w:rsidRPr="0035711D" w:rsidRDefault="00F81606" w:rsidP="00F81606">
            <w:pPr>
              <w:spacing w:before="100" w:beforeAutospacing="1" w:after="100" w:afterAutospacing="1"/>
              <w:rPr>
                <w:rFonts w:ascii="Times New Roman" w:eastAsia="Times New Roman" w:hAnsi="Times New Roman" w:cs="Times New Roman"/>
                <w:sz w:val="24"/>
                <w:szCs w:val="24"/>
              </w:rPr>
            </w:pPr>
            <w:r w:rsidRPr="009C273E">
              <w:rPr>
                <w:rFonts w:ascii="Times New Roman" w:eastAsia="Times New Roman" w:hAnsi="Times New Roman" w:cs="Times New Roman"/>
                <w:b/>
                <w:bCs/>
                <w:sz w:val="24"/>
                <w:szCs w:val="24"/>
              </w:rPr>
              <w:t>Sustainability</w:t>
            </w:r>
          </w:p>
          <w:p w14:paraId="5C815DEB" w14:textId="0F848BF4" w:rsidR="00917055" w:rsidRPr="00F81606" w:rsidRDefault="00F81606" w:rsidP="00F81606">
            <w:pPr>
              <w:spacing w:before="100" w:beforeAutospacing="1" w:after="100" w:afterAutospacing="1"/>
              <w:rPr>
                <w:rFonts w:ascii="Times New Roman" w:eastAsia="Times New Roman" w:hAnsi="Times New Roman" w:cs="Times New Roman"/>
                <w:sz w:val="24"/>
                <w:szCs w:val="24"/>
              </w:rPr>
            </w:pPr>
            <w:r w:rsidRPr="009C273E">
              <w:rPr>
                <w:rFonts w:ascii="Times New Roman" w:eastAsia="Times New Roman" w:hAnsi="Times New Roman" w:cs="Times New Roman"/>
                <w:sz w:val="24"/>
                <w:szCs w:val="24"/>
              </w:rPr>
              <w:t>Sustainability of outcomes remains a central focus. Initial interventions have contributed to building institutional frameworks, improving technical knowledge, and establishing baseline data systems for mercury management. However, long-term sustainability requires continued integration of mercury management into national policies, environmental strategies, and regulatory systems.</w:t>
            </w:r>
          </w:p>
        </w:tc>
      </w:tr>
    </w:tbl>
    <w:p w14:paraId="5C815DED" w14:textId="77777777" w:rsidR="00917055" w:rsidRPr="00D93C5A" w:rsidRDefault="00917055">
      <w:pPr>
        <w:spacing w:after="200"/>
        <w:rPr>
          <w:rFonts w:ascii="Roboto" w:hAnsi="Roboto"/>
          <w:sz w:val="20"/>
          <w:szCs w:val="20"/>
        </w:rPr>
      </w:pPr>
    </w:p>
    <w:p w14:paraId="5C815DEE" w14:textId="77777777" w:rsidR="00917055" w:rsidRPr="00D93C5A" w:rsidRDefault="00EE01C2">
      <w:pPr>
        <w:pStyle w:val="Heading2"/>
        <w:rPr>
          <w:rFonts w:ascii="Roboto" w:hAnsi="Roboto"/>
          <w:color w:val="auto"/>
          <w:sz w:val="20"/>
          <w:szCs w:val="20"/>
        </w:rPr>
      </w:pPr>
      <w:r w:rsidRPr="00D93C5A">
        <w:rPr>
          <w:rFonts w:ascii="Roboto" w:hAnsi="Roboto"/>
          <w:color w:val="auto"/>
          <w:sz w:val="20"/>
          <w:szCs w:val="20"/>
        </w:rPr>
        <w:t>Criterion (g): Level of stakeholder involvement</w:t>
      </w:r>
    </w:p>
    <w:p w14:paraId="5C815DEF" w14:textId="77777777" w:rsidR="00917055" w:rsidRPr="00D93C5A" w:rsidRDefault="00EE01C2">
      <w:pPr>
        <w:spacing w:after="80"/>
        <w:rPr>
          <w:rFonts w:ascii="Roboto" w:hAnsi="Roboto"/>
          <w:sz w:val="20"/>
          <w:szCs w:val="20"/>
        </w:rPr>
      </w:pPr>
      <w:r w:rsidRPr="00D93C5A">
        <w:rPr>
          <w:rFonts w:ascii="Roboto" w:hAnsi="Roboto"/>
          <w:i/>
          <w:iCs/>
          <w:sz w:val="20"/>
          <w:szCs w:val="20"/>
        </w:rPr>
        <w:t>Please describe your experience with the level of stakeholder involvement in the design, implementation and evaluation of projects funded by the financial mechanism. You may wish to address the participation of civil society, the private sector, indigenous peoples and local communities.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CB77B9" w:rsidRPr="00D93C5A" w14:paraId="5C815DF9" w14:textId="77777777">
        <w:tc>
          <w:tcPr>
            <w:tcW w:w="9026"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40" w:type="dxa"/>
              <w:bottom w:w="100" w:type="dxa"/>
              <w:right w:w="140" w:type="dxa"/>
            </w:tcMar>
          </w:tcPr>
          <w:p w14:paraId="12197D23" w14:textId="77777777" w:rsidR="00F81606" w:rsidRDefault="00F81606" w:rsidP="00F81606">
            <w:pPr>
              <w:spacing w:before="100" w:beforeAutospacing="1" w:after="100" w:afterAutospacing="1"/>
              <w:rPr>
                <w:rFonts w:ascii="Times New Roman" w:eastAsia="Times New Roman" w:hAnsi="Times New Roman" w:cs="Times New Roman"/>
                <w:sz w:val="24"/>
                <w:szCs w:val="24"/>
              </w:rPr>
            </w:pPr>
            <w:r w:rsidRPr="00D73D7F">
              <w:rPr>
                <w:rFonts w:ascii="Times New Roman" w:eastAsia="Times New Roman" w:hAnsi="Times New Roman" w:cs="Times New Roman"/>
                <w:sz w:val="24"/>
                <w:szCs w:val="24"/>
              </w:rPr>
              <w:t>In Oman, stakeholder engagement includes relevant government entities responsible for environmental protection, industry regulation, customs control, and public health. These institutions have been progressively involved in activities such as mercury inventory development, regulatory review, and awareness-raising initiatives. Coordination among national stakeholders has improved through designated focal points and inter-agency collaboration mechanisms.</w:t>
            </w:r>
          </w:p>
          <w:p w14:paraId="76E26FDE" w14:textId="77777777" w:rsidR="00F81606" w:rsidRPr="0035711D" w:rsidRDefault="00F81606" w:rsidP="00F81606">
            <w:pPr>
              <w:spacing w:before="100" w:beforeAutospacing="1" w:after="100" w:afterAutospacing="1"/>
              <w:rPr>
                <w:rFonts w:ascii="Times New Roman" w:eastAsia="Times New Roman" w:hAnsi="Times New Roman" w:cs="Times New Roman"/>
                <w:sz w:val="24"/>
                <w:szCs w:val="24"/>
              </w:rPr>
            </w:pPr>
            <w:r w:rsidRPr="00D73D7F">
              <w:rPr>
                <w:rFonts w:ascii="Times New Roman" w:eastAsia="Times New Roman" w:hAnsi="Times New Roman" w:cs="Times New Roman"/>
                <w:b/>
                <w:bCs/>
                <w:sz w:val="24"/>
                <w:szCs w:val="24"/>
              </w:rPr>
              <w:t>Private Sector Involvement</w:t>
            </w:r>
          </w:p>
          <w:p w14:paraId="67EA94C7" w14:textId="77777777" w:rsidR="00F81606" w:rsidRDefault="00F81606" w:rsidP="00F81606">
            <w:pPr>
              <w:spacing w:before="100" w:beforeAutospacing="1" w:after="100" w:afterAutospacing="1"/>
              <w:rPr>
                <w:rFonts w:ascii="Times New Roman" w:eastAsia="Times New Roman" w:hAnsi="Times New Roman" w:cs="Times New Roman"/>
                <w:sz w:val="24"/>
                <w:szCs w:val="24"/>
              </w:rPr>
            </w:pPr>
            <w:r w:rsidRPr="00D73D7F">
              <w:rPr>
                <w:rFonts w:ascii="Times New Roman" w:eastAsia="Times New Roman" w:hAnsi="Times New Roman" w:cs="Times New Roman"/>
                <w:sz w:val="24"/>
                <w:szCs w:val="24"/>
              </w:rPr>
              <w:t>The private sector’s involvement is gradually increasing, particularly in industries where mercury may be used or encountered. Engagement has mainly focused on compliance awareness, data provision, and participation in consultations related to environmental regulations and best practices.</w:t>
            </w:r>
          </w:p>
          <w:p w14:paraId="2D5A7D52" w14:textId="77777777" w:rsidR="00F81606" w:rsidRPr="0035711D" w:rsidRDefault="00F81606" w:rsidP="00F81606">
            <w:pPr>
              <w:spacing w:before="100" w:beforeAutospacing="1" w:after="100" w:afterAutospacing="1"/>
              <w:rPr>
                <w:rFonts w:ascii="Times New Roman" w:eastAsia="Times New Roman" w:hAnsi="Times New Roman" w:cs="Times New Roman"/>
                <w:sz w:val="24"/>
                <w:szCs w:val="24"/>
              </w:rPr>
            </w:pPr>
            <w:r w:rsidRPr="00D73D7F">
              <w:rPr>
                <w:rFonts w:ascii="Times New Roman" w:eastAsia="Times New Roman" w:hAnsi="Times New Roman" w:cs="Times New Roman"/>
                <w:b/>
                <w:bCs/>
                <w:sz w:val="24"/>
                <w:szCs w:val="24"/>
              </w:rPr>
              <w:t>International Partners</w:t>
            </w:r>
          </w:p>
          <w:p w14:paraId="5C815DF8" w14:textId="3D0F2BE0" w:rsidR="00917055" w:rsidRPr="00F81606" w:rsidRDefault="00F81606" w:rsidP="00AB3097">
            <w:pPr>
              <w:spacing w:before="100" w:beforeAutospacing="1" w:after="100" w:afterAutospacing="1"/>
              <w:rPr>
                <w:rFonts w:ascii="Times New Roman" w:eastAsia="Times New Roman" w:hAnsi="Times New Roman" w:cs="Times New Roman"/>
                <w:sz w:val="24"/>
                <w:szCs w:val="24"/>
              </w:rPr>
            </w:pPr>
            <w:r w:rsidRPr="00D73D7F">
              <w:rPr>
                <w:rFonts w:ascii="Times New Roman" w:eastAsia="Times New Roman" w:hAnsi="Times New Roman" w:cs="Times New Roman"/>
                <w:sz w:val="24"/>
                <w:szCs w:val="24"/>
              </w:rPr>
              <w:t>International stakeholders, including the Global Environment Facility</w:t>
            </w:r>
            <w:r w:rsidR="00AB3097">
              <w:rPr>
                <w:rFonts w:ascii="Times New Roman" w:eastAsia="Times New Roman" w:hAnsi="Times New Roman" w:cs="Times New Roman"/>
                <w:sz w:val="24"/>
                <w:szCs w:val="24"/>
              </w:rPr>
              <w:t xml:space="preserve">, </w:t>
            </w:r>
            <w:r w:rsidRPr="00D73D7F">
              <w:rPr>
                <w:rFonts w:ascii="Times New Roman" w:eastAsia="Times New Roman" w:hAnsi="Times New Roman" w:cs="Times New Roman"/>
                <w:sz w:val="24"/>
                <w:szCs w:val="24"/>
              </w:rPr>
              <w:t>have played a significant role in providing financial support, technical expertise, and capacity-building assistance. Their involvement has strengthened national efforts and ensured alignment with global standards.</w:t>
            </w:r>
          </w:p>
        </w:tc>
      </w:tr>
    </w:tbl>
    <w:p w14:paraId="681324F5" w14:textId="666C25C9" w:rsidR="00625A97" w:rsidRDefault="00625A97">
      <w:pPr>
        <w:pStyle w:val="Heading2"/>
        <w:rPr>
          <w:rFonts w:ascii="Roboto" w:hAnsi="Roboto"/>
          <w:color w:val="auto"/>
          <w:sz w:val="20"/>
          <w:szCs w:val="20"/>
        </w:rPr>
      </w:pPr>
    </w:p>
    <w:p w14:paraId="5C815DFB" w14:textId="71586B23" w:rsidR="00917055" w:rsidRPr="00D93C5A" w:rsidRDefault="00EE01C2">
      <w:pPr>
        <w:pStyle w:val="Heading2"/>
        <w:rPr>
          <w:rFonts w:ascii="Roboto" w:hAnsi="Roboto"/>
          <w:color w:val="auto"/>
          <w:sz w:val="20"/>
          <w:szCs w:val="20"/>
        </w:rPr>
      </w:pPr>
      <w:r w:rsidRPr="00D93C5A">
        <w:rPr>
          <w:rFonts w:ascii="Roboto" w:hAnsi="Roboto"/>
          <w:color w:val="auto"/>
          <w:sz w:val="20"/>
          <w:szCs w:val="20"/>
        </w:rPr>
        <w:t>Criterion (h): Benefits to groups in vulnerable situations</w:t>
      </w:r>
    </w:p>
    <w:p w14:paraId="5C815DFC" w14:textId="77777777" w:rsidR="00917055" w:rsidRPr="00D93C5A" w:rsidRDefault="00EE01C2">
      <w:pPr>
        <w:spacing w:after="80"/>
        <w:rPr>
          <w:rFonts w:ascii="Roboto" w:hAnsi="Roboto"/>
          <w:sz w:val="20"/>
          <w:szCs w:val="20"/>
        </w:rPr>
      </w:pPr>
      <w:r w:rsidRPr="00D93C5A">
        <w:rPr>
          <w:rFonts w:ascii="Roboto" w:hAnsi="Roboto"/>
          <w:i/>
          <w:iCs/>
          <w:sz w:val="20"/>
          <w:szCs w:val="20"/>
        </w:rPr>
        <w:lastRenderedPageBreak/>
        <w:t>Please describe the extent to which projects funded by the financial mechanism have benefited groups in vulnerable situations, including women, children, indigenous peoples and local communities, and workers exposed to mercury.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CB77B9" w:rsidRPr="00D93C5A" w14:paraId="5C815E06" w14:textId="77777777">
        <w:tc>
          <w:tcPr>
            <w:tcW w:w="9026"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40" w:type="dxa"/>
              <w:bottom w:w="100" w:type="dxa"/>
              <w:right w:w="140" w:type="dxa"/>
            </w:tcMar>
          </w:tcPr>
          <w:p w14:paraId="68E4E81D" w14:textId="77777777" w:rsidR="00F81606" w:rsidRPr="00AB3097" w:rsidRDefault="00F81606" w:rsidP="00AB3097">
            <w:pPr>
              <w:spacing w:before="100" w:beforeAutospacing="1" w:after="100" w:afterAutospacing="1"/>
              <w:rPr>
                <w:rFonts w:ascii="Times New Roman" w:eastAsia="Times New Roman" w:hAnsi="Times New Roman" w:cs="Times New Roman"/>
                <w:b/>
                <w:bCs/>
                <w:sz w:val="24"/>
                <w:szCs w:val="24"/>
              </w:rPr>
            </w:pPr>
            <w:r w:rsidRPr="00D73D7F">
              <w:rPr>
                <w:rFonts w:ascii="Times New Roman" w:eastAsia="Times New Roman" w:hAnsi="Times New Roman" w:cs="Times New Roman"/>
                <w:b/>
                <w:bCs/>
                <w:sz w:val="24"/>
                <w:szCs w:val="24"/>
              </w:rPr>
              <w:t>Health Protection</w:t>
            </w:r>
          </w:p>
          <w:p w14:paraId="30A99C05" w14:textId="77777777" w:rsidR="00F81606" w:rsidRDefault="00F81606" w:rsidP="00F81606">
            <w:pPr>
              <w:spacing w:before="100" w:beforeAutospacing="1" w:after="100" w:afterAutospacing="1"/>
              <w:rPr>
                <w:rFonts w:ascii="Times New Roman" w:eastAsia="Times New Roman" w:hAnsi="Times New Roman" w:cs="Times New Roman"/>
                <w:sz w:val="24"/>
                <w:szCs w:val="24"/>
              </w:rPr>
            </w:pPr>
            <w:r w:rsidRPr="00AB3097">
              <w:rPr>
                <w:rFonts w:ascii="Times New Roman" w:eastAsia="Times New Roman" w:hAnsi="Times New Roman" w:cs="Times New Roman"/>
                <w:sz w:val="24"/>
                <w:szCs w:val="24"/>
              </w:rPr>
              <w:t>One of the key</w:t>
            </w:r>
            <w:r w:rsidRPr="00D73D7F">
              <w:rPr>
                <w:rFonts w:ascii="Times New Roman" w:eastAsia="Times New Roman" w:hAnsi="Times New Roman" w:cs="Times New Roman"/>
                <w:sz w:val="24"/>
                <w:szCs w:val="24"/>
              </w:rPr>
              <w:t xml:space="preserve"> benefits is improved protection of public health, particularly for communities that may be exposed to mercury through occupational activities or environmental contamination. Awareness-raising activities and improved regulatory controls have contributed to reducing potential exposure risks.</w:t>
            </w:r>
          </w:p>
          <w:p w14:paraId="75D32C7A" w14:textId="77777777" w:rsidR="00F81606" w:rsidRPr="0035711D" w:rsidRDefault="00F81606" w:rsidP="00F81606">
            <w:pPr>
              <w:spacing w:before="100" w:beforeAutospacing="1" w:after="100" w:afterAutospacing="1"/>
              <w:rPr>
                <w:rFonts w:ascii="Times New Roman" w:eastAsia="Times New Roman" w:hAnsi="Times New Roman" w:cs="Times New Roman"/>
                <w:sz w:val="24"/>
                <w:szCs w:val="24"/>
              </w:rPr>
            </w:pPr>
            <w:r w:rsidRPr="00D73D7F">
              <w:rPr>
                <w:rFonts w:ascii="Times New Roman" w:eastAsia="Times New Roman" w:hAnsi="Times New Roman" w:cs="Times New Roman"/>
                <w:b/>
                <w:bCs/>
                <w:sz w:val="24"/>
                <w:szCs w:val="24"/>
              </w:rPr>
              <w:t>Occupational Safety</w:t>
            </w:r>
          </w:p>
          <w:p w14:paraId="415E3B28" w14:textId="77777777" w:rsidR="00F81606" w:rsidRDefault="00F81606" w:rsidP="00F81606">
            <w:pPr>
              <w:spacing w:before="100" w:beforeAutospacing="1" w:after="100" w:afterAutospacing="1"/>
              <w:rPr>
                <w:rFonts w:ascii="Times New Roman" w:eastAsia="Times New Roman" w:hAnsi="Times New Roman" w:cs="Times New Roman"/>
                <w:sz w:val="24"/>
                <w:szCs w:val="24"/>
              </w:rPr>
            </w:pPr>
            <w:r w:rsidRPr="00D73D7F">
              <w:rPr>
                <w:rFonts w:ascii="Times New Roman" w:eastAsia="Times New Roman" w:hAnsi="Times New Roman" w:cs="Times New Roman"/>
                <w:sz w:val="24"/>
                <w:szCs w:val="24"/>
              </w:rPr>
              <w:t>Workers in sectors where mercury may be present, such as industrial processes and waste management activities, benefit from strengthened safety awareness and improved handling practices. Capacity-building initiatives have supported safer working conditions and promoted better compliance with environmental and health standards.</w:t>
            </w:r>
          </w:p>
          <w:p w14:paraId="57104AAB" w14:textId="77777777" w:rsidR="00F81606" w:rsidRPr="0035711D" w:rsidRDefault="00F81606" w:rsidP="00F81606">
            <w:pPr>
              <w:spacing w:before="100" w:beforeAutospacing="1" w:after="100" w:afterAutospacing="1"/>
              <w:rPr>
                <w:rFonts w:ascii="Times New Roman" w:eastAsia="Times New Roman" w:hAnsi="Times New Roman" w:cs="Times New Roman"/>
                <w:sz w:val="24"/>
                <w:szCs w:val="24"/>
              </w:rPr>
            </w:pPr>
            <w:r w:rsidRPr="00D73D7F">
              <w:rPr>
                <w:rFonts w:ascii="Times New Roman" w:eastAsia="Times New Roman" w:hAnsi="Times New Roman" w:cs="Times New Roman"/>
                <w:b/>
                <w:bCs/>
                <w:sz w:val="24"/>
                <w:szCs w:val="24"/>
              </w:rPr>
              <w:t>Environmental Quality</w:t>
            </w:r>
          </w:p>
          <w:p w14:paraId="5C815E05" w14:textId="41D1C521" w:rsidR="00917055" w:rsidRPr="00F81606" w:rsidRDefault="00F81606" w:rsidP="00F81606">
            <w:pPr>
              <w:spacing w:before="100" w:beforeAutospacing="1" w:after="100" w:afterAutospacing="1"/>
              <w:rPr>
                <w:rFonts w:ascii="Times New Roman" w:eastAsia="Times New Roman" w:hAnsi="Times New Roman" w:cs="Times New Roman"/>
                <w:sz w:val="24"/>
                <w:szCs w:val="24"/>
              </w:rPr>
            </w:pPr>
            <w:r w:rsidRPr="00D73D7F">
              <w:rPr>
                <w:rFonts w:ascii="Times New Roman" w:eastAsia="Times New Roman" w:hAnsi="Times New Roman" w:cs="Times New Roman"/>
                <w:sz w:val="24"/>
                <w:szCs w:val="24"/>
              </w:rPr>
              <w:t>Measures supported under the financial mechanism have contributed to reducing potential mercury releases into air, water, and soil, which directly benefits communities that are more dependent on natural resources, including fishing and coastal populations.</w:t>
            </w:r>
          </w:p>
        </w:tc>
      </w:tr>
    </w:tbl>
    <w:p w14:paraId="5C815E07" w14:textId="77777777" w:rsidR="00917055" w:rsidRPr="00D93C5A" w:rsidRDefault="00917055">
      <w:pPr>
        <w:spacing w:after="200"/>
        <w:rPr>
          <w:rFonts w:ascii="Roboto" w:hAnsi="Roboto"/>
          <w:sz w:val="20"/>
          <w:szCs w:val="20"/>
        </w:rPr>
      </w:pPr>
    </w:p>
    <w:p w14:paraId="5C815E08" w14:textId="77777777" w:rsidR="00917055" w:rsidRPr="00D93C5A" w:rsidRDefault="00EE01C2">
      <w:pPr>
        <w:pStyle w:val="Heading2"/>
        <w:rPr>
          <w:rFonts w:ascii="Roboto" w:hAnsi="Roboto"/>
          <w:color w:val="auto"/>
          <w:sz w:val="20"/>
          <w:szCs w:val="20"/>
        </w:rPr>
      </w:pPr>
      <w:r w:rsidRPr="00D93C5A">
        <w:rPr>
          <w:rFonts w:ascii="Roboto" w:hAnsi="Roboto"/>
          <w:color w:val="auto"/>
          <w:sz w:val="20"/>
          <w:szCs w:val="20"/>
        </w:rPr>
        <w:t>Criterion (i): Any other significant issues</w:t>
      </w:r>
    </w:p>
    <w:p w14:paraId="5C815E09" w14:textId="77777777" w:rsidR="00917055" w:rsidRPr="00D93C5A" w:rsidRDefault="00EE01C2">
      <w:pPr>
        <w:spacing w:after="80"/>
        <w:rPr>
          <w:rFonts w:ascii="Roboto" w:hAnsi="Roboto"/>
          <w:sz w:val="20"/>
          <w:szCs w:val="20"/>
        </w:rPr>
      </w:pPr>
      <w:r w:rsidRPr="00D93C5A">
        <w:rPr>
          <w:rFonts w:ascii="Roboto" w:hAnsi="Roboto"/>
          <w:i/>
          <w:iCs/>
          <w:sz w:val="20"/>
          <w:szCs w:val="20"/>
        </w:rPr>
        <w:t>Please provide information on any other significant issues related to the financial mechanism that you wish to bring to the attention of the Conference of the Parties.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CB77B9" w:rsidRPr="00D93C5A" w14:paraId="5C815E13" w14:textId="77777777">
        <w:tc>
          <w:tcPr>
            <w:tcW w:w="9026"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40" w:type="dxa"/>
              <w:bottom w:w="100" w:type="dxa"/>
              <w:right w:w="140" w:type="dxa"/>
            </w:tcMar>
          </w:tcPr>
          <w:p w14:paraId="4F15E0AF" w14:textId="466BD725" w:rsidR="000262F8" w:rsidRPr="000262F8" w:rsidRDefault="000262F8" w:rsidP="000262F8">
            <w:pPr>
              <w:pStyle w:val="ListParagraph"/>
              <w:numPr>
                <w:ilvl w:val="0"/>
                <w:numId w:val="6"/>
              </w:numPr>
              <w:spacing w:before="100" w:beforeAutospacing="1" w:after="100" w:afterAutospacing="1"/>
              <w:ind w:left="396"/>
              <w:rPr>
                <w:rFonts w:ascii="Times New Roman" w:eastAsia="Times New Roman" w:hAnsi="Times New Roman" w:cs="Times New Roman"/>
                <w:sz w:val="24"/>
                <w:szCs w:val="24"/>
              </w:rPr>
            </w:pPr>
            <w:r w:rsidRPr="000262F8">
              <w:rPr>
                <w:rFonts w:ascii="Times New Roman" w:eastAsia="Times New Roman" w:hAnsi="Times New Roman" w:cs="Times New Roman"/>
                <w:b/>
                <w:bCs/>
                <w:sz w:val="24"/>
                <w:szCs w:val="24"/>
              </w:rPr>
              <w:t>Adequacy and predictability of funding</w:t>
            </w:r>
            <w:r w:rsidRPr="000262F8">
              <w:rPr>
                <w:rFonts w:ascii="Times New Roman" w:eastAsia="Times New Roman" w:hAnsi="Times New Roman" w:cs="Times New Roman"/>
                <w:sz w:val="24"/>
                <w:szCs w:val="24"/>
              </w:rPr>
              <w:br/>
              <w:t>While the financial mechanism composed of the Global Environment Facility (GEF) Trust Fund and the Specific International Programme (SIP) has enabled important implementation activities, many developing-country Parties continue to face gaps between available resources and actual implementation needs, particularly for long-term obligations related to mercury-added products, waste management, contaminated sites, emissions control, and monitoring systems. Concerns remain regarding the sustainability and predictability of funding streams.</w:t>
            </w:r>
          </w:p>
          <w:p w14:paraId="3229914A" w14:textId="4F0EAAB6" w:rsidR="000262F8" w:rsidRPr="000262F8" w:rsidRDefault="000262F8" w:rsidP="000262F8">
            <w:pPr>
              <w:pStyle w:val="ListParagraph"/>
              <w:numPr>
                <w:ilvl w:val="0"/>
                <w:numId w:val="6"/>
              </w:numPr>
              <w:spacing w:before="100" w:beforeAutospacing="1" w:after="100" w:afterAutospacing="1"/>
              <w:ind w:left="396"/>
              <w:rPr>
                <w:rFonts w:ascii="Times New Roman" w:eastAsia="Times New Roman" w:hAnsi="Times New Roman" w:cs="Times New Roman"/>
                <w:sz w:val="24"/>
                <w:szCs w:val="24"/>
              </w:rPr>
            </w:pPr>
            <w:r w:rsidRPr="000262F8">
              <w:rPr>
                <w:rFonts w:ascii="Times New Roman" w:eastAsia="Times New Roman" w:hAnsi="Times New Roman" w:cs="Times New Roman"/>
                <w:b/>
                <w:bCs/>
                <w:sz w:val="24"/>
                <w:szCs w:val="24"/>
              </w:rPr>
              <w:t>Need for increased support for implementation beyond enabling activities</w:t>
            </w:r>
            <w:r w:rsidRPr="000262F8">
              <w:rPr>
                <w:rFonts w:ascii="Times New Roman" w:eastAsia="Times New Roman" w:hAnsi="Times New Roman" w:cs="Times New Roman"/>
                <w:sz w:val="24"/>
                <w:szCs w:val="24"/>
              </w:rPr>
              <w:br/>
              <w:t>Initial support has focused significantly on Minamata Initial Assessments (MIAs) and National Action Plans (NAPs) for artisanal and small-scale gold mining (ASGM). However, many Parties now require greater investment support for full-scale implementation, technology transfer, infrastructure upgrades, laboratory capacity, and enforcement systems.</w:t>
            </w:r>
          </w:p>
          <w:p w14:paraId="5C815E12" w14:textId="6B52B8D8" w:rsidR="000262F8" w:rsidRPr="000262F8" w:rsidRDefault="000262F8" w:rsidP="000262F8">
            <w:pPr>
              <w:pStyle w:val="ListParagraph"/>
              <w:numPr>
                <w:ilvl w:val="0"/>
                <w:numId w:val="6"/>
              </w:numPr>
              <w:spacing w:before="100" w:beforeAutospacing="1" w:after="100" w:afterAutospacing="1"/>
              <w:ind w:left="396"/>
            </w:pPr>
            <w:r w:rsidRPr="000262F8">
              <w:rPr>
                <w:rFonts w:ascii="Times New Roman" w:eastAsia="Times New Roman" w:hAnsi="Times New Roman" w:cs="Times New Roman"/>
                <w:b/>
                <w:bCs/>
                <w:sz w:val="24"/>
                <w:szCs w:val="24"/>
              </w:rPr>
              <w:t>Mobilization of additional financial resources</w:t>
            </w:r>
            <w:r w:rsidRPr="000262F8">
              <w:rPr>
                <w:rFonts w:ascii="Times New Roman" w:eastAsia="Times New Roman" w:hAnsi="Times New Roman" w:cs="Times New Roman"/>
                <w:sz w:val="24"/>
                <w:szCs w:val="24"/>
              </w:rPr>
              <w:br/>
              <w:t>Given the scale of global mercury challenges, the COP may wish to encourage broader partnerships involving international financial institutions, the private sector, philanthropic organizations, and regional development banks to complement existing GEF and SIP resources</w:t>
            </w:r>
          </w:p>
        </w:tc>
      </w:tr>
    </w:tbl>
    <w:p w14:paraId="5C815E14" w14:textId="77777777" w:rsidR="00917055" w:rsidRPr="00D93C5A" w:rsidRDefault="00917055">
      <w:pPr>
        <w:spacing w:after="200"/>
        <w:rPr>
          <w:rFonts w:ascii="Roboto" w:hAnsi="Roboto"/>
          <w:sz w:val="20"/>
          <w:szCs w:val="20"/>
        </w:rPr>
      </w:pPr>
    </w:p>
    <w:p w14:paraId="5C815E15" w14:textId="77777777" w:rsidR="00917055" w:rsidRPr="00D93C5A" w:rsidRDefault="00EE01C2">
      <w:pPr>
        <w:pStyle w:val="Heading1"/>
        <w:rPr>
          <w:rFonts w:ascii="Roboto" w:hAnsi="Roboto"/>
          <w:color w:val="auto"/>
          <w:sz w:val="20"/>
          <w:szCs w:val="20"/>
        </w:rPr>
      </w:pPr>
      <w:r w:rsidRPr="00D93C5A">
        <w:rPr>
          <w:rFonts w:ascii="Roboto" w:hAnsi="Roboto"/>
          <w:color w:val="auto"/>
          <w:sz w:val="20"/>
          <w:szCs w:val="20"/>
        </w:rPr>
        <w:t>Section IV: Additional Information</w:t>
      </w:r>
    </w:p>
    <w:p w14:paraId="5C815E16" w14:textId="77777777" w:rsidR="00917055" w:rsidRPr="00D93C5A" w:rsidRDefault="00EE01C2">
      <w:pPr>
        <w:spacing w:after="80"/>
        <w:rPr>
          <w:rFonts w:ascii="Roboto" w:hAnsi="Roboto"/>
          <w:sz w:val="20"/>
          <w:szCs w:val="20"/>
        </w:rPr>
      </w:pPr>
      <w:r w:rsidRPr="00D93C5A">
        <w:rPr>
          <w:rFonts w:ascii="Roboto" w:hAnsi="Roboto"/>
          <w:i/>
          <w:iCs/>
          <w:sz w:val="20"/>
          <w:szCs w:val="20"/>
        </w:rPr>
        <w:lastRenderedPageBreak/>
        <w:t>Please provide any supporting documentation, data or references that may complement your submission (optional).</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CB77B9" w:rsidRPr="00D93C5A" w14:paraId="5C815E1D" w14:textId="77777777">
        <w:tc>
          <w:tcPr>
            <w:tcW w:w="9026" w:type="dxa"/>
            <w:tcBorders>
              <w:top w:val="single" w:sz="1" w:space="0" w:color="AAAAAA"/>
              <w:left w:val="single" w:sz="1" w:space="0" w:color="AAAAAA"/>
              <w:bottom w:val="single" w:sz="1" w:space="0" w:color="AAAAAA"/>
              <w:right w:val="single" w:sz="1" w:space="0" w:color="AAAAAA"/>
            </w:tcBorders>
            <w:shd w:val="clear" w:color="auto" w:fill="F2F2F2"/>
            <w:tcMar>
              <w:top w:w="100" w:type="dxa"/>
              <w:left w:w="140" w:type="dxa"/>
              <w:bottom w:w="100" w:type="dxa"/>
              <w:right w:w="140" w:type="dxa"/>
            </w:tcMar>
          </w:tcPr>
          <w:p w14:paraId="3B2650BA" w14:textId="4F76D17C" w:rsidR="00F81606" w:rsidRPr="00122E05" w:rsidRDefault="000262F8" w:rsidP="00F81606">
            <w:pPr>
              <w:rPr>
                <w:rFonts w:ascii="Times New Roman" w:eastAsia="Times New Roman" w:hAnsi="Times New Roman" w:cs="Times New Roman"/>
                <w:sz w:val="24"/>
                <w:szCs w:val="24"/>
                <w:lang w:bidi="ar-OM"/>
              </w:rPr>
            </w:pPr>
            <w:r>
              <w:rPr>
                <w:rFonts w:ascii="Times New Roman" w:eastAsia="Times New Roman" w:hAnsi="Times New Roman" w:cs="Times New Roman"/>
                <w:sz w:val="24"/>
                <w:szCs w:val="24"/>
                <w:lang w:bidi="ar-OM"/>
              </w:rPr>
              <w:t>Thank you for your support.</w:t>
            </w:r>
          </w:p>
          <w:p w14:paraId="5C815E1C" w14:textId="77777777" w:rsidR="00917055" w:rsidRPr="00D93C5A" w:rsidRDefault="00917055">
            <w:pPr>
              <w:rPr>
                <w:rFonts w:ascii="Roboto" w:hAnsi="Roboto"/>
                <w:sz w:val="20"/>
                <w:szCs w:val="20"/>
              </w:rPr>
            </w:pPr>
          </w:p>
        </w:tc>
      </w:tr>
    </w:tbl>
    <w:p w14:paraId="5C815E32" w14:textId="77777777" w:rsidR="00EE01C2" w:rsidRPr="00D93C5A" w:rsidRDefault="00EE01C2">
      <w:pPr>
        <w:rPr>
          <w:rFonts w:ascii="Roboto" w:hAnsi="Roboto"/>
          <w:sz w:val="20"/>
          <w:szCs w:val="20"/>
        </w:rPr>
      </w:pPr>
    </w:p>
    <w:sectPr w:rsidR="00EE01C2" w:rsidRPr="00D93C5A" w:rsidSect="00683294">
      <w:footerReference w:type="default" r:id="rId19"/>
      <w:pgSz w:w="11906" w:h="16838"/>
      <w:pgMar w:top="1135" w:right="1274" w:bottom="12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BCE442" w14:textId="77777777" w:rsidR="00392547" w:rsidRDefault="00392547">
      <w:r>
        <w:separator/>
      </w:r>
    </w:p>
  </w:endnote>
  <w:endnote w:type="continuationSeparator" w:id="0">
    <w:p w14:paraId="4627EDC1" w14:textId="77777777" w:rsidR="00392547" w:rsidRDefault="00392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Roboto">
    <w:altName w:val="Times New Roman"/>
    <w:charset w:val="00"/>
    <w:family w:val="auto"/>
    <w:pitch w:val="variable"/>
    <w:sig w:usb0="00000001" w:usb1="5000205B" w:usb2="00000020" w:usb3="00000000" w:csb0="0000019F" w:csb1="00000000"/>
  </w:font>
  <w:font w:name="DengXian Light">
    <w:altName w:val="等线 Light"/>
    <w:charset w:val="86"/>
    <w:family w:val="auto"/>
    <w:pitch w:val="variable"/>
    <w:sig w:usb0="A00002BF" w:usb1="38CF7CFA" w:usb2="00000016" w:usb3="00000000" w:csb0="0004000F" w:csb1="00000000"/>
  </w:font>
  <w:font w:name="Aptos Display">
    <w:altName w:val="Arial"/>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15E33" w14:textId="79D5E1CB" w:rsidR="00917055" w:rsidRDefault="00EE01C2">
    <w:pPr>
      <w:pBdr>
        <w:top w:val="single" w:sz="2" w:space="4" w:color="1F4E79"/>
      </w:pBdr>
      <w:jc w:val="center"/>
    </w:pP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584E35">
      <w:rPr>
        <w:noProof/>
        <w:color w:val="595959"/>
        <w:sz w:val="16"/>
        <w:szCs w:val="16"/>
      </w:rPr>
      <w:t>2</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6A5205" w14:textId="77777777" w:rsidR="00392547" w:rsidRDefault="00392547">
      <w:r>
        <w:separator/>
      </w:r>
    </w:p>
  </w:footnote>
  <w:footnote w:type="continuationSeparator" w:id="0">
    <w:p w14:paraId="0F997E9D" w14:textId="77777777" w:rsidR="00392547" w:rsidRDefault="0039254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430359"/>
    <w:multiLevelType w:val="hybridMultilevel"/>
    <w:tmpl w:val="6C68437E"/>
    <w:lvl w:ilvl="0" w:tplc="D1C06058">
      <w:start w:val="1"/>
      <w:numFmt w:val="decimal"/>
      <w:lvlText w:val="%1.&gt;"/>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C0083F"/>
    <w:multiLevelType w:val="hybridMultilevel"/>
    <w:tmpl w:val="F992F41A"/>
    <w:lvl w:ilvl="0" w:tplc="1B7A8CD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103E5A"/>
    <w:multiLevelType w:val="hybridMultilevel"/>
    <w:tmpl w:val="4C304CD6"/>
    <w:lvl w:ilvl="0" w:tplc="344A78D0">
      <w:start w:val="1"/>
      <w:numFmt w:val="decimal"/>
      <w:lvlText w:val="%1&gt;"/>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C530A4"/>
    <w:multiLevelType w:val="hybridMultilevel"/>
    <w:tmpl w:val="90D81282"/>
    <w:lvl w:ilvl="0" w:tplc="939AEDB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4C58AA"/>
    <w:multiLevelType w:val="hybridMultilevel"/>
    <w:tmpl w:val="503A3742"/>
    <w:lvl w:ilvl="0" w:tplc="1B7A8CD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EA1303"/>
    <w:multiLevelType w:val="hybridMultilevel"/>
    <w:tmpl w:val="0C546D0C"/>
    <w:lvl w:ilvl="0" w:tplc="C67C1186">
      <w:start w:val="1"/>
      <w:numFmt w:val="bullet"/>
      <w:lvlText w:val="●"/>
      <w:lvlJc w:val="left"/>
      <w:pPr>
        <w:ind w:left="720" w:hanging="360"/>
      </w:pPr>
    </w:lvl>
    <w:lvl w:ilvl="1" w:tplc="ACFCD23C">
      <w:start w:val="1"/>
      <w:numFmt w:val="bullet"/>
      <w:lvlText w:val="○"/>
      <w:lvlJc w:val="left"/>
      <w:pPr>
        <w:ind w:left="1440" w:hanging="360"/>
      </w:pPr>
    </w:lvl>
    <w:lvl w:ilvl="2" w:tplc="E786A642">
      <w:start w:val="1"/>
      <w:numFmt w:val="bullet"/>
      <w:lvlText w:val="■"/>
      <w:lvlJc w:val="left"/>
      <w:pPr>
        <w:ind w:left="2160" w:hanging="360"/>
      </w:pPr>
    </w:lvl>
    <w:lvl w:ilvl="3" w:tplc="C80AAE44">
      <w:start w:val="1"/>
      <w:numFmt w:val="bullet"/>
      <w:lvlText w:val="●"/>
      <w:lvlJc w:val="left"/>
      <w:pPr>
        <w:ind w:left="2880" w:hanging="360"/>
      </w:pPr>
    </w:lvl>
    <w:lvl w:ilvl="4" w:tplc="1B702098">
      <w:start w:val="1"/>
      <w:numFmt w:val="bullet"/>
      <w:lvlText w:val="○"/>
      <w:lvlJc w:val="left"/>
      <w:pPr>
        <w:ind w:left="3600" w:hanging="360"/>
      </w:pPr>
    </w:lvl>
    <w:lvl w:ilvl="5" w:tplc="F1168466">
      <w:start w:val="1"/>
      <w:numFmt w:val="bullet"/>
      <w:lvlText w:val="■"/>
      <w:lvlJc w:val="left"/>
      <w:pPr>
        <w:ind w:left="4320" w:hanging="360"/>
      </w:pPr>
    </w:lvl>
    <w:lvl w:ilvl="6" w:tplc="A15A8666">
      <w:start w:val="1"/>
      <w:numFmt w:val="bullet"/>
      <w:lvlText w:val="●"/>
      <w:lvlJc w:val="left"/>
      <w:pPr>
        <w:ind w:left="5040" w:hanging="360"/>
      </w:pPr>
    </w:lvl>
    <w:lvl w:ilvl="7" w:tplc="950EA924">
      <w:start w:val="1"/>
      <w:numFmt w:val="bullet"/>
      <w:lvlText w:val="●"/>
      <w:lvlJc w:val="left"/>
      <w:pPr>
        <w:ind w:left="5760" w:hanging="360"/>
      </w:pPr>
    </w:lvl>
    <w:lvl w:ilvl="8" w:tplc="789C906A">
      <w:start w:val="1"/>
      <w:numFmt w:val="bullet"/>
      <w:lvlText w:val="●"/>
      <w:lvlJc w:val="left"/>
      <w:pPr>
        <w:ind w:left="6480" w:hanging="360"/>
      </w:pPr>
    </w:lvl>
  </w:abstractNum>
  <w:num w:numId="1">
    <w:abstractNumId w:val="5"/>
    <w:lvlOverride w:ilvl="0">
      <w:startOverride w:val="1"/>
    </w:lvlOverride>
  </w:num>
  <w:num w:numId="2">
    <w:abstractNumId w:val="2"/>
  </w:num>
  <w:num w:numId="3">
    <w:abstractNumId w:val="3"/>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055"/>
    <w:rsid w:val="000171EF"/>
    <w:rsid w:val="000262F8"/>
    <w:rsid w:val="00047FE4"/>
    <w:rsid w:val="00062C6E"/>
    <w:rsid w:val="000732DD"/>
    <w:rsid w:val="000C2408"/>
    <w:rsid w:val="000D77B5"/>
    <w:rsid w:val="0010185D"/>
    <w:rsid w:val="00162B3F"/>
    <w:rsid w:val="001C0A40"/>
    <w:rsid w:val="00257045"/>
    <w:rsid w:val="0026095F"/>
    <w:rsid w:val="00290E9F"/>
    <w:rsid w:val="002A7420"/>
    <w:rsid w:val="002C3C2F"/>
    <w:rsid w:val="00366113"/>
    <w:rsid w:val="00372A15"/>
    <w:rsid w:val="00392547"/>
    <w:rsid w:val="003930A9"/>
    <w:rsid w:val="00393D09"/>
    <w:rsid w:val="003C1F71"/>
    <w:rsid w:val="003F6053"/>
    <w:rsid w:val="003F6109"/>
    <w:rsid w:val="00401E9C"/>
    <w:rsid w:val="004074E0"/>
    <w:rsid w:val="00416B8A"/>
    <w:rsid w:val="00432432"/>
    <w:rsid w:val="004875D9"/>
    <w:rsid w:val="004A6731"/>
    <w:rsid w:val="00501A04"/>
    <w:rsid w:val="0050267C"/>
    <w:rsid w:val="005542FB"/>
    <w:rsid w:val="005608B0"/>
    <w:rsid w:val="00584E35"/>
    <w:rsid w:val="00625A97"/>
    <w:rsid w:val="006545D5"/>
    <w:rsid w:val="00666D13"/>
    <w:rsid w:val="00683294"/>
    <w:rsid w:val="00684ED7"/>
    <w:rsid w:val="006A030D"/>
    <w:rsid w:val="0070318A"/>
    <w:rsid w:val="00705F99"/>
    <w:rsid w:val="00735369"/>
    <w:rsid w:val="007433C0"/>
    <w:rsid w:val="00745C58"/>
    <w:rsid w:val="00752413"/>
    <w:rsid w:val="0075487B"/>
    <w:rsid w:val="00784774"/>
    <w:rsid w:val="007A32D8"/>
    <w:rsid w:val="007C0113"/>
    <w:rsid w:val="007C609E"/>
    <w:rsid w:val="007C7391"/>
    <w:rsid w:val="00803206"/>
    <w:rsid w:val="00847A72"/>
    <w:rsid w:val="00870C17"/>
    <w:rsid w:val="0087168C"/>
    <w:rsid w:val="008C0839"/>
    <w:rsid w:val="008C667A"/>
    <w:rsid w:val="009058F3"/>
    <w:rsid w:val="00917055"/>
    <w:rsid w:val="00927B08"/>
    <w:rsid w:val="009C0A03"/>
    <w:rsid w:val="00A075D6"/>
    <w:rsid w:val="00A333D9"/>
    <w:rsid w:val="00A87A92"/>
    <w:rsid w:val="00AB3097"/>
    <w:rsid w:val="00AC0675"/>
    <w:rsid w:val="00AC76D1"/>
    <w:rsid w:val="00B3395B"/>
    <w:rsid w:val="00BD5C0B"/>
    <w:rsid w:val="00C61936"/>
    <w:rsid w:val="00C8198B"/>
    <w:rsid w:val="00C954FF"/>
    <w:rsid w:val="00C9641E"/>
    <w:rsid w:val="00CB0977"/>
    <w:rsid w:val="00CB77B9"/>
    <w:rsid w:val="00CD0161"/>
    <w:rsid w:val="00CF530C"/>
    <w:rsid w:val="00D20E27"/>
    <w:rsid w:val="00D50F41"/>
    <w:rsid w:val="00D93C5A"/>
    <w:rsid w:val="00DC0945"/>
    <w:rsid w:val="00DD034F"/>
    <w:rsid w:val="00EB41E1"/>
    <w:rsid w:val="00EE01C2"/>
    <w:rsid w:val="00EF5E64"/>
    <w:rsid w:val="00F5486B"/>
    <w:rsid w:val="00F81606"/>
    <w:rsid w:val="00FD31F8"/>
    <w:rsid w:val="00FE2860"/>
    <w:rsid w:val="00FE6905"/>
    <w:rsid w:val="3204E181"/>
    <w:rsid w:val="49342E1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15D78"/>
  <w15:docId w15:val="{CB6DB9B6-0CA7-4FDF-AD77-12EFAB5F9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pBdr>
        <w:bottom w:val="single" w:sz="4" w:space="4" w:color="BDD7EE"/>
      </w:pBdr>
      <w:spacing w:before="240" w:after="120"/>
      <w:outlineLvl w:val="0"/>
    </w:pPr>
    <w:rPr>
      <w:b/>
      <w:bCs/>
      <w:color w:val="1F4E79"/>
      <w:sz w:val="28"/>
      <w:szCs w:val="28"/>
    </w:rPr>
  </w:style>
  <w:style w:type="paragraph" w:styleId="Heading2">
    <w:name w:val="heading 2"/>
    <w:uiPriority w:val="9"/>
    <w:unhideWhenUsed/>
    <w:qFormat/>
    <w:pPr>
      <w:spacing w:before="200" w:after="100"/>
      <w:outlineLvl w:val="1"/>
    </w:pPr>
    <w:rPr>
      <w:b/>
      <w:bCs/>
      <w:color w:val="1F4E79"/>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B77B9"/>
    <w:pPr>
      <w:tabs>
        <w:tab w:val="center" w:pos="4844"/>
        <w:tab w:val="right" w:pos="9689"/>
      </w:tabs>
    </w:pPr>
  </w:style>
  <w:style w:type="character" w:customStyle="1" w:styleId="HeaderChar">
    <w:name w:val="Header Char"/>
    <w:basedOn w:val="DefaultParagraphFont"/>
    <w:link w:val="Header"/>
    <w:uiPriority w:val="99"/>
    <w:rsid w:val="00CB77B9"/>
  </w:style>
  <w:style w:type="paragraph" w:styleId="Footer">
    <w:name w:val="footer"/>
    <w:basedOn w:val="Normal"/>
    <w:link w:val="FooterChar"/>
    <w:uiPriority w:val="99"/>
    <w:unhideWhenUsed/>
    <w:rsid w:val="00CB77B9"/>
    <w:pPr>
      <w:tabs>
        <w:tab w:val="center" w:pos="4844"/>
        <w:tab w:val="right" w:pos="9689"/>
      </w:tabs>
    </w:pPr>
  </w:style>
  <w:style w:type="character" w:customStyle="1" w:styleId="FooterChar">
    <w:name w:val="Footer Char"/>
    <w:basedOn w:val="DefaultParagraphFont"/>
    <w:link w:val="Footer"/>
    <w:uiPriority w:val="99"/>
    <w:rsid w:val="00CB77B9"/>
  </w:style>
  <w:style w:type="character" w:customStyle="1" w:styleId="UnresolvedMention">
    <w:name w:val="Unresolved Mention"/>
    <w:basedOn w:val="DefaultParagraphFont"/>
    <w:uiPriority w:val="99"/>
    <w:semiHidden/>
    <w:unhideWhenUsed/>
    <w:rsid w:val="001C0A40"/>
    <w:rPr>
      <w:color w:val="605E5C"/>
      <w:shd w:val="clear" w:color="auto" w:fill="E1DFDD"/>
    </w:rPr>
  </w:style>
  <w:style w:type="paragraph" w:styleId="Revision">
    <w:name w:val="Revision"/>
    <w:hidden/>
    <w:uiPriority w:val="99"/>
    <w:semiHidden/>
    <w:rsid w:val="00162B3F"/>
  </w:style>
  <w:style w:type="character" w:styleId="CommentReference">
    <w:name w:val="annotation reference"/>
    <w:basedOn w:val="DefaultParagraphFont"/>
    <w:uiPriority w:val="99"/>
    <w:semiHidden/>
    <w:unhideWhenUsed/>
    <w:rsid w:val="00927B08"/>
    <w:rPr>
      <w:sz w:val="16"/>
      <w:szCs w:val="16"/>
    </w:rPr>
  </w:style>
  <w:style w:type="paragraph" w:styleId="CommentText">
    <w:name w:val="annotation text"/>
    <w:basedOn w:val="Normal"/>
    <w:link w:val="CommentTextChar"/>
    <w:uiPriority w:val="99"/>
    <w:unhideWhenUsed/>
    <w:rsid w:val="00927B08"/>
    <w:rPr>
      <w:sz w:val="20"/>
      <w:szCs w:val="20"/>
    </w:rPr>
  </w:style>
  <w:style w:type="character" w:customStyle="1" w:styleId="CommentTextChar">
    <w:name w:val="Comment Text Char"/>
    <w:basedOn w:val="DefaultParagraphFont"/>
    <w:link w:val="CommentText"/>
    <w:uiPriority w:val="99"/>
    <w:rsid w:val="00927B08"/>
    <w:rPr>
      <w:sz w:val="20"/>
      <w:szCs w:val="20"/>
    </w:rPr>
  </w:style>
  <w:style w:type="paragraph" w:styleId="CommentSubject">
    <w:name w:val="annotation subject"/>
    <w:basedOn w:val="CommentText"/>
    <w:next w:val="CommentText"/>
    <w:link w:val="CommentSubjectChar"/>
    <w:uiPriority w:val="99"/>
    <w:semiHidden/>
    <w:unhideWhenUsed/>
    <w:rsid w:val="00927B08"/>
    <w:rPr>
      <w:b/>
      <w:bCs/>
    </w:rPr>
  </w:style>
  <w:style w:type="character" w:customStyle="1" w:styleId="CommentSubjectChar">
    <w:name w:val="Comment Subject Char"/>
    <w:basedOn w:val="CommentTextChar"/>
    <w:link w:val="CommentSubject"/>
    <w:uiPriority w:val="99"/>
    <w:semiHidden/>
    <w:rsid w:val="00927B08"/>
    <w:rPr>
      <w:b/>
      <w:bCs/>
      <w:sz w:val="20"/>
      <w:szCs w:val="20"/>
    </w:rPr>
  </w:style>
  <w:style w:type="paragraph" w:styleId="NormalWeb">
    <w:name w:val="Normal (Web)"/>
    <w:basedOn w:val="Normal"/>
    <w:uiPriority w:val="99"/>
    <w:unhideWhenUsed/>
    <w:rsid w:val="00F81606"/>
    <w:pPr>
      <w:spacing w:before="100" w:beforeAutospacing="1" w:after="100" w:afterAutospacing="1"/>
    </w:pPr>
    <w:rPr>
      <w:rFonts w:ascii="Times New Roman" w:eastAsia="Times New Roman" w:hAnsi="Times New Roman" w:cs="Times New Roman"/>
      <w:sz w:val="24"/>
      <w:szCs w:val="24"/>
    </w:rPr>
  </w:style>
  <w:style w:type="character" w:customStyle="1" w:styleId="whitespace-normal">
    <w:name w:val="whitespace-normal"/>
    <w:basedOn w:val="DefaultParagraphFont"/>
    <w:rsid w:val="00F81606"/>
  </w:style>
  <w:style w:type="paragraph" w:styleId="HTMLPreformatted">
    <w:name w:val="HTML Preformatted"/>
    <w:basedOn w:val="Normal"/>
    <w:link w:val="HTMLPreformattedChar"/>
    <w:uiPriority w:val="99"/>
    <w:semiHidden/>
    <w:unhideWhenUsed/>
    <w:rsid w:val="00EF5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EF5E64"/>
    <w:rPr>
      <w:rFonts w:ascii="Courier New" w:eastAsia="Times New Roman" w:hAnsi="Courier New" w:cs="Courier New"/>
      <w:sz w:val="20"/>
      <w:szCs w:val="20"/>
    </w:rPr>
  </w:style>
  <w:style w:type="character" w:customStyle="1" w:styleId="y2iqfc">
    <w:name w:val="y2iqfc"/>
    <w:basedOn w:val="DefaultParagraphFont"/>
    <w:rsid w:val="00EF5E64"/>
  </w:style>
  <w:style w:type="character" w:styleId="Strong">
    <w:name w:val="Strong"/>
    <w:basedOn w:val="DefaultParagraphFont"/>
    <w:uiPriority w:val="22"/>
    <w:qFormat/>
    <w:rsid w:val="000262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30559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minamataconvention.org/sites/default/files/documents/final_report_and_outcomes/UNEP-MC-COP6-25-Add1-Compilation-Decisions%20-%20ADVANCE.pdf" TargetMode="External"/><Relationship Id="rId18" Type="http://schemas.openxmlformats.org/officeDocument/2006/relationships/hyperlink" Target="mailto:chemical_dept@ea.gov.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minamataconvention.org/sites/default/files/documents/decision/UNEP-MC-COP.5-Dec.07_ASGM_English.pdf" TargetMode="External"/><Relationship Id="rId17" Type="http://schemas.openxmlformats.org/officeDocument/2006/relationships/hyperlink" Target="mailto:alexander.romanov@un.org" TargetMode="External"/><Relationship Id="rId2" Type="http://schemas.openxmlformats.org/officeDocument/2006/relationships/customXml" Target="../customXml/item2.xml"/><Relationship Id="rId16" Type="http://schemas.openxmlformats.org/officeDocument/2006/relationships/hyperlink" Target="mailto:brenda.koekkoek@un.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inamataconvention.org/sites/default/files/documents/decision/UNEP-MC-COP.5-Dec.07_ASGM_English.pdf" TargetMode="External"/><Relationship Id="rId5" Type="http://schemas.openxmlformats.org/officeDocument/2006/relationships/styles" Target="styles.xml"/><Relationship Id="rId15" Type="http://schemas.openxmlformats.org/officeDocument/2006/relationships/hyperlink" Target="mailto:mea-minamatasecretariat@un.org" TargetMode="External"/><Relationship Id="rId10" Type="http://schemas.openxmlformats.org/officeDocument/2006/relationships/hyperlink" Target="https://minamataconvention.org/sites/default/files/documents/decision/UNEP-MC-COP1-Dec5-GuidanceGEF.EN.pdf"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inamataconvention.org/sites/default/files/documents/decision/UNEP-MC-COP1-Dec6-SpecificInternationalProgramme.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A186B34AAF4047A570F9DFA6808567" ma:contentTypeVersion="21" ma:contentTypeDescription="Crée un document." ma:contentTypeScope="" ma:versionID="fce0365f084aa83c939fd411890ab9a5">
  <xsd:schema xmlns:xsd="http://www.w3.org/2001/XMLSchema" xmlns:xs="http://www.w3.org/2001/XMLSchema" xmlns:p="http://schemas.microsoft.com/office/2006/metadata/properties" xmlns:ns2="822da31b-d518-49e2-88cd-1351ccd720a8" xmlns:ns3="8e99bad0-3155-475a-8063-b4d93685c2ad" xmlns:ns4="985ec44e-1bab-4c0b-9df0-6ba128686fc9" targetNamespace="http://schemas.microsoft.com/office/2006/metadata/properties" ma:root="true" ma:fieldsID="da1c42d73d31e540a9d6d98fc89285d8" ns2:_="" ns3:_="" ns4:_="">
    <xsd:import namespace="822da31b-d518-49e2-88cd-1351ccd720a8"/>
    <xsd:import namespace="8e99bad0-3155-475a-8063-b4d93685c2a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Hypelink"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2da31b-d518-49e2-88cd-1351ccd72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Hypelink" ma:index="26" nillable="true" ma:displayName="Hypelink" ma:format="Hyperlink" ma:internalName="Hyp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99bad0-3155-475a-8063-b4d93685c2ad"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142ff2ae-b80c-41f6-b4f1-f813bc1fe85a}" ma:internalName="TaxCatchAll" ma:showField="CatchAllData" ma:web="8e99bad0-3155-475a-8063-b4d93685c2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Hypelink xmlns="822da31b-d518-49e2-88cd-1351ccd720a8">
      <Url xsi:nil="true"/>
      <Description xsi:nil="true"/>
    </Hypelink>
    <lcf76f155ced4ddcb4097134ff3c332f xmlns="822da31b-d518-49e2-88cd-1351ccd720a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6CABEFC-69DB-4CFD-A728-704BB72CC9CE}"/>
</file>

<file path=customXml/itemProps2.xml><?xml version="1.0" encoding="utf-8"?>
<ds:datastoreItem xmlns:ds="http://schemas.openxmlformats.org/officeDocument/2006/customXml" ds:itemID="{394229E0-0CCC-4422-B921-C604BA61B0BA}">
  <ds:schemaRefs>
    <ds:schemaRef ds:uri="http://schemas.microsoft.com/sharepoint/v3/contenttype/forms"/>
  </ds:schemaRefs>
</ds:datastoreItem>
</file>

<file path=customXml/itemProps3.xml><?xml version="1.0" encoding="utf-8"?>
<ds:datastoreItem xmlns:ds="http://schemas.openxmlformats.org/officeDocument/2006/customXml" ds:itemID="{ED6F3C6F-3E93-4A92-AD8B-74108D7E9DD6}">
  <ds:schemaRefs>
    <ds:schemaRef ds:uri="http://schemas.microsoft.com/office/2006/metadata/properties"/>
    <ds:schemaRef ds:uri="http://schemas.microsoft.com/office/infopath/2007/PartnerControls"/>
    <ds:schemaRef ds:uri="985ec44e-1bab-4c0b-9df0-6ba128686fc9"/>
    <ds:schemaRef ds:uri="822da31b-d518-49e2-88cd-1351ccd720a8"/>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6</Pages>
  <Words>2286</Words>
  <Characters>13035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15291</CharactersWithSpaces>
  <SharedDoc>false</SharedDoc>
  <HLinks>
    <vt:vector size="18" baseType="variant">
      <vt:variant>
        <vt:i4>4128859</vt:i4>
      </vt:variant>
      <vt:variant>
        <vt:i4>6</vt:i4>
      </vt:variant>
      <vt:variant>
        <vt:i4>0</vt:i4>
      </vt:variant>
      <vt:variant>
        <vt:i4>5</vt:i4>
      </vt:variant>
      <vt:variant>
        <vt:lpwstr>mailto:alexander.romanov@un.org</vt:lpwstr>
      </vt:variant>
      <vt:variant>
        <vt:lpwstr/>
      </vt:variant>
      <vt:variant>
        <vt:i4>393334</vt:i4>
      </vt:variant>
      <vt:variant>
        <vt:i4>3</vt:i4>
      </vt:variant>
      <vt:variant>
        <vt:i4>0</vt:i4>
      </vt:variant>
      <vt:variant>
        <vt:i4>5</vt:i4>
      </vt:variant>
      <vt:variant>
        <vt:lpwstr>mailto:brenda.koekkoek@un.org</vt:lpwstr>
      </vt:variant>
      <vt:variant>
        <vt:lpwstr/>
      </vt:variant>
      <vt:variant>
        <vt:i4>5505083</vt:i4>
      </vt:variant>
      <vt:variant>
        <vt:i4>0</vt:i4>
      </vt:variant>
      <vt:variant>
        <vt:i4>0</vt:i4>
      </vt:variant>
      <vt:variant>
        <vt:i4>5</vt:i4>
      </vt:variant>
      <vt:variant>
        <vt:lpwstr>mailto:mea-minamatasecretariat@un.org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Laila Said Al-shamali</cp:lastModifiedBy>
  <cp:revision>2</cp:revision>
  <dcterms:created xsi:type="dcterms:W3CDTF">2026-05-11T06:01:00Z</dcterms:created>
  <dcterms:modified xsi:type="dcterms:W3CDTF">2026-05-11T06:01:00Z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0x010100D4A186B34AAF4047A570F9DFA6808567</vt:lpwstr>
  </property>
  <property fmtid="{D5CDD505-2E9C-101B-9397-08002B2CF9AE}" pid="3" name="MediaServiceImageTags">
    <vt:lpwstr/>
  </property>
</Properties>
</file>