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6293A" w14:textId="42ED991D" w:rsidR="00EB65F8" w:rsidRPr="00F434D8" w:rsidRDefault="00F434D8">
      <w:pPr>
        <w:rPr>
          <w:lang w:val="en-GB"/>
        </w:rPr>
      </w:pPr>
      <w:r w:rsidRPr="00F434D8">
        <w:rPr>
          <w:b/>
          <w:bCs/>
        </w:rPr>
        <w:t>Registar onečišćavanja okoliša (ROO),</w:t>
      </w:r>
      <w:r>
        <w:t xml:space="preserve"> </w:t>
      </w:r>
      <w:r w:rsidRPr="00F434D8">
        <w:rPr>
          <w:lang w:val="en-GB"/>
        </w:rPr>
        <w:t>national EPRTR database, engl. Environmental Pollution Register (EPR)</w:t>
      </w:r>
      <w:r>
        <w:rPr>
          <w:lang w:val="en-GB"/>
        </w:rPr>
        <w:t xml:space="preserve">, joint part is also </w:t>
      </w:r>
      <w:r w:rsidRPr="00F434D8">
        <w:t xml:space="preserve">Javni preglednik </w:t>
      </w:r>
      <w:r>
        <w:t>ROO</w:t>
      </w:r>
      <w:r w:rsidRPr="00F434D8">
        <w:t>, engl</w:t>
      </w:r>
      <w:r>
        <w:rPr>
          <w:lang w:val="en-GB"/>
        </w:rPr>
        <w:t>. Public Browser EPR</w:t>
      </w:r>
    </w:p>
    <w:p w14:paraId="73BE1CC4" w14:textId="3C79D200" w:rsidR="00F434D8" w:rsidRDefault="00F434D8">
      <w:pPr>
        <w:rPr>
          <w:lang w:val="en-GB"/>
        </w:rPr>
      </w:pPr>
      <w:r w:rsidRPr="00F434D8">
        <w:rPr>
          <w:lang w:val="en-GB"/>
        </w:rPr>
        <w:t xml:space="preserve">Link: </w:t>
      </w:r>
      <w:hyperlink r:id="rId4" w:history="1">
        <w:r w:rsidRPr="00F434D8">
          <w:rPr>
            <w:rStyle w:val="Hyperlink"/>
            <w:lang w:val="en-GB"/>
          </w:rPr>
          <w:t>https://roo.azo.hr/</w:t>
        </w:r>
      </w:hyperlink>
      <w:r w:rsidRPr="00F434D8">
        <w:rPr>
          <w:lang w:val="en-GB"/>
        </w:rPr>
        <w:t xml:space="preserve"> </w:t>
      </w:r>
    </w:p>
    <w:p w14:paraId="6465B24F" w14:textId="77777777" w:rsidR="00097275" w:rsidRDefault="00097275">
      <w:pPr>
        <w:rPr>
          <w:lang w:val="en-GB"/>
        </w:rPr>
      </w:pPr>
      <w:r>
        <w:rPr>
          <w:lang w:val="en-GB"/>
        </w:rPr>
        <w:t>About EPR:</w:t>
      </w:r>
    </w:p>
    <w:p w14:paraId="780D5F4E" w14:textId="10A387E9" w:rsidR="00097275" w:rsidRDefault="00B55FF9" w:rsidP="00097275">
      <w:pPr>
        <w:jc w:val="both"/>
        <w:rPr>
          <w:lang w:val="en-GB"/>
        </w:rPr>
      </w:pPr>
      <w:r>
        <w:rPr>
          <w:lang w:val="en-GB"/>
        </w:rPr>
        <w:t xml:space="preserve">Database exist since 2008. </w:t>
      </w:r>
      <w:r w:rsidR="00097275" w:rsidRPr="00097275">
        <w:rPr>
          <w:lang w:val="en-GB"/>
        </w:rPr>
        <w:t>Data on releases and/or transfers of pollutants and waste generated, collected and treated as a result of a range of activities</w:t>
      </w:r>
      <w:r w:rsidR="00097275">
        <w:rPr>
          <w:lang w:val="en-GB"/>
        </w:rPr>
        <w:t>,</w:t>
      </w:r>
      <w:r w:rsidR="00097275" w:rsidRPr="00097275">
        <w:rPr>
          <w:lang w:val="en-GB"/>
        </w:rPr>
        <w:t xml:space="preserve"> are collected into the EPR system from point sources of pollution in accordance with the provisions of the EPR Ordinance</w:t>
      </w:r>
      <w:r w:rsidR="00097275">
        <w:rPr>
          <w:lang w:val="en-GB"/>
        </w:rPr>
        <w:t xml:space="preserve"> (O.G. 03/22)</w:t>
      </w:r>
      <w:r w:rsidR="00097275" w:rsidRPr="00097275">
        <w:rPr>
          <w:lang w:val="en-GB"/>
        </w:rPr>
        <w:t xml:space="preserve">. The current Croatian system covers significantly more pollutants with generally stricter release and/or transfer thresholds. Thus, Annex 1 to the 2008 EPR Ordinance covered a significantly wider range of industrial and non-industrial activities, with lower capacity thresholds than </w:t>
      </w:r>
      <w:r w:rsidR="00097275">
        <w:rPr>
          <w:lang w:val="en-GB"/>
        </w:rPr>
        <w:t xml:space="preserve">for example </w:t>
      </w:r>
      <w:r w:rsidR="00097275" w:rsidRPr="00097275">
        <w:rPr>
          <w:lang w:val="en-GB"/>
        </w:rPr>
        <w:t xml:space="preserve">Annex I to the </w:t>
      </w:r>
      <w:r w:rsidR="00097275">
        <w:rPr>
          <w:lang w:val="en-GB"/>
        </w:rPr>
        <w:t xml:space="preserve">PRTR </w:t>
      </w:r>
      <w:r w:rsidR="00097275" w:rsidRPr="00097275">
        <w:rPr>
          <w:lang w:val="en-GB"/>
        </w:rPr>
        <w:t xml:space="preserve">Protocol. In accordance with the new EPR Ordinance, as stated, there have been changes to both the list of pollutants (Annex 2) and the list of activities (Annex 1), but the content of the EPR system is still more extensive than that envisaged by the </w:t>
      </w:r>
      <w:r w:rsidR="00097275">
        <w:rPr>
          <w:lang w:val="en-GB"/>
        </w:rPr>
        <w:t xml:space="preserve">PRTR </w:t>
      </w:r>
      <w:r w:rsidR="00097275" w:rsidRPr="00097275">
        <w:rPr>
          <w:lang w:val="en-GB"/>
        </w:rPr>
        <w:t>Protocol.</w:t>
      </w:r>
    </w:p>
    <w:p w14:paraId="207A1FD8" w14:textId="77777777" w:rsidR="00097275" w:rsidRPr="00F434D8" w:rsidRDefault="00097275">
      <w:pPr>
        <w:rPr>
          <w:lang w:val="en-GB"/>
        </w:rPr>
      </w:pPr>
    </w:p>
    <w:p w14:paraId="6E1A3F2B" w14:textId="08F85E75" w:rsidR="00F434D8" w:rsidRDefault="00F434D8">
      <w:pPr>
        <w:rPr>
          <w:lang w:val="en-GB"/>
        </w:rPr>
      </w:pPr>
      <w:r w:rsidRPr="00F434D8">
        <w:rPr>
          <w:lang w:val="en-GB"/>
        </w:rPr>
        <w:t xml:space="preserve">Data are also available on </w:t>
      </w:r>
      <w:r w:rsidRPr="00F434D8">
        <w:rPr>
          <w:b/>
          <w:bCs/>
          <w:lang w:val="en-GB"/>
        </w:rPr>
        <w:t xml:space="preserve">ENVI, Atlas </w:t>
      </w:r>
      <w:r w:rsidRPr="00F434D8">
        <w:rPr>
          <w:b/>
          <w:bCs/>
        </w:rPr>
        <w:t>okoliša</w:t>
      </w:r>
      <w:r w:rsidRPr="00F434D8">
        <w:t>, engl</w:t>
      </w:r>
      <w:r>
        <w:rPr>
          <w:lang w:val="en-GB"/>
        </w:rPr>
        <w:t xml:space="preserve">. </w:t>
      </w:r>
      <w:r w:rsidRPr="00F434D8">
        <w:rPr>
          <w:lang w:val="en-GB"/>
        </w:rPr>
        <w:t>Atlas of the Environment</w:t>
      </w:r>
    </w:p>
    <w:p w14:paraId="79CB2936" w14:textId="58115C4D" w:rsidR="00F434D8" w:rsidRDefault="00F434D8">
      <w:pPr>
        <w:rPr>
          <w:lang w:val="en-GB"/>
        </w:rPr>
      </w:pPr>
      <w:r>
        <w:rPr>
          <w:lang w:val="en-GB"/>
        </w:rPr>
        <w:t xml:space="preserve">Link: </w:t>
      </w:r>
      <w:hyperlink r:id="rId5" w:history="1">
        <w:r w:rsidRPr="00527719">
          <w:rPr>
            <w:rStyle w:val="Hyperlink"/>
            <w:lang w:val="en-GB"/>
          </w:rPr>
          <w:t>https://envi.azo.hr/</w:t>
        </w:r>
      </w:hyperlink>
      <w:r>
        <w:rPr>
          <w:lang w:val="en-GB"/>
        </w:rPr>
        <w:t xml:space="preserve"> </w:t>
      </w:r>
    </w:p>
    <w:p w14:paraId="1B00A2C8" w14:textId="2823E38E" w:rsidR="00F434D8" w:rsidRPr="00F434D8" w:rsidRDefault="00F434D8">
      <w:pPr>
        <w:rPr>
          <w:lang w:val="en-GB"/>
        </w:rPr>
      </w:pPr>
      <w:r>
        <w:rPr>
          <w:lang w:val="en-GB"/>
        </w:rPr>
        <w:t>National report on EPR data (</w:t>
      </w:r>
      <w:r w:rsidRPr="00F434D8">
        <w:t>Izvješća o podacima iz baze ROO)</w:t>
      </w:r>
      <w:r>
        <w:rPr>
          <w:lang w:val="en-GB"/>
        </w:rPr>
        <w:t xml:space="preserve"> are available </w:t>
      </w:r>
      <w:r w:rsidR="00B55FF9">
        <w:rPr>
          <w:lang w:val="en-GB"/>
        </w:rPr>
        <w:t xml:space="preserve">on Croatian language </w:t>
      </w:r>
      <w:r>
        <w:rPr>
          <w:lang w:val="en-GB"/>
        </w:rPr>
        <w:t xml:space="preserve">on link: </w:t>
      </w:r>
      <w:hyperlink r:id="rId6" w:history="1">
        <w:r w:rsidRPr="00527719">
          <w:rPr>
            <w:rStyle w:val="Hyperlink"/>
            <w:lang w:val="en-GB"/>
          </w:rPr>
          <w:t>https://www.haop.hr/hr/tematska-podrucja/otpad-registri-oneciscavanja-i-ostali-sektorski-pritisci/postrojenja-i-registri-2</w:t>
        </w:r>
      </w:hyperlink>
      <w:r>
        <w:rPr>
          <w:lang w:val="en-GB"/>
        </w:rPr>
        <w:t xml:space="preserve"> </w:t>
      </w:r>
    </w:p>
    <w:sectPr w:rsidR="00F434D8" w:rsidRPr="00F434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D8"/>
    <w:rsid w:val="00097275"/>
    <w:rsid w:val="002C6392"/>
    <w:rsid w:val="006D2751"/>
    <w:rsid w:val="00A11C20"/>
    <w:rsid w:val="00B55FF9"/>
    <w:rsid w:val="00C94BDC"/>
    <w:rsid w:val="00EB65F8"/>
    <w:rsid w:val="00F434D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EF6FF"/>
  <w15:chartTrackingRefBased/>
  <w15:docId w15:val="{07BF0DE8-0686-4CA2-8F6C-A07CC3A2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4D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434D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434D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434D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434D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43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4D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434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434D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434D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434D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43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4D8"/>
    <w:rPr>
      <w:rFonts w:eastAsiaTheme="majorEastAsia" w:cstheme="majorBidi"/>
      <w:color w:val="272727" w:themeColor="text1" w:themeTint="D8"/>
    </w:rPr>
  </w:style>
  <w:style w:type="paragraph" w:styleId="Title">
    <w:name w:val="Title"/>
    <w:basedOn w:val="Normal"/>
    <w:next w:val="Normal"/>
    <w:link w:val="TitleChar"/>
    <w:uiPriority w:val="10"/>
    <w:qFormat/>
    <w:rsid w:val="00F43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4D8"/>
    <w:pPr>
      <w:spacing w:before="160"/>
      <w:jc w:val="center"/>
    </w:pPr>
    <w:rPr>
      <w:i/>
      <w:iCs/>
      <w:color w:val="404040" w:themeColor="text1" w:themeTint="BF"/>
    </w:rPr>
  </w:style>
  <w:style w:type="character" w:customStyle="1" w:styleId="QuoteChar">
    <w:name w:val="Quote Char"/>
    <w:basedOn w:val="DefaultParagraphFont"/>
    <w:link w:val="Quote"/>
    <w:uiPriority w:val="29"/>
    <w:rsid w:val="00F434D8"/>
    <w:rPr>
      <w:i/>
      <w:iCs/>
      <w:color w:val="404040" w:themeColor="text1" w:themeTint="BF"/>
    </w:rPr>
  </w:style>
  <w:style w:type="paragraph" w:styleId="ListParagraph">
    <w:name w:val="List Paragraph"/>
    <w:basedOn w:val="Normal"/>
    <w:uiPriority w:val="34"/>
    <w:qFormat/>
    <w:rsid w:val="00F434D8"/>
    <w:pPr>
      <w:ind w:left="720"/>
      <w:contextualSpacing/>
    </w:pPr>
  </w:style>
  <w:style w:type="character" w:styleId="IntenseEmphasis">
    <w:name w:val="Intense Emphasis"/>
    <w:basedOn w:val="DefaultParagraphFont"/>
    <w:uiPriority w:val="21"/>
    <w:qFormat/>
    <w:rsid w:val="00F434D8"/>
    <w:rPr>
      <w:i/>
      <w:iCs/>
      <w:color w:val="2E74B5" w:themeColor="accent1" w:themeShade="BF"/>
    </w:rPr>
  </w:style>
  <w:style w:type="paragraph" w:styleId="IntenseQuote">
    <w:name w:val="Intense Quote"/>
    <w:basedOn w:val="Normal"/>
    <w:next w:val="Normal"/>
    <w:link w:val="IntenseQuoteChar"/>
    <w:uiPriority w:val="30"/>
    <w:qFormat/>
    <w:rsid w:val="00F434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434D8"/>
    <w:rPr>
      <w:i/>
      <w:iCs/>
      <w:color w:val="2E74B5" w:themeColor="accent1" w:themeShade="BF"/>
    </w:rPr>
  </w:style>
  <w:style w:type="character" w:styleId="IntenseReference">
    <w:name w:val="Intense Reference"/>
    <w:basedOn w:val="DefaultParagraphFont"/>
    <w:uiPriority w:val="32"/>
    <w:qFormat/>
    <w:rsid w:val="00F434D8"/>
    <w:rPr>
      <w:b/>
      <w:bCs/>
      <w:smallCaps/>
      <w:color w:val="2E74B5" w:themeColor="accent1" w:themeShade="BF"/>
      <w:spacing w:val="5"/>
    </w:rPr>
  </w:style>
  <w:style w:type="character" w:styleId="Hyperlink">
    <w:name w:val="Hyperlink"/>
    <w:basedOn w:val="DefaultParagraphFont"/>
    <w:uiPriority w:val="99"/>
    <w:unhideWhenUsed/>
    <w:rsid w:val="00F434D8"/>
    <w:rPr>
      <w:color w:val="0563C1" w:themeColor="hyperlink"/>
      <w:u w:val="single"/>
    </w:rPr>
  </w:style>
  <w:style w:type="character" w:styleId="UnresolvedMention">
    <w:name w:val="Unresolved Mention"/>
    <w:basedOn w:val="DefaultParagraphFont"/>
    <w:uiPriority w:val="99"/>
    <w:semiHidden/>
    <w:unhideWhenUsed/>
    <w:rsid w:val="00F43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op.hr/hr/tematska-podrucja/otpad-registri-oneciscavanja-i-ostali-sektorski-pritisci/postrojenja-i-registri-2" TargetMode="External"/><Relationship Id="rId11" Type="http://schemas.openxmlformats.org/officeDocument/2006/relationships/customXml" Target="../customXml/item3.xml"/><Relationship Id="rId5" Type="http://schemas.openxmlformats.org/officeDocument/2006/relationships/hyperlink" Target="https://envi.azo.hr/" TargetMode="External"/><Relationship Id="rId10" Type="http://schemas.openxmlformats.org/officeDocument/2006/relationships/customXml" Target="../customXml/item2.xml"/><Relationship Id="rId4" Type="http://schemas.openxmlformats.org/officeDocument/2006/relationships/hyperlink" Target="https://roo.azo.hr/"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1" ma:contentTypeDescription="Crée un document." ma:contentTypeScope="" ma:versionID="fce0365f084aa83c939fd411890ab9a5">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da1c42d73d31e540a9d6d98fc89285d8"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197D8B-8277-47CA-90C1-27E59266A0AE}"/>
</file>

<file path=customXml/itemProps2.xml><?xml version="1.0" encoding="utf-8"?>
<ds:datastoreItem xmlns:ds="http://schemas.openxmlformats.org/officeDocument/2006/customXml" ds:itemID="{1324DD50-791D-4ABD-A62F-ADDA6901ADB0}"/>
</file>

<file path=customXml/itemProps3.xml><?xml version="1.0" encoding="utf-8"?>
<ds:datastoreItem xmlns:ds="http://schemas.openxmlformats.org/officeDocument/2006/customXml" ds:itemID="{F7AB70CF-CB74-48D8-BFE8-A3D6BCA5810D}"/>
</file>

<file path=docProps/app.xml><?xml version="1.0" encoding="utf-8"?>
<Properties xmlns="http://schemas.openxmlformats.org/officeDocument/2006/extended-properties" xmlns:vt="http://schemas.openxmlformats.org/officeDocument/2006/docPropsVTypes">
  <Template>Normal</Template>
  <TotalTime>14</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Andrina Crnjak Thavenet</dc:creator>
  <cp:keywords/>
  <dc:description/>
  <cp:lastModifiedBy>Andrina Crnjak Thavenet</cp:lastModifiedBy>
  <cp:revision>2</cp:revision>
  <dcterms:created xsi:type="dcterms:W3CDTF">2025-12-23T12:19:00Z</dcterms:created>
  <dcterms:modified xsi:type="dcterms:W3CDTF">2025-12-23T12:34:00Z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