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A59BAD" w14:textId="77777777" w:rsidR="00A32A52" w:rsidRPr="00A32A52" w:rsidRDefault="00A32A52" w:rsidP="00A32A52">
      <w:r w:rsidRPr="00A32A52">
        <w:rPr>
          <w:b/>
          <w:bCs/>
          <w:u w:val="single"/>
          <w:lang w:val="en-GB"/>
        </w:rPr>
        <w:t>Annex to Article 4</w:t>
      </w:r>
      <w:r w:rsidRPr="00A32A52">
        <w:t> </w:t>
      </w:r>
    </w:p>
    <w:p w14:paraId="705215E9" w14:textId="77777777" w:rsidR="00A32A52" w:rsidRPr="00A32A52" w:rsidRDefault="00A32A52" w:rsidP="00A32A52">
      <w:r w:rsidRPr="00A32A52">
        <w:rPr>
          <w:b/>
          <w:bCs/>
          <w:u w:val="single"/>
          <w:lang w:val="en-GB"/>
        </w:rPr>
        <w:t>Canada’s exemptions to Article 4</w:t>
      </w:r>
      <w:r w:rsidRPr="00A32A52">
        <w:t> </w:t>
      </w:r>
    </w:p>
    <w:p w14:paraId="096DC1D0" w14:textId="2E196892" w:rsidR="00A32A52" w:rsidRPr="00A32A52" w:rsidRDefault="00A32A52" w:rsidP="00A32A52">
      <w:r w:rsidRPr="00A32A52">
        <w:t> </w:t>
      </w:r>
      <w:r w:rsidRPr="00A32A52">
        <w:rPr>
          <w:lang w:val="en-GB"/>
        </w:rPr>
        <w:t>Canada had an exemption until 2025 for three sub-categories of lamps containing mercury listed in Part I of Annex A:</w:t>
      </w:r>
      <w:r w:rsidRPr="00A32A52">
        <w:tab/>
      </w:r>
      <w:r w:rsidRPr="00A32A52">
        <w:rPr>
          <w:rFonts w:ascii="Arial" w:hAnsi="Arial" w:cs="Arial"/>
          <w:lang w:val="en-CA"/>
        </w:rPr>
        <w:t> </w:t>
      </w:r>
      <w:r w:rsidRPr="00A32A52">
        <w:t> </w:t>
      </w:r>
    </w:p>
    <w:p w14:paraId="52B0F884" w14:textId="77777777" w:rsidR="00A32A52" w:rsidRPr="00A32A52" w:rsidRDefault="00A32A52" w:rsidP="00A32A52">
      <w:pPr>
        <w:numPr>
          <w:ilvl w:val="0"/>
          <w:numId w:val="1"/>
        </w:numPr>
      </w:pPr>
      <w:r w:rsidRPr="00A32A52">
        <w:rPr>
          <w:lang w:val="en-GB"/>
        </w:rPr>
        <w:t>Linear fluorescent lamps (CFLs) for general lighting purposes: (a)-(b).</w:t>
      </w:r>
      <w:r w:rsidRPr="00A32A52">
        <w:t> </w:t>
      </w:r>
    </w:p>
    <w:p w14:paraId="6A3AC361" w14:textId="77777777" w:rsidR="00A32A52" w:rsidRPr="00A32A52" w:rsidRDefault="00A32A52" w:rsidP="00A32A52">
      <w:pPr>
        <w:numPr>
          <w:ilvl w:val="0"/>
          <w:numId w:val="2"/>
        </w:numPr>
      </w:pPr>
      <w:r w:rsidRPr="00A32A52">
        <w:rPr>
          <w:lang w:val="en-GB"/>
        </w:rPr>
        <w:t>Manufacture, import and export of:</w:t>
      </w:r>
      <w:r w:rsidRPr="00A32A52">
        <w:rPr>
          <w:rFonts w:ascii="Arial" w:hAnsi="Arial" w:cs="Arial"/>
          <w:lang w:val="en-GB"/>
        </w:rPr>
        <w:t> </w:t>
      </w:r>
      <w:r w:rsidRPr="00A32A52">
        <w:rPr>
          <w:rFonts w:ascii="Arial" w:hAnsi="Arial" w:cs="Arial"/>
          <w:lang w:val="en-CA"/>
        </w:rPr>
        <w:t> </w:t>
      </w:r>
      <w:r w:rsidRPr="00A32A52">
        <w:t> </w:t>
      </w:r>
    </w:p>
    <w:p w14:paraId="6B6661DD" w14:textId="77777777" w:rsidR="00A32A52" w:rsidRPr="00A32A52" w:rsidRDefault="00A32A52" w:rsidP="00A32A52">
      <w:pPr>
        <w:numPr>
          <w:ilvl w:val="0"/>
          <w:numId w:val="3"/>
        </w:numPr>
      </w:pPr>
      <w:r w:rsidRPr="00A32A52">
        <w:rPr>
          <w:lang w:val="en-GB"/>
        </w:rPr>
        <w:t>triband phosphor &lt; 60 watts with a mercury content exceeding 5 mg per lamp</w:t>
      </w:r>
      <w:r w:rsidRPr="00A32A52">
        <w:rPr>
          <w:rFonts w:ascii="Arial" w:hAnsi="Arial" w:cs="Arial"/>
          <w:lang w:val="en-GB"/>
        </w:rPr>
        <w:t>  </w:t>
      </w:r>
      <w:r w:rsidRPr="00A32A52">
        <w:t> </w:t>
      </w:r>
    </w:p>
    <w:p w14:paraId="51C53E44" w14:textId="77777777" w:rsidR="00A32A52" w:rsidRPr="00A32A52" w:rsidRDefault="00A32A52" w:rsidP="00A32A52">
      <w:pPr>
        <w:numPr>
          <w:ilvl w:val="0"/>
          <w:numId w:val="4"/>
        </w:numPr>
      </w:pPr>
      <w:r w:rsidRPr="00A32A52">
        <w:rPr>
          <w:lang w:val="en-GB"/>
        </w:rPr>
        <w:t>Mercury in cold cathode fluorescent lamps and external electrode fluorescent lamps (CCFL and EEFL) for electronic displays: (a)-(c).</w:t>
      </w:r>
      <w:r w:rsidRPr="00A32A52">
        <w:rPr>
          <w:rFonts w:ascii="Arial" w:hAnsi="Arial" w:cs="Arial"/>
          <w:lang w:val="en-GB"/>
        </w:rPr>
        <w:t> </w:t>
      </w:r>
      <w:r w:rsidRPr="00A32A52">
        <w:rPr>
          <w:rFonts w:ascii="Arial" w:hAnsi="Arial" w:cs="Arial"/>
          <w:lang w:val="en-CA"/>
        </w:rPr>
        <w:t> </w:t>
      </w:r>
      <w:r w:rsidRPr="00A32A52">
        <w:t> </w:t>
      </w:r>
    </w:p>
    <w:p w14:paraId="16F28E99" w14:textId="77777777" w:rsidR="00A32A52" w:rsidRPr="00A32A52" w:rsidRDefault="00A32A52" w:rsidP="00A32A52">
      <w:pPr>
        <w:numPr>
          <w:ilvl w:val="0"/>
          <w:numId w:val="5"/>
        </w:numPr>
      </w:pPr>
      <w:r w:rsidRPr="00A32A52">
        <w:rPr>
          <w:lang w:val="en-GB"/>
        </w:rPr>
        <w:t>Manufacture, import and export of CCFLs and EEFLs:</w:t>
      </w:r>
      <w:r w:rsidRPr="00A32A52">
        <w:rPr>
          <w:rFonts w:ascii="Arial" w:hAnsi="Arial" w:cs="Arial"/>
          <w:lang w:val="en-GB"/>
        </w:rPr>
        <w:t> </w:t>
      </w:r>
      <w:r w:rsidRPr="00A32A52">
        <w:rPr>
          <w:rFonts w:ascii="Arial" w:hAnsi="Arial" w:cs="Arial"/>
          <w:lang w:val="en-CA"/>
        </w:rPr>
        <w:t> </w:t>
      </w:r>
      <w:r w:rsidRPr="00A32A52">
        <w:t> </w:t>
      </w:r>
    </w:p>
    <w:p w14:paraId="72553987" w14:textId="77777777" w:rsidR="00A32A52" w:rsidRPr="00A32A52" w:rsidRDefault="00A32A52" w:rsidP="00A32A52">
      <w:pPr>
        <w:numPr>
          <w:ilvl w:val="0"/>
          <w:numId w:val="6"/>
        </w:numPr>
      </w:pPr>
      <w:r w:rsidRPr="00A32A52">
        <w:rPr>
          <w:lang w:val="en-GB"/>
        </w:rPr>
        <w:t>short length (≤ 500 mm) with mercury content exceeding 3.5 mg per lamp</w:t>
      </w:r>
      <w:r w:rsidRPr="00A32A52">
        <w:rPr>
          <w:rFonts w:ascii="Arial" w:hAnsi="Arial" w:cs="Arial"/>
          <w:lang w:val="en-GB"/>
        </w:rPr>
        <w:t> </w:t>
      </w:r>
      <w:r w:rsidRPr="00A32A52">
        <w:rPr>
          <w:rFonts w:ascii="Arial" w:hAnsi="Arial" w:cs="Arial"/>
          <w:lang w:val="en-CA"/>
        </w:rPr>
        <w:t> </w:t>
      </w:r>
      <w:r w:rsidRPr="00A32A52">
        <w:t> </w:t>
      </w:r>
    </w:p>
    <w:p w14:paraId="4A8CE7DA" w14:textId="77777777" w:rsidR="00A32A52" w:rsidRPr="00A32A52" w:rsidRDefault="00A32A52" w:rsidP="00A32A52">
      <w:pPr>
        <w:numPr>
          <w:ilvl w:val="0"/>
          <w:numId w:val="7"/>
        </w:numPr>
      </w:pPr>
      <w:r w:rsidRPr="00A32A52">
        <w:rPr>
          <w:lang w:val="en-GB"/>
        </w:rPr>
        <w:t>medium length (&gt; 500 mm and ≤ 1 500 mm) with mercury content exceeding 5 mg per lamp</w:t>
      </w:r>
      <w:r w:rsidRPr="00A32A52">
        <w:t> </w:t>
      </w:r>
    </w:p>
    <w:p w14:paraId="27113D75" w14:textId="1FCD82A8" w:rsidR="00A32A52" w:rsidRPr="00A32A52" w:rsidRDefault="00A32A52" w:rsidP="00A32A52">
      <w:r w:rsidRPr="00A32A52">
        <w:t> </w:t>
      </w:r>
      <w:r w:rsidRPr="00A32A52">
        <w:rPr>
          <w:b/>
          <w:bCs/>
        </w:rPr>
        <w:t>Summary of the 2024 amendments to Canada’s </w:t>
      </w:r>
      <w:r w:rsidRPr="00A32A52">
        <w:rPr>
          <w:b/>
          <w:bCs/>
          <w:i/>
          <w:iCs/>
        </w:rPr>
        <w:t>Products Containing Mercury Regulations</w:t>
      </w:r>
      <w:r w:rsidRPr="00A32A52">
        <w:t> </w:t>
      </w:r>
    </w:p>
    <w:p w14:paraId="5B6F7803" w14:textId="77777777" w:rsidR="00A32A52" w:rsidRPr="00A32A52" w:rsidRDefault="00A32A52" w:rsidP="00A32A52">
      <w:r w:rsidRPr="00A32A52">
        <w:rPr>
          <w:lang w:val="en-CA"/>
        </w:rPr>
        <w:t>Amendments published in 2024 further tightened these regulations, setting stricter limits on mercury content, and phasing out the manufacture and import of additional common mercury-containing products in 2025. These measures aim to align with the Minamata Convention’s goals and ensure mercury-added products are not manufactured or imported where prohibited. </w:t>
      </w:r>
      <w:r w:rsidRPr="00A32A52">
        <w:t> </w:t>
      </w:r>
    </w:p>
    <w:p w14:paraId="5E5BE201" w14:textId="77777777" w:rsidR="00A32A52" w:rsidRPr="00A32A52" w:rsidRDefault="00A32A52" w:rsidP="00A32A52">
      <w:r w:rsidRPr="00A32A52">
        <w:rPr>
          <w:lang w:val="en-CA"/>
        </w:rPr>
        <w:t>Upon the Amendments coming into force in June 2025, the Amendments lowered the mercury content limit currently allowed for certain straight fluorescent lamps for general lighting purposes. For example, the mercury content limit for triband phosphor T12 lamps that are less than 60 watts will be lowered from 10 mg or 15 mg per lamp to 5 mg per lamp. This was an obligation under the original text of the Minamata Convention, for which Canada had a five-year exemption.</w:t>
      </w:r>
      <w:r w:rsidRPr="00A32A52">
        <w:t> </w:t>
      </w:r>
    </w:p>
    <w:p w14:paraId="05FA352E" w14:textId="77777777" w:rsidR="00A32A52" w:rsidRPr="00A32A52" w:rsidRDefault="00A32A52" w:rsidP="00A32A52">
      <w:r w:rsidRPr="00A32A52">
        <w:rPr>
          <w:lang w:val="en-CA"/>
        </w:rPr>
        <w:t>In June 2025, the import or manufacture of CCFLs and EEFLs were also prohibited, except for lamps used as a replacement part in electronic displays if, and only if, no viable mercury-free alternative is available. This was also an obligation under the original text of the Minamata Convention, for which Canada also had a five-year exemption. </w:t>
      </w:r>
      <w:r w:rsidRPr="00A32A52">
        <w:t> </w:t>
      </w:r>
    </w:p>
    <w:p w14:paraId="6AD6E001" w14:textId="77777777" w:rsidR="00A32A52" w:rsidRPr="00A32A52" w:rsidRDefault="00A32A52" w:rsidP="00A32A52">
      <w:r w:rsidRPr="00A32A52">
        <w:rPr>
          <w:lang w:val="en-CA"/>
        </w:rPr>
        <w:lastRenderedPageBreak/>
        <w:t>In addition, on December 31, 2025, the Amendments prohibited the import and manufacture of the following lamps for general lighting purposes, which are the most common types of lamps containing mercury in Canada:</w:t>
      </w:r>
      <w:r w:rsidRPr="00A32A52">
        <w:t> </w:t>
      </w:r>
    </w:p>
    <w:p w14:paraId="505C6C57" w14:textId="77777777" w:rsidR="00A32A52" w:rsidRPr="00A32A52" w:rsidRDefault="00A32A52" w:rsidP="00A32A52">
      <w:pPr>
        <w:numPr>
          <w:ilvl w:val="0"/>
          <w:numId w:val="8"/>
        </w:numPr>
      </w:pPr>
      <w:r w:rsidRPr="00A32A52">
        <w:rPr>
          <w:lang w:val="en-CA"/>
        </w:rPr>
        <w:t>Screw-base compact fluorescent lamps (or with integrated ballast)</w:t>
      </w:r>
      <w:r w:rsidRPr="00A32A52">
        <w:t> </w:t>
      </w:r>
    </w:p>
    <w:p w14:paraId="04B527B1" w14:textId="77777777" w:rsidR="00A32A52" w:rsidRPr="00A32A52" w:rsidRDefault="00A32A52" w:rsidP="00A32A52">
      <w:pPr>
        <w:numPr>
          <w:ilvl w:val="0"/>
          <w:numId w:val="9"/>
        </w:numPr>
      </w:pPr>
      <w:r w:rsidRPr="00A32A52">
        <w:rPr>
          <w:lang w:val="en-CA"/>
        </w:rPr>
        <w:t>Pin-base compact fluorescent lamps (or with non-integrated ballast)</w:t>
      </w:r>
      <w:r w:rsidRPr="00A32A52">
        <w:t> </w:t>
      </w:r>
    </w:p>
    <w:p w14:paraId="34C05BDC" w14:textId="77777777" w:rsidR="00A32A52" w:rsidRPr="00A32A52" w:rsidRDefault="00A32A52" w:rsidP="00A32A52">
      <w:pPr>
        <w:numPr>
          <w:ilvl w:val="0"/>
          <w:numId w:val="10"/>
        </w:numPr>
      </w:pPr>
      <w:r w:rsidRPr="00A32A52">
        <w:rPr>
          <w:lang w:val="en-CA"/>
        </w:rPr>
        <w:t>Straight (or linear) fluorescent lamps</w:t>
      </w:r>
      <w:r w:rsidRPr="00A32A52">
        <w:t> </w:t>
      </w:r>
    </w:p>
    <w:p w14:paraId="5290E75B" w14:textId="77777777" w:rsidR="00A32A52" w:rsidRPr="00A32A52" w:rsidRDefault="00A32A52" w:rsidP="00A32A52">
      <w:pPr>
        <w:numPr>
          <w:ilvl w:val="0"/>
          <w:numId w:val="11"/>
        </w:numPr>
      </w:pPr>
      <w:r w:rsidRPr="00A32A52">
        <w:rPr>
          <w:lang w:val="en-CA"/>
        </w:rPr>
        <w:t>Non-linear fluorescent lamps</w:t>
      </w:r>
      <w:r w:rsidRPr="00A32A52">
        <w:t> </w:t>
      </w:r>
    </w:p>
    <w:p w14:paraId="1C085F22" w14:textId="77777777" w:rsidR="00A32A52" w:rsidRPr="00A32A52" w:rsidRDefault="00A32A52" w:rsidP="00A32A52">
      <w:r w:rsidRPr="00A32A52">
        <w:rPr>
          <w:lang w:val="en-CA"/>
        </w:rPr>
        <w:t>For transitional purposes, the Amendments will allow replacement lamps to continue to be imported or manufactured for pin-base CFLs, straight fluorescent lamps and non-linear fluorescent lamps for a two-year period ending on December 31, 2027. As a result, these replacement lamps will only be allowed to be imported or manufactured until December 31, 2027, and only to replace lamps that are already in use in existing lamp fixtures (in 2025). With this December 31, 2027, phase out date, Canada will be able to meet all the Convention’s newly adopted phase out dates for lamps, except for three that will come into force in Canada a year after the Convention’s deadlines. Furthermore, </w:t>
      </w:r>
      <w:proofErr w:type="gramStart"/>
      <w:r w:rsidRPr="00A32A52">
        <w:rPr>
          <w:lang w:val="en-CA"/>
        </w:rPr>
        <w:t>in order to</w:t>
      </w:r>
      <w:proofErr w:type="gramEnd"/>
      <w:r w:rsidRPr="00A32A52">
        <w:rPr>
          <w:lang w:val="en-CA"/>
        </w:rPr>
        <w:t> avoid issues of stockpiling in Canada while allowing retailers to sell their stock, the sale of these replacement lamps will be prohibited in Canada on December 31, 2029.</w:t>
      </w:r>
      <w:r w:rsidRPr="00A32A52">
        <w:t> </w:t>
      </w:r>
    </w:p>
    <w:p w14:paraId="0836635D" w14:textId="77777777" w:rsidR="00A32A52" w:rsidRPr="00A32A52" w:rsidRDefault="00A32A52" w:rsidP="00A32A52">
      <w:r w:rsidRPr="00A32A52">
        <w:rPr>
          <w:lang w:val="en-CA"/>
        </w:rPr>
        <w:t>In addition, the Amendments included additional restrictions on the import and manufacture of other categories of lamps containing mercury not currently prohibited under the Convention. The import and manufacture of high-pressure sodium vapour lamps and metal halide lamps used for general lighting purposes in new fixtures will be prohibited on December 31, 2028. However, considering that not all existing fixtures have direct mercury-free replacements yet, the Regulations include an exemption for replacement lamps to be used in existing fixtures, with no end date. This approach aims to promote the use of mercury-free LED lighting in new installations, while allowing for the continued use of existing high intensity discharge fixtures. This phase-down also recognizes that no other jurisdiction is prohibiting these lamps </w:t>
      </w:r>
      <w:proofErr w:type="gramStart"/>
      <w:r w:rsidRPr="00A32A52">
        <w:rPr>
          <w:lang w:val="en-CA"/>
        </w:rPr>
        <w:t>at this time</w:t>
      </w:r>
      <w:proofErr w:type="gramEnd"/>
      <w:r w:rsidRPr="00A32A52">
        <w:rPr>
          <w:lang w:val="en-CA"/>
        </w:rPr>
        <w:t>. Finally, the import and manufacture of bulbs for automobile headlamps containing mercury are prohibited under the Regulations as of December 31st, </w:t>
      </w:r>
      <w:proofErr w:type="gramStart"/>
      <w:r w:rsidRPr="00A32A52">
        <w:rPr>
          <w:lang w:val="en-CA"/>
        </w:rPr>
        <w:t>2025</w:t>
      </w:r>
      <w:proofErr w:type="gramEnd"/>
      <w:r w:rsidRPr="00A32A52">
        <w:rPr>
          <w:lang w:val="en-CA"/>
        </w:rPr>
        <w:t> in Canada, with an exemption for replacement bulbs, with no end date.</w:t>
      </w:r>
      <w:r w:rsidRPr="00A32A52">
        <w:t> </w:t>
      </w:r>
    </w:p>
    <w:p w14:paraId="298E8941" w14:textId="77777777" w:rsidR="00A32A52" w:rsidRPr="00A32A52" w:rsidRDefault="00A32A52" w:rsidP="00A32A52">
      <w:r w:rsidRPr="00A32A52">
        <w:t> </w:t>
      </w:r>
    </w:p>
    <w:p w14:paraId="5C344B5E" w14:textId="77777777" w:rsidR="00A32A52" w:rsidRPr="00A32A52" w:rsidRDefault="00A32A52" w:rsidP="00A32A52">
      <w:r w:rsidRPr="00A32A52">
        <w:rPr>
          <w:b/>
          <w:bCs/>
        </w:rPr>
        <w:t>Table. Comparison of phase out dates for mercury-added products under the Minamata Convention and Canada’s Regulations</w:t>
      </w:r>
      <w:r w:rsidRPr="00A32A52">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810"/>
        <w:gridCol w:w="1410"/>
        <w:gridCol w:w="2400"/>
        <w:gridCol w:w="1695"/>
      </w:tblGrid>
      <w:tr w:rsidR="00A32A52" w:rsidRPr="00A32A52" w14:paraId="7D7F25B9" w14:textId="77777777">
        <w:trPr>
          <w:trHeight w:val="300"/>
        </w:trPr>
        <w:tc>
          <w:tcPr>
            <w:tcW w:w="3810" w:type="dxa"/>
            <w:tcBorders>
              <w:top w:val="single" w:sz="6" w:space="0" w:color="auto"/>
              <w:left w:val="single" w:sz="6" w:space="0" w:color="auto"/>
              <w:bottom w:val="single" w:sz="6" w:space="0" w:color="auto"/>
              <w:right w:val="single" w:sz="6" w:space="0" w:color="auto"/>
            </w:tcBorders>
            <w:hideMark/>
          </w:tcPr>
          <w:p w14:paraId="5D3C3D4C" w14:textId="77777777" w:rsidR="00A32A52" w:rsidRPr="00A32A52" w:rsidRDefault="00A32A52" w:rsidP="00A32A52">
            <w:r w:rsidRPr="00A32A52">
              <w:rPr>
                <w:b/>
                <w:bCs/>
              </w:rPr>
              <w:lastRenderedPageBreak/>
              <w:t>Mercury-added products </w:t>
            </w:r>
            <w:r w:rsidRPr="00A32A52">
              <w:t> </w:t>
            </w:r>
          </w:p>
        </w:tc>
        <w:tc>
          <w:tcPr>
            <w:tcW w:w="1410" w:type="dxa"/>
            <w:tcBorders>
              <w:top w:val="single" w:sz="6" w:space="0" w:color="auto"/>
              <w:left w:val="single" w:sz="6" w:space="0" w:color="auto"/>
              <w:bottom w:val="single" w:sz="6" w:space="0" w:color="auto"/>
              <w:right w:val="single" w:sz="6" w:space="0" w:color="auto"/>
            </w:tcBorders>
            <w:hideMark/>
          </w:tcPr>
          <w:p w14:paraId="6B0878E1" w14:textId="77777777" w:rsidR="00A32A52" w:rsidRPr="00A32A52" w:rsidRDefault="00A32A52" w:rsidP="00A32A52">
            <w:r w:rsidRPr="00A32A52">
              <w:rPr>
                <w:b/>
                <w:bCs/>
              </w:rPr>
              <w:t>Minamata Convention</w:t>
            </w:r>
            <w:r w:rsidRPr="00A32A52">
              <w:t> </w:t>
            </w:r>
          </w:p>
        </w:tc>
        <w:tc>
          <w:tcPr>
            <w:tcW w:w="2400" w:type="dxa"/>
            <w:tcBorders>
              <w:top w:val="single" w:sz="6" w:space="0" w:color="auto"/>
              <w:left w:val="single" w:sz="6" w:space="0" w:color="auto"/>
              <w:bottom w:val="single" w:sz="6" w:space="0" w:color="auto"/>
              <w:right w:val="single" w:sz="6" w:space="0" w:color="auto"/>
            </w:tcBorders>
            <w:hideMark/>
          </w:tcPr>
          <w:p w14:paraId="3F123BA3" w14:textId="77777777" w:rsidR="00A32A52" w:rsidRPr="00A32A52" w:rsidRDefault="00A32A52" w:rsidP="00A32A52">
            <w:r w:rsidRPr="00A32A52">
              <w:rPr>
                <w:b/>
                <w:bCs/>
              </w:rPr>
              <w:t>Canada’s Regulations (PCMR, unless otherwise specified)</w:t>
            </w:r>
            <w:r w:rsidRPr="00A32A52">
              <w:t> </w:t>
            </w:r>
          </w:p>
        </w:tc>
        <w:tc>
          <w:tcPr>
            <w:tcW w:w="1695" w:type="dxa"/>
            <w:tcBorders>
              <w:top w:val="single" w:sz="6" w:space="0" w:color="auto"/>
              <w:left w:val="single" w:sz="6" w:space="0" w:color="auto"/>
              <w:bottom w:val="single" w:sz="6" w:space="0" w:color="auto"/>
              <w:right w:val="single" w:sz="6" w:space="0" w:color="auto"/>
            </w:tcBorders>
            <w:hideMark/>
          </w:tcPr>
          <w:p w14:paraId="3986A545" w14:textId="77777777" w:rsidR="00A32A52" w:rsidRPr="00A32A52" w:rsidRDefault="00A32A52" w:rsidP="00A32A52">
            <w:r w:rsidRPr="00A32A52">
              <w:rPr>
                <w:b/>
                <w:bCs/>
              </w:rPr>
              <w:t>Notes on Canada’s compliance</w:t>
            </w:r>
            <w:r w:rsidRPr="00A32A52">
              <w:t> </w:t>
            </w:r>
          </w:p>
        </w:tc>
      </w:tr>
      <w:tr w:rsidR="00A32A52" w:rsidRPr="00A32A52" w14:paraId="4C505D37" w14:textId="77777777">
        <w:trPr>
          <w:trHeight w:val="300"/>
        </w:trPr>
        <w:tc>
          <w:tcPr>
            <w:tcW w:w="3810" w:type="dxa"/>
            <w:tcBorders>
              <w:top w:val="single" w:sz="6" w:space="0" w:color="auto"/>
              <w:left w:val="single" w:sz="6" w:space="0" w:color="auto"/>
              <w:bottom w:val="single" w:sz="6" w:space="0" w:color="auto"/>
              <w:right w:val="single" w:sz="6" w:space="0" w:color="auto"/>
            </w:tcBorders>
            <w:hideMark/>
          </w:tcPr>
          <w:p w14:paraId="11D72C5C" w14:textId="77777777" w:rsidR="00A32A52" w:rsidRPr="00A32A52" w:rsidRDefault="00A32A52" w:rsidP="00A32A52">
            <w:r w:rsidRPr="00A32A52">
              <w:t xml:space="preserve">Batteries, except for button zinc silver oxide batteries with </w:t>
            </w:r>
            <w:proofErr w:type="gramStart"/>
            <w:r w:rsidRPr="00A32A52">
              <w:t>a mercury</w:t>
            </w:r>
            <w:proofErr w:type="gramEnd"/>
            <w:r w:rsidRPr="00A32A52">
              <w:t xml:space="preserve"> content &lt; 2% and button zinc air batteries with </w:t>
            </w:r>
            <w:proofErr w:type="gramStart"/>
            <w:r w:rsidRPr="00A32A52">
              <w:t>a mercury</w:t>
            </w:r>
            <w:proofErr w:type="gramEnd"/>
            <w:r w:rsidRPr="00A32A52">
              <w:t xml:space="preserve"> content &lt; 2% </w:t>
            </w:r>
          </w:p>
        </w:tc>
        <w:tc>
          <w:tcPr>
            <w:tcW w:w="1410" w:type="dxa"/>
            <w:tcBorders>
              <w:top w:val="single" w:sz="6" w:space="0" w:color="auto"/>
              <w:left w:val="single" w:sz="6" w:space="0" w:color="auto"/>
              <w:bottom w:val="single" w:sz="6" w:space="0" w:color="auto"/>
              <w:right w:val="single" w:sz="6" w:space="0" w:color="auto"/>
            </w:tcBorders>
            <w:hideMark/>
          </w:tcPr>
          <w:p w14:paraId="06CD8C88" w14:textId="77777777" w:rsidR="00A32A52" w:rsidRPr="00A32A52" w:rsidRDefault="00A32A52" w:rsidP="00A32A52">
            <w:r w:rsidRPr="00A32A52">
              <w:t>2020 </w:t>
            </w:r>
          </w:p>
        </w:tc>
        <w:tc>
          <w:tcPr>
            <w:tcW w:w="2400" w:type="dxa"/>
            <w:tcBorders>
              <w:top w:val="single" w:sz="6" w:space="0" w:color="auto"/>
              <w:left w:val="single" w:sz="6" w:space="0" w:color="auto"/>
              <w:bottom w:val="single" w:sz="6" w:space="0" w:color="auto"/>
              <w:right w:val="single" w:sz="6" w:space="0" w:color="auto"/>
            </w:tcBorders>
            <w:hideMark/>
          </w:tcPr>
          <w:p w14:paraId="1694FF59" w14:textId="77777777" w:rsidR="00A32A52" w:rsidRPr="00A32A52" w:rsidRDefault="00A32A52" w:rsidP="00A32A52">
            <w:r w:rsidRPr="00A32A52">
              <w:t>November</w:t>
            </w:r>
            <w:r w:rsidRPr="00A32A52">
              <w:rPr>
                <w:rFonts w:ascii="Arial" w:hAnsi="Arial" w:cs="Arial"/>
              </w:rPr>
              <w:t> </w:t>
            </w:r>
            <w:r w:rsidRPr="00A32A52">
              <w:t xml:space="preserve">8, </w:t>
            </w:r>
            <w:proofErr w:type="gramStart"/>
            <w:r w:rsidRPr="00A32A52">
              <w:t>2015</w:t>
            </w:r>
            <w:proofErr w:type="gramEnd"/>
            <w:r w:rsidRPr="00A32A52">
              <w:t> </w:t>
            </w:r>
          </w:p>
        </w:tc>
        <w:tc>
          <w:tcPr>
            <w:tcW w:w="1695" w:type="dxa"/>
            <w:tcBorders>
              <w:top w:val="single" w:sz="6" w:space="0" w:color="auto"/>
              <w:left w:val="single" w:sz="6" w:space="0" w:color="auto"/>
              <w:bottom w:val="single" w:sz="6" w:space="0" w:color="auto"/>
              <w:right w:val="single" w:sz="6" w:space="0" w:color="auto"/>
            </w:tcBorders>
            <w:hideMark/>
          </w:tcPr>
          <w:p w14:paraId="6D14A6D0" w14:textId="77777777" w:rsidR="00A32A52" w:rsidRPr="00A32A52" w:rsidRDefault="00A32A52" w:rsidP="00A32A52">
            <w:r w:rsidRPr="00A32A52">
              <w:t>- </w:t>
            </w:r>
          </w:p>
        </w:tc>
      </w:tr>
      <w:tr w:rsidR="00A32A52" w:rsidRPr="00A32A52" w14:paraId="7190BAD7" w14:textId="77777777">
        <w:trPr>
          <w:trHeight w:val="300"/>
        </w:trPr>
        <w:tc>
          <w:tcPr>
            <w:tcW w:w="3810" w:type="dxa"/>
            <w:tcBorders>
              <w:top w:val="single" w:sz="6" w:space="0" w:color="auto"/>
              <w:left w:val="single" w:sz="6" w:space="0" w:color="auto"/>
              <w:bottom w:val="single" w:sz="6" w:space="0" w:color="auto"/>
              <w:right w:val="single" w:sz="6" w:space="0" w:color="auto"/>
            </w:tcBorders>
            <w:hideMark/>
          </w:tcPr>
          <w:p w14:paraId="4214F74C" w14:textId="77777777" w:rsidR="00A32A52" w:rsidRPr="00A32A52" w:rsidRDefault="00A32A52" w:rsidP="00A32A52">
            <w:r w:rsidRPr="00A32A52">
              <w:t>Button zinc silver oxide batteries with a mercury content &lt; 2% and button zinc air batteries with a mercury content &lt; 2% </w:t>
            </w:r>
          </w:p>
        </w:tc>
        <w:tc>
          <w:tcPr>
            <w:tcW w:w="1410" w:type="dxa"/>
            <w:tcBorders>
              <w:top w:val="single" w:sz="6" w:space="0" w:color="auto"/>
              <w:left w:val="single" w:sz="6" w:space="0" w:color="auto"/>
              <w:bottom w:val="single" w:sz="6" w:space="0" w:color="auto"/>
              <w:right w:val="single" w:sz="6" w:space="0" w:color="auto"/>
            </w:tcBorders>
            <w:hideMark/>
          </w:tcPr>
          <w:p w14:paraId="3960032A" w14:textId="77777777" w:rsidR="00A32A52" w:rsidRPr="00A32A52" w:rsidRDefault="00A32A52" w:rsidP="00A32A52">
            <w:r w:rsidRPr="00A32A52">
              <w:t>2025 </w:t>
            </w:r>
          </w:p>
        </w:tc>
        <w:tc>
          <w:tcPr>
            <w:tcW w:w="2400" w:type="dxa"/>
            <w:tcBorders>
              <w:top w:val="single" w:sz="6" w:space="0" w:color="auto"/>
              <w:left w:val="single" w:sz="6" w:space="0" w:color="auto"/>
              <w:bottom w:val="single" w:sz="6" w:space="0" w:color="auto"/>
              <w:right w:val="single" w:sz="6" w:space="0" w:color="auto"/>
            </w:tcBorders>
            <w:hideMark/>
          </w:tcPr>
          <w:p w14:paraId="336632F5" w14:textId="77777777" w:rsidR="00A32A52" w:rsidRPr="00A32A52" w:rsidRDefault="00A32A52" w:rsidP="00A32A52">
            <w:r w:rsidRPr="00A32A52">
              <w:t xml:space="preserve">December 31, </w:t>
            </w:r>
            <w:proofErr w:type="gramStart"/>
            <w:r w:rsidRPr="00A32A52">
              <w:t>2015</w:t>
            </w:r>
            <w:proofErr w:type="gramEnd"/>
            <w:r w:rsidRPr="00A32A52">
              <w:t> </w:t>
            </w:r>
          </w:p>
        </w:tc>
        <w:tc>
          <w:tcPr>
            <w:tcW w:w="1695" w:type="dxa"/>
            <w:tcBorders>
              <w:top w:val="single" w:sz="6" w:space="0" w:color="auto"/>
              <w:left w:val="single" w:sz="6" w:space="0" w:color="auto"/>
              <w:bottom w:val="single" w:sz="6" w:space="0" w:color="auto"/>
              <w:right w:val="single" w:sz="6" w:space="0" w:color="auto"/>
            </w:tcBorders>
            <w:hideMark/>
          </w:tcPr>
          <w:p w14:paraId="72BDAC87" w14:textId="77777777" w:rsidR="00A32A52" w:rsidRPr="00A32A52" w:rsidRDefault="00A32A52" w:rsidP="00A32A52">
            <w:r w:rsidRPr="00A32A52">
              <w:t>- </w:t>
            </w:r>
          </w:p>
        </w:tc>
      </w:tr>
      <w:tr w:rsidR="00A32A52" w:rsidRPr="00A32A52" w14:paraId="6FD95126" w14:textId="77777777">
        <w:trPr>
          <w:trHeight w:val="300"/>
        </w:trPr>
        <w:tc>
          <w:tcPr>
            <w:tcW w:w="3810" w:type="dxa"/>
            <w:tcBorders>
              <w:top w:val="single" w:sz="6" w:space="0" w:color="auto"/>
              <w:left w:val="single" w:sz="6" w:space="0" w:color="auto"/>
              <w:bottom w:val="single" w:sz="6" w:space="0" w:color="auto"/>
              <w:right w:val="single" w:sz="6" w:space="0" w:color="auto"/>
            </w:tcBorders>
            <w:hideMark/>
          </w:tcPr>
          <w:p w14:paraId="585CB76D" w14:textId="77777777" w:rsidR="00A32A52" w:rsidRPr="00A32A52" w:rsidRDefault="00A32A52" w:rsidP="00A32A52">
            <w:r w:rsidRPr="00A32A52">
              <w:t>Switches and relays, except very high accuracy capacitance and loss measurement bridges and high frequency radio frequency switches and relays in monitoring and control instruments with a maximum mercury content of 20 mg per bridge, switch or relay </w:t>
            </w:r>
          </w:p>
        </w:tc>
        <w:tc>
          <w:tcPr>
            <w:tcW w:w="1410" w:type="dxa"/>
            <w:tcBorders>
              <w:top w:val="single" w:sz="6" w:space="0" w:color="auto"/>
              <w:left w:val="single" w:sz="6" w:space="0" w:color="auto"/>
              <w:bottom w:val="single" w:sz="6" w:space="0" w:color="auto"/>
              <w:right w:val="single" w:sz="6" w:space="0" w:color="auto"/>
            </w:tcBorders>
            <w:hideMark/>
          </w:tcPr>
          <w:p w14:paraId="77F5AB08" w14:textId="77777777" w:rsidR="00A32A52" w:rsidRPr="00A32A52" w:rsidRDefault="00A32A52" w:rsidP="00A32A52">
            <w:r w:rsidRPr="00A32A52">
              <w:t>2020 </w:t>
            </w:r>
          </w:p>
        </w:tc>
        <w:tc>
          <w:tcPr>
            <w:tcW w:w="2400" w:type="dxa"/>
            <w:tcBorders>
              <w:top w:val="single" w:sz="6" w:space="0" w:color="auto"/>
              <w:left w:val="single" w:sz="6" w:space="0" w:color="auto"/>
              <w:bottom w:val="single" w:sz="6" w:space="0" w:color="auto"/>
              <w:right w:val="single" w:sz="6" w:space="0" w:color="auto"/>
            </w:tcBorders>
            <w:hideMark/>
          </w:tcPr>
          <w:p w14:paraId="26AF5B54" w14:textId="77777777" w:rsidR="00A32A52" w:rsidRPr="00A32A52" w:rsidRDefault="00A32A52" w:rsidP="00A32A52">
            <w:r w:rsidRPr="00A32A52">
              <w:t>November</w:t>
            </w:r>
            <w:r w:rsidRPr="00A32A52">
              <w:rPr>
                <w:rFonts w:ascii="Arial" w:hAnsi="Arial" w:cs="Arial"/>
              </w:rPr>
              <w:t> </w:t>
            </w:r>
            <w:r w:rsidRPr="00A32A52">
              <w:t xml:space="preserve">8, </w:t>
            </w:r>
            <w:proofErr w:type="gramStart"/>
            <w:r w:rsidRPr="00A32A52">
              <w:t>2015</w:t>
            </w:r>
            <w:proofErr w:type="gramEnd"/>
            <w:r w:rsidRPr="00A32A52">
              <w:t> </w:t>
            </w:r>
          </w:p>
        </w:tc>
        <w:tc>
          <w:tcPr>
            <w:tcW w:w="1695" w:type="dxa"/>
            <w:tcBorders>
              <w:top w:val="single" w:sz="6" w:space="0" w:color="auto"/>
              <w:left w:val="single" w:sz="6" w:space="0" w:color="auto"/>
              <w:bottom w:val="single" w:sz="6" w:space="0" w:color="auto"/>
              <w:right w:val="single" w:sz="6" w:space="0" w:color="auto"/>
            </w:tcBorders>
            <w:hideMark/>
          </w:tcPr>
          <w:p w14:paraId="304F5E16" w14:textId="77777777" w:rsidR="00A32A52" w:rsidRPr="00A32A52" w:rsidRDefault="00A32A52" w:rsidP="00A32A52">
            <w:r w:rsidRPr="00A32A52">
              <w:t>- </w:t>
            </w:r>
          </w:p>
        </w:tc>
      </w:tr>
      <w:tr w:rsidR="00A32A52" w:rsidRPr="00A32A52" w14:paraId="22ECDDA6" w14:textId="77777777">
        <w:trPr>
          <w:trHeight w:val="300"/>
        </w:trPr>
        <w:tc>
          <w:tcPr>
            <w:tcW w:w="3810" w:type="dxa"/>
            <w:tcBorders>
              <w:top w:val="single" w:sz="6" w:space="0" w:color="auto"/>
              <w:left w:val="single" w:sz="6" w:space="0" w:color="auto"/>
              <w:bottom w:val="single" w:sz="6" w:space="0" w:color="auto"/>
              <w:right w:val="single" w:sz="6" w:space="0" w:color="auto"/>
            </w:tcBorders>
            <w:hideMark/>
          </w:tcPr>
          <w:p w14:paraId="7F0B12DD" w14:textId="77777777" w:rsidR="00A32A52" w:rsidRPr="00A32A52" w:rsidRDefault="00A32A52" w:rsidP="00A32A52">
            <w:r w:rsidRPr="00A32A52">
              <w:t>Very high accuracy capacitance and loss measurement bridges and high frequency radio frequency switches and relays in monitoring and control instruments with a maximum mercury content of 20 mg per bridge switch or relay, except those used for research and development purposes </w:t>
            </w:r>
          </w:p>
        </w:tc>
        <w:tc>
          <w:tcPr>
            <w:tcW w:w="1410" w:type="dxa"/>
            <w:tcBorders>
              <w:top w:val="single" w:sz="6" w:space="0" w:color="auto"/>
              <w:left w:val="single" w:sz="6" w:space="0" w:color="auto"/>
              <w:bottom w:val="single" w:sz="6" w:space="0" w:color="auto"/>
              <w:right w:val="single" w:sz="6" w:space="0" w:color="auto"/>
            </w:tcBorders>
            <w:hideMark/>
          </w:tcPr>
          <w:p w14:paraId="66DFB66C" w14:textId="77777777" w:rsidR="00A32A52" w:rsidRPr="00A32A52" w:rsidRDefault="00A32A52" w:rsidP="00A32A52">
            <w:r w:rsidRPr="00A32A52">
              <w:t>2025 </w:t>
            </w:r>
          </w:p>
        </w:tc>
        <w:tc>
          <w:tcPr>
            <w:tcW w:w="2400" w:type="dxa"/>
            <w:tcBorders>
              <w:top w:val="single" w:sz="6" w:space="0" w:color="auto"/>
              <w:left w:val="single" w:sz="6" w:space="0" w:color="auto"/>
              <w:bottom w:val="single" w:sz="6" w:space="0" w:color="auto"/>
              <w:right w:val="single" w:sz="6" w:space="0" w:color="auto"/>
            </w:tcBorders>
            <w:hideMark/>
          </w:tcPr>
          <w:p w14:paraId="2F663D1B" w14:textId="77777777" w:rsidR="00A32A52" w:rsidRPr="00A32A52" w:rsidRDefault="00A32A52" w:rsidP="00A32A52">
            <w:r w:rsidRPr="00A32A52">
              <w:t>June</w:t>
            </w:r>
            <w:r w:rsidRPr="00A32A52">
              <w:rPr>
                <w:rFonts w:ascii="Arial" w:hAnsi="Arial" w:cs="Arial"/>
              </w:rPr>
              <w:t> </w:t>
            </w:r>
            <w:r w:rsidRPr="00A32A52">
              <w:t xml:space="preserve">19, </w:t>
            </w:r>
            <w:proofErr w:type="gramStart"/>
            <w:r w:rsidRPr="00A32A52">
              <w:t>2025</w:t>
            </w:r>
            <w:proofErr w:type="gramEnd"/>
            <w:r w:rsidRPr="00A32A52">
              <w:t> </w:t>
            </w:r>
          </w:p>
        </w:tc>
        <w:tc>
          <w:tcPr>
            <w:tcW w:w="1695" w:type="dxa"/>
            <w:tcBorders>
              <w:top w:val="single" w:sz="6" w:space="0" w:color="auto"/>
              <w:left w:val="single" w:sz="6" w:space="0" w:color="auto"/>
              <w:bottom w:val="single" w:sz="6" w:space="0" w:color="auto"/>
              <w:right w:val="single" w:sz="6" w:space="0" w:color="auto"/>
            </w:tcBorders>
            <w:hideMark/>
          </w:tcPr>
          <w:p w14:paraId="0042EF8E" w14:textId="77777777" w:rsidR="00A32A52" w:rsidRPr="00A32A52" w:rsidRDefault="00A32A52" w:rsidP="00A32A52">
            <w:r w:rsidRPr="00A32A52">
              <w:t>- </w:t>
            </w:r>
          </w:p>
        </w:tc>
      </w:tr>
      <w:tr w:rsidR="00A32A52" w:rsidRPr="00A32A52" w14:paraId="7363672D" w14:textId="77777777">
        <w:trPr>
          <w:trHeight w:val="300"/>
        </w:trPr>
        <w:tc>
          <w:tcPr>
            <w:tcW w:w="3810" w:type="dxa"/>
            <w:tcBorders>
              <w:top w:val="single" w:sz="6" w:space="0" w:color="auto"/>
              <w:left w:val="single" w:sz="6" w:space="0" w:color="auto"/>
              <w:bottom w:val="single" w:sz="6" w:space="0" w:color="auto"/>
              <w:right w:val="single" w:sz="6" w:space="0" w:color="auto"/>
            </w:tcBorders>
            <w:hideMark/>
          </w:tcPr>
          <w:p w14:paraId="73FFF295" w14:textId="77777777" w:rsidR="00A32A52" w:rsidRPr="00A32A52" w:rsidRDefault="00A32A52" w:rsidP="00A32A52">
            <w:r w:rsidRPr="00A32A52">
              <w:t>Compact fluorescent lamps (CFLs) for general lighting purposes that are ≤ 30 watts with a mercury content exceeding 5 mg per lamp burner </w:t>
            </w:r>
          </w:p>
        </w:tc>
        <w:tc>
          <w:tcPr>
            <w:tcW w:w="1410" w:type="dxa"/>
            <w:tcBorders>
              <w:top w:val="single" w:sz="6" w:space="0" w:color="auto"/>
              <w:left w:val="single" w:sz="6" w:space="0" w:color="auto"/>
              <w:bottom w:val="single" w:sz="6" w:space="0" w:color="auto"/>
              <w:right w:val="single" w:sz="6" w:space="0" w:color="auto"/>
            </w:tcBorders>
            <w:hideMark/>
          </w:tcPr>
          <w:p w14:paraId="3D0A3F15" w14:textId="77777777" w:rsidR="00A32A52" w:rsidRPr="00A32A52" w:rsidRDefault="00A32A52" w:rsidP="00A32A52">
            <w:r w:rsidRPr="00A32A52">
              <w:t>2020 </w:t>
            </w:r>
          </w:p>
        </w:tc>
        <w:tc>
          <w:tcPr>
            <w:tcW w:w="2400" w:type="dxa"/>
            <w:tcBorders>
              <w:top w:val="single" w:sz="6" w:space="0" w:color="auto"/>
              <w:left w:val="single" w:sz="6" w:space="0" w:color="auto"/>
              <w:bottom w:val="single" w:sz="6" w:space="0" w:color="auto"/>
              <w:right w:val="single" w:sz="6" w:space="0" w:color="auto"/>
            </w:tcBorders>
            <w:hideMark/>
          </w:tcPr>
          <w:p w14:paraId="4D22D355" w14:textId="77777777" w:rsidR="00A32A52" w:rsidRPr="00A32A52" w:rsidRDefault="00A32A52" w:rsidP="00A32A52">
            <w:r w:rsidRPr="00A32A52">
              <w:t>November</w:t>
            </w:r>
            <w:r w:rsidRPr="00A32A52">
              <w:rPr>
                <w:rFonts w:ascii="Arial" w:hAnsi="Arial" w:cs="Arial"/>
              </w:rPr>
              <w:t> </w:t>
            </w:r>
            <w:r w:rsidRPr="00A32A52">
              <w:t xml:space="preserve">8, </w:t>
            </w:r>
            <w:proofErr w:type="gramStart"/>
            <w:r w:rsidRPr="00A32A52">
              <w:t>2015</w:t>
            </w:r>
            <w:proofErr w:type="gramEnd"/>
            <w:r w:rsidRPr="00A32A52">
              <w:t> </w:t>
            </w:r>
          </w:p>
        </w:tc>
        <w:tc>
          <w:tcPr>
            <w:tcW w:w="1695" w:type="dxa"/>
            <w:tcBorders>
              <w:top w:val="single" w:sz="6" w:space="0" w:color="auto"/>
              <w:left w:val="single" w:sz="6" w:space="0" w:color="auto"/>
              <w:bottom w:val="single" w:sz="6" w:space="0" w:color="auto"/>
              <w:right w:val="single" w:sz="6" w:space="0" w:color="auto"/>
            </w:tcBorders>
            <w:hideMark/>
          </w:tcPr>
          <w:p w14:paraId="4C124164" w14:textId="77777777" w:rsidR="00A32A52" w:rsidRPr="00A32A52" w:rsidRDefault="00A32A52" w:rsidP="00A32A52">
            <w:r w:rsidRPr="00A32A52">
              <w:t>- </w:t>
            </w:r>
          </w:p>
        </w:tc>
      </w:tr>
      <w:tr w:rsidR="00A32A52" w:rsidRPr="00A32A52" w14:paraId="31E9F730" w14:textId="77777777">
        <w:trPr>
          <w:trHeight w:val="300"/>
        </w:trPr>
        <w:tc>
          <w:tcPr>
            <w:tcW w:w="3810" w:type="dxa"/>
            <w:tcBorders>
              <w:top w:val="single" w:sz="6" w:space="0" w:color="auto"/>
              <w:left w:val="single" w:sz="6" w:space="0" w:color="auto"/>
              <w:bottom w:val="single" w:sz="6" w:space="0" w:color="auto"/>
              <w:right w:val="single" w:sz="6" w:space="0" w:color="auto"/>
            </w:tcBorders>
            <w:hideMark/>
          </w:tcPr>
          <w:p w14:paraId="477A1EFC" w14:textId="77777777" w:rsidR="00A32A52" w:rsidRPr="00A32A52" w:rsidRDefault="00A32A52" w:rsidP="00A32A52">
            <w:r w:rsidRPr="00A32A52">
              <w:lastRenderedPageBreak/>
              <w:t>Compact fluorescent lamps (CFLs) for general lighting purposes that are &gt; 30 watts </w:t>
            </w:r>
          </w:p>
        </w:tc>
        <w:tc>
          <w:tcPr>
            <w:tcW w:w="1410" w:type="dxa"/>
            <w:tcBorders>
              <w:top w:val="single" w:sz="6" w:space="0" w:color="auto"/>
              <w:left w:val="single" w:sz="6" w:space="0" w:color="auto"/>
              <w:bottom w:val="single" w:sz="6" w:space="0" w:color="auto"/>
              <w:right w:val="single" w:sz="6" w:space="0" w:color="auto"/>
            </w:tcBorders>
            <w:hideMark/>
          </w:tcPr>
          <w:p w14:paraId="33038A48" w14:textId="77777777" w:rsidR="00A32A52" w:rsidRPr="00A32A52" w:rsidRDefault="00A32A52" w:rsidP="00A32A52">
            <w:r w:rsidRPr="00A32A52">
              <w:t>2026 </w:t>
            </w:r>
          </w:p>
        </w:tc>
        <w:tc>
          <w:tcPr>
            <w:tcW w:w="2400" w:type="dxa"/>
            <w:tcBorders>
              <w:top w:val="single" w:sz="6" w:space="0" w:color="auto"/>
              <w:left w:val="single" w:sz="6" w:space="0" w:color="auto"/>
              <w:bottom w:val="single" w:sz="6" w:space="0" w:color="auto"/>
              <w:right w:val="single" w:sz="6" w:space="0" w:color="auto"/>
            </w:tcBorders>
            <w:hideMark/>
          </w:tcPr>
          <w:p w14:paraId="29DCB2BE" w14:textId="77777777" w:rsidR="00A32A52" w:rsidRPr="00A32A52" w:rsidRDefault="00A32A52" w:rsidP="00A32A52">
            <w:r w:rsidRPr="00A32A52">
              <w:t xml:space="preserve">December 31, </w:t>
            </w:r>
            <w:proofErr w:type="gramStart"/>
            <w:r w:rsidRPr="00A32A52">
              <w:t>2025</w:t>
            </w:r>
            <w:proofErr w:type="gramEnd"/>
            <w:r w:rsidRPr="00A32A52">
              <w:t> </w:t>
            </w:r>
          </w:p>
        </w:tc>
        <w:tc>
          <w:tcPr>
            <w:tcW w:w="1695" w:type="dxa"/>
            <w:tcBorders>
              <w:top w:val="single" w:sz="6" w:space="0" w:color="auto"/>
              <w:left w:val="single" w:sz="6" w:space="0" w:color="auto"/>
              <w:bottom w:val="single" w:sz="6" w:space="0" w:color="auto"/>
              <w:right w:val="single" w:sz="6" w:space="0" w:color="auto"/>
            </w:tcBorders>
            <w:hideMark/>
          </w:tcPr>
          <w:p w14:paraId="12C1DA8C" w14:textId="77777777" w:rsidR="00A32A52" w:rsidRPr="00A32A52" w:rsidRDefault="00A32A52" w:rsidP="00A32A52">
            <w:r w:rsidRPr="00A32A52">
              <w:t>- </w:t>
            </w:r>
          </w:p>
        </w:tc>
      </w:tr>
      <w:tr w:rsidR="00A32A52" w:rsidRPr="00A32A52" w14:paraId="427656DE" w14:textId="77777777">
        <w:trPr>
          <w:trHeight w:val="300"/>
        </w:trPr>
        <w:tc>
          <w:tcPr>
            <w:tcW w:w="3810" w:type="dxa"/>
            <w:tcBorders>
              <w:top w:val="single" w:sz="6" w:space="0" w:color="auto"/>
              <w:left w:val="single" w:sz="6" w:space="0" w:color="auto"/>
              <w:bottom w:val="single" w:sz="6" w:space="0" w:color="auto"/>
              <w:right w:val="single" w:sz="6" w:space="0" w:color="auto"/>
            </w:tcBorders>
            <w:hideMark/>
          </w:tcPr>
          <w:p w14:paraId="77BCCD77" w14:textId="77777777" w:rsidR="00A32A52" w:rsidRPr="00A32A52" w:rsidRDefault="00A32A52" w:rsidP="00A32A52">
            <w:r w:rsidRPr="00A32A52">
              <w:t>Compact fluorescent lamps with an integrated ballast (</w:t>
            </w:r>
            <w:proofErr w:type="spellStart"/>
            <w:r w:rsidRPr="00A32A52">
              <w:t>CFL.i</w:t>
            </w:r>
            <w:proofErr w:type="spellEnd"/>
            <w:r w:rsidRPr="00A32A52">
              <w:t>) for general lighting purposes that are ≤ 30 watts with a mercury content not exceeding 5 mg per lamp burner </w:t>
            </w:r>
          </w:p>
        </w:tc>
        <w:tc>
          <w:tcPr>
            <w:tcW w:w="1410" w:type="dxa"/>
            <w:tcBorders>
              <w:top w:val="single" w:sz="6" w:space="0" w:color="auto"/>
              <w:left w:val="single" w:sz="6" w:space="0" w:color="auto"/>
              <w:bottom w:val="single" w:sz="6" w:space="0" w:color="auto"/>
              <w:right w:val="single" w:sz="6" w:space="0" w:color="auto"/>
            </w:tcBorders>
            <w:hideMark/>
          </w:tcPr>
          <w:p w14:paraId="2123570D" w14:textId="77777777" w:rsidR="00A32A52" w:rsidRPr="00A32A52" w:rsidRDefault="00A32A52" w:rsidP="00A32A52">
            <w:r w:rsidRPr="00A32A52">
              <w:t>2025 </w:t>
            </w:r>
          </w:p>
        </w:tc>
        <w:tc>
          <w:tcPr>
            <w:tcW w:w="2400" w:type="dxa"/>
            <w:tcBorders>
              <w:top w:val="single" w:sz="6" w:space="0" w:color="auto"/>
              <w:left w:val="single" w:sz="6" w:space="0" w:color="auto"/>
              <w:bottom w:val="single" w:sz="6" w:space="0" w:color="auto"/>
              <w:right w:val="single" w:sz="6" w:space="0" w:color="auto"/>
            </w:tcBorders>
            <w:hideMark/>
          </w:tcPr>
          <w:p w14:paraId="63CF5B46" w14:textId="77777777" w:rsidR="00A32A52" w:rsidRPr="00A32A52" w:rsidRDefault="00A32A52" w:rsidP="00A32A52">
            <w:r w:rsidRPr="00A32A52">
              <w:t xml:space="preserve">December 31, </w:t>
            </w:r>
            <w:proofErr w:type="gramStart"/>
            <w:r w:rsidRPr="00A32A52">
              <w:t>2025</w:t>
            </w:r>
            <w:proofErr w:type="gramEnd"/>
            <w:r w:rsidRPr="00A32A52">
              <w:t> </w:t>
            </w:r>
          </w:p>
        </w:tc>
        <w:tc>
          <w:tcPr>
            <w:tcW w:w="1695" w:type="dxa"/>
            <w:tcBorders>
              <w:top w:val="single" w:sz="6" w:space="0" w:color="auto"/>
              <w:left w:val="single" w:sz="6" w:space="0" w:color="auto"/>
              <w:bottom w:val="single" w:sz="6" w:space="0" w:color="auto"/>
              <w:right w:val="single" w:sz="6" w:space="0" w:color="auto"/>
            </w:tcBorders>
            <w:hideMark/>
          </w:tcPr>
          <w:p w14:paraId="24ED6632" w14:textId="77777777" w:rsidR="00A32A52" w:rsidRPr="00A32A52" w:rsidRDefault="00A32A52" w:rsidP="00A32A52">
            <w:r w:rsidRPr="00A32A52">
              <w:t>- </w:t>
            </w:r>
          </w:p>
        </w:tc>
      </w:tr>
      <w:tr w:rsidR="00A32A52" w:rsidRPr="00A32A52" w14:paraId="4CDE54D4" w14:textId="77777777">
        <w:trPr>
          <w:trHeight w:val="300"/>
        </w:trPr>
        <w:tc>
          <w:tcPr>
            <w:tcW w:w="3810" w:type="dxa"/>
            <w:tcBorders>
              <w:top w:val="single" w:sz="6" w:space="0" w:color="auto"/>
              <w:left w:val="single" w:sz="6" w:space="0" w:color="auto"/>
              <w:bottom w:val="single" w:sz="6" w:space="0" w:color="auto"/>
              <w:right w:val="single" w:sz="6" w:space="0" w:color="auto"/>
            </w:tcBorders>
            <w:hideMark/>
          </w:tcPr>
          <w:p w14:paraId="50EF6029" w14:textId="77777777" w:rsidR="00A32A52" w:rsidRPr="00A32A52" w:rsidRDefault="00A32A52" w:rsidP="00A32A52">
            <w:r w:rsidRPr="00A32A52">
              <w:t>Compact fluorescent lamps with a non-integrated ballast (CFL.ni) for general lighting purposes that are ≤ 30 watts with a mercury content not exceeding 5 mg per lamp burner </w:t>
            </w:r>
          </w:p>
        </w:tc>
        <w:tc>
          <w:tcPr>
            <w:tcW w:w="1410" w:type="dxa"/>
            <w:tcBorders>
              <w:top w:val="single" w:sz="6" w:space="0" w:color="auto"/>
              <w:left w:val="single" w:sz="6" w:space="0" w:color="auto"/>
              <w:bottom w:val="single" w:sz="6" w:space="0" w:color="auto"/>
              <w:right w:val="single" w:sz="6" w:space="0" w:color="auto"/>
            </w:tcBorders>
            <w:hideMark/>
          </w:tcPr>
          <w:p w14:paraId="0A48D2C0" w14:textId="77777777" w:rsidR="00A32A52" w:rsidRPr="00A32A52" w:rsidRDefault="00A32A52" w:rsidP="00A32A52">
            <w:r w:rsidRPr="00A32A52">
              <w:t>2026 </w:t>
            </w:r>
          </w:p>
        </w:tc>
        <w:tc>
          <w:tcPr>
            <w:tcW w:w="2400" w:type="dxa"/>
            <w:tcBorders>
              <w:top w:val="single" w:sz="6" w:space="0" w:color="auto"/>
              <w:left w:val="single" w:sz="6" w:space="0" w:color="auto"/>
              <w:bottom w:val="single" w:sz="6" w:space="0" w:color="auto"/>
              <w:right w:val="single" w:sz="6" w:space="0" w:color="auto"/>
            </w:tcBorders>
            <w:hideMark/>
          </w:tcPr>
          <w:p w14:paraId="26C9B8AA" w14:textId="77777777" w:rsidR="00A32A52" w:rsidRPr="00A32A52" w:rsidRDefault="00A32A52" w:rsidP="00A32A52">
            <w:r w:rsidRPr="00A32A52">
              <w:t xml:space="preserve">December 31, 2025, followed by a two-year exemption for replacement lamps ending on December 31, </w:t>
            </w:r>
            <w:proofErr w:type="gramStart"/>
            <w:r w:rsidRPr="00A32A52">
              <w:t>2027</w:t>
            </w:r>
            <w:proofErr w:type="gramEnd"/>
            <w:r w:rsidRPr="00A32A52">
              <w:t> </w:t>
            </w:r>
          </w:p>
        </w:tc>
        <w:tc>
          <w:tcPr>
            <w:tcW w:w="1695" w:type="dxa"/>
            <w:tcBorders>
              <w:top w:val="single" w:sz="6" w:space="0" w:color="auto"/>
              <w:left w:val="single" w:sz="6" w:space="0" w:color="auto"/>
              <w:bottom w:val="single" w:sz="6" w:space="0" w:color="auto"/>
              <w:right w:val="single" w:sz="6" w:space="0" w:color="auto"/>
            </w:tcBorders>
            <w:hideMark/>
          </w:tcPr>
          <w:p w14:paraId="23BE0BFB" w14:textId="77777777" w:rsidR="00A32A52" w:rsidRPr="00A32A52" w:rsidRDefault="00A32A52" w:rsidP="00A32A52">
            <w:r w:rsidRPr="00A32A52">
              <w:t>Canada has not yet formally ratified this amendment to Annex A. </w:t>
            </w:r>
          </w:p>
        </w:tc>
      </w:tr>
      <w:tr w:rsidR="00A32A52" w:rsidRPr="00A32A52" w14:paraId="09A6EA69" w14:textId="77777777">
        <w:trPr>
          <w:trHeight w:val="300"/>
        </w:trPr>
        <w:tc>
          <w:tcPr>
            <w:tcW w:w="3810" w:type="dxa"/>
            <w:tcBorders>
              <w:top w:val="single" w:sz="6" w:space="0" w:color="auto"/>
              <w:left w:val="single" w:sz="6" w:space="0" w:color="auto"/>
              <w:bottom w:val="single" w:sz="6" w:space="0" w:color="auto"/>
              <w:right w:val="single" w:sz="6" w:space="0" w:color="auto"/>
            </w:tcBorders>
            <w:hideMark/>
          </w:tcPr>
          <w:p w14:paraId="08692F26" w14:textId="77777777" w:rsidR="00A32A52" w:rsidRPr="00A32A52" w:rsidRDefault="00A32A52" w:rsidP="00A32A52">
            <w:r w:rsidRPr="00A32A52">
              <w:t>Linear fluorescent lamps (LFLs) for general lighting purposes:  </w:t>
            </w:r>
            <w:r w:rsidRPr="00A32A52">
              <w:br/>
              <w:t>(a) Triband phosphor &lt; 60 watts with a mercury content exceeding 5 mg per lamp;  </w:t>
            </w:r>
          </w:p>
        </w:tc>
        <w:tc>
          <w:tcPr>
            <w:tcW w:w="1410" w:type="dxa"/>
            <w:tcBorders>
              <w:top w:val="single" w:sz="6" w:space="0" w:color="auto"/>
              <w:left w:val="single" w:sz="6" w:space="0" w:color="auto"/>
              <w:bottom w:val="single" w:sz="6" w:space="0" w:color="auto"/>
              <w:right w:val="single" w:sz="6" w:space="0" w:color="auto"/>
            </w:tcBorders>
            <w:hideMark/>
          </w:tcPr>
          <w:p w14:paraId="46426805" w14:textId="77777777" w:rsidR="00A32A52" w:rsidRPr="00A32A52" w:rsidRDefault="00A32A52" w:rsidP="00A32A52">
            <w:r w:rsidRPr="00A32A52">
              <w:t>2020 </w:t>
            </w:r>
          </w:p>
          <w:p w14:paraId="7C9D6FE3" w14:textId="77777777" w:rsidR="00A32A52" w:rsidRPr="00A32A52" w:rsidRDefault="00A32A52" w:rsidP="00A32A52">
            <w:r w:rsidRPr="00A32A52">
              <w:t> </w:t>
            </w:r>
          </w:p>
        </w:tc>
        <w:tc>
          <w:tcPr>
            <w:tcW w:w="2400" w:type="dxa"/>
            <w:tcBorders>
              <w:top w:val="single" w:sz="6" w:space="0" w:color="auto"/>
              <w:left w:val="single" w:sz="6" w:space="0" w:color="auto"/>
              <w:bottom w:val="single" w:sz="6" w:space="0" w:color="auto"/>
              <w:right w:val="single" w:sz="6" w:space="0" w:color="auto"/>
            </w:tcBorders>
            <w:hideMark/>
          </w:tcPr>
          <w:p w14:paraId="3EDA6322" w14:textId="77777777" w:rsidR="00A32A52" w:rsidRPr="00A32A52" w:rsidRDefault="00A32A52" w:rsidP="00A32A52">
            <w:r w:rsidRPr="00A32A52">
              <w:t>June</w:t>
            </w:r>
            <w:r w:rsidRPr="00A32A52">
              <w:rPr>
                <w:rFonts w:ascii="Arial" w:hAnsi="Arial" w:cs="Arial"/>
              </w:rPr>
              <w:t> </w:t>
            </w:r>
            <w:r w:rsidRPr="00A32A52">
              <w:t xml:space="preserve">19, </w:t>
            </w:r>
            <w:proofErr w:type="gramStart"/>
            <w:r w:rsidRPr="00A32A52">
              <w:t>2025</w:t>
            </w:r>
            <w:proofErr w:type="gramEnd"/>
            <w:r w:rsidRPr="00A32A52">
              <w:t> </w:t>
            </w:r>
          </w:p>
        </w:tc>
        <w:tc>
          <w:tcPr>
            <w:tcW w:w="1695" w:type="dxa"/>
            <w:tcBorders>
              <w:top w:val="single" w:sz="6" w:space="0" w:color="auto"/>
              <w:left w:val="single" w:sz="6" w:space="0" w:color="auto"/>
              <w:bottom w:val="single" w:sz="6" w:space="0" w:color="auto"/>
              <w:right w:val="single" w:sz="6" w:space="0" w:color="auto"/>
            </w:tcBorders>
            <w:hideMark/>
          </w:tcPr>
          <w:p w14:paraId="5B19D901" w14:textId="77777777" w:rsidR="00A32A52" w:rsidRPr="00A32A52" w:rsidRDefault="00A32A52" w:rsidP="00A32A52">
            <w:r w:rsidRPr="00A32A52">
              <w:t>Canada registered for an exemption until 2025. </w:t>
            </w:r>
          </w:p>
        </w:tc>
      </w:tr>
      <w:tr w:rsidR="00A32A52" w:rsidRPr="00A32A52" w14:paraId="6E4C8608" w14:textId="77777777">
        <w:trPr>
          <w:trHeight w:val="300"/>
        </w:trPr>
        <w:tc>
          <w:tcPr>
            <w:tcW w:w="3810" w:type="dxa"/>
            <w:tcBorders>
              <w:top w:val="single" w:sz="6" w:space="0" w:color="auto"/>
              <w:left w:val="single" w:sz="6" w:space="0" w:color="auto"/>
              <w:bottom w:val="single" w:sz="6" w:space="0" w:color="auto"/>
              <w:right w:val="single" w:sz="6" w:space="0" w:color="auto"/>
            </w:tcBorders>
            <w:hideMark/>
          </w:tcPr>
          <w:p w14:paraId="637B78F6" w14:textId="77777777" w:rsidR="00A32A52" w:rsidRPr="00A32A52" w:rsidRDefault="00A32A52" w:rsidP="00A32A52">
            <w:r w:rsidRPr="00A32A52">
              <w:t>(b) </w:t>
            </w:r>
            <w:proofErr w:type="spellStart"/>
            <w:r w:rsidRPr="00A32A52">
              <w:t>Halophosphate</w:t>
            </w:r>
            <w:proofErr w:type="spellEnd"/>
            <w:r w:rsidRPr="00A32A52">
              <w:t> phosphor ≤ 40 watts with a mercury content exceeding 10 mg per lamp </w:t>
            </w:r>
          </w:p>
        </w:tc>
        <w:tc>
          <w:tcPr>
            <w:tcW w:w="1410" w:type="dxa"/>
            <w:tcBorders>
              <w:top w:val="single" w:sz="6" w:space="0" w:color="auto"/>
              <w:left w:val="single" w:sz="6" w:space="0" w:color="auto"/>
              <w:bottom w:val="single" w:sz="6" w:space="0" w:color="auto"/>
              <w:right w:val="single" w:sz="6" w:space="0" w:color="auto"/>
            </w:tcBorders>
            <w:hideMark/>
          </w:tcPr>
          <w:p w14:paraId="12DC65C3" w14:textId="77777777" w:rsidR="00A32A52" w:rsidRPr="00A32A52" w:rsidRDefault="00A32A52" w:rsidP="00A32A52">
            <w:r w:rsidRPr="00A32A52">
              <w:t>2020 </w:t>
            </w:r>
          </w:p>
          <w:p w14:paraId="2C38AF00" w14:textId="77777777" w:rsidR="00A32A52" w:rsidRPr="00A32A52" w:rsidRDefault="00A32A52" w:rsidP="00A32A52">
            <w:r w:rsidRPr="00A32A52">
              <w:t> </w:t>
            </w:r>
          </w:p>
        </w:tc>
        <w:tc>
          <w:tcPr>
            <w:tcW w:w="2400" w:type="dxa"/>
            <w:tcBorders>
              <w:top w:val="single" w:sz="6" w:space="0" w:color="auto"/>
              <w:left w:val="single" w:sz="6" w:space="0" w:color="auto"/>
              <w:bottom w:val="single" w:sz="6" w:space="0" w:color="auto"/>
              <w:right w:val="single" w:sz="6" w:space="0" w:color="auto"/>
            </w:tcBorders>
            <w:hideMark/>
          </w:tcPr>
          <w:p w14:paraId="159E5F94" w14:textId="77777777" w:rsidR="00A32A52" w:rsidRPr="00A32A52" w:rsidRDefault="00A32A52" w:rsidP="00A32A52">
            <w:r w:rsidRPr="00A32A52">
              <w:t>November</w:t>
            </w:r>
            <w:r w:rsidRPr="00A32A52">
              <w:rPr>
                <w:rFonts w:ascii="Arial" w:hAnsi="Arial" w:cs="Arial"/>
              </w:rPr>
              <w:t> </w:t>
            </w:r>
            <w:r w:rsidRPr="00A32A52">
              <w:t xml:space="preserve">8, </w:t>
            </w:r>
            <w:proofErr w:type="gramStart"/>
            <w:r w:rsidRPr="00A32A52">
              <w:t>2015</w:t>
            </w:r>
            <w:proofErr w:type="gramEnd"/>
            <w:r w:rsidRPr="00A32A52">
              <w:t> </w:t>
            </w:r>
          </w:p>
        </w:tc>
        <w:tc>
          <w:tcPr>
            <w:tcW w:w="1695" w:type="dxa"/>
            <w:tcBorders>
              <w:top w:val="single" w:sz="6" w:space="0" w:color="auto"/>
              <w:left w:val="single" w:sz="6" w:space="0" w:color="auto"/>
              <w:bottom w:val="single" w:sz="6" w:space="0" w:color="auto"/>
              <w:right w:val="single" w:sz="6" w:space="0" w:color="auto"/>
            </w:tcBorders>
            <w:hideMark/>
          </w:tcPr>
          <w:p w14:paraId="77C57CAA" w14:textId="77777777" w:rsidR="00A32A52" w:rsidRPr="00A32A52" w:rsidRDefault="00A32A52" w:rsidP="00A32A52">
            <w:r w:rsidRPr="00A32A52">
              <w:t>- </w:t>
            </w:r>
          </w:p>
        </w:tc>
      </w:tr>
      <w:tr w:rsidR="00A32A52" w:rsidRPr="00A32A52" w14:paraId="7B7B34DA" w14:textId="77777777">
        <w:trPr>
          <w:trHeight w:val="300"/>
        </w:trPr>
        <w:tc>
          <w:tcPr>
            <w:tcW w:w="3810" w:type="dxa"/>
            <w:tcBorders>
              <w:top w:val="single" w:sz="6" w:space="0" w:color="auto"/>
              <w:left w:val="single" w:sz="6" w:space="0" w:color="auto"/>
              <w:bottom w:val="single" w:sz="6" w:space="0" w:color="auto"/>
              <w:right w:val="single" w:sz="6" w:space="0" w:color="auto"/>
            </w:tcBorders>
            <w:hideMark/>
          </w:tcPr>
          <w:p w14:paraId="08BEDFEA" w14:textId="77777777" w:rsidR="00A32A52" w:rsidRPr="00A32A52" w:rsidRDefault="00A32A52" w:rsidP="00A32A52">
            <w:r w:rsidRPr="00A32A52">
              <w:t>Linear fluorescent lamps (LFLs) for general lighting purposes:  </w:t>
            </w:r>
            <w:r w:rsidRPr="00A32A52">
              <w:br/>
              <w:t>(a) </w:t>
            </w:r>
            <w:proofErr w:type="spellStart"/>
            <w:r w:rsidRPr="00A32A52">
              <w:t>Halophosphate</w:t>
            </w:r>
            <w:proofErr w:type="spellEnd"/>
            <w:r w:rsidRPr="00A32A52">
              <w:t> phosphor ≤ 40 watts with a mercury content not exceeding 10 mg per lamp  </w:t>
            </w:r>
            <w:r w:rsidRPr="00A32A52">
              <w:br/>
              <w:t>(b) </w:t>
            </w:r>
            <w:proofErr w:type="spellStart"/>
            <w:r w:rsidRPr="00A32A52">
              <w:t>Halophosphate</w:t>
            </w:r>
            <w:proofErr w:type="spellEnd"/>
            <w:r w:rsidRPr="00A32A52">
              <w:t> phosphor &gt; 40 watts </w:t>
            </w:r>
          </w:p>
        </w:tc>
        <w:tc>
          <w:tcPr>
            <w:tcW w:w="1410" w:type="dxa"/>
            <w:tcBorders>
              <w:top w:val="single" w:sz="6" w:space="0" w:color="auto"/>
              <w:left w:val="single" w:sz="6" w:space="0" w:color="auto"/>
              <w:bottom w:val="single" w:sz="6" w:space="0" w:color="auto"/>
              <w:right w:val="single" w:sz="6" w:space="0" w:color="auto"/>
            </w:tcBorders>
            <w:hideMark/>
          </w:tcPr>
          <w:p w14:paraId="1DA0C2FE" w14:textId="77777777" w:rsidR="00A32A52" w:rsidRPr="00A32A52" w:rsidRDefault="00A32A52" w:rsidP="00A32A52">
            <w:r w:rsidRPr="00A32A52">
              <w:t>2026 </w:t>
            </w:r>
          </w:p>
        </w:tc>
        <w:tc>
          <w:tcPr>
            <w:tcW w:w="2400" w:type="dxa"/>
            <w:tcBorders>
              <w:top w:val="single" w:sz="6" w:space="0" w:color="auto"/>
              <w:left w:val="single" w:sz="6" w:space="0" w:color="auto"/>
              <w:bottom w:val="single" w:sz="6" w:space="0" w:color="auto"/>
              <w:right w:val="single" w:sz="6" w:space="0" w:color="auto"/>
            </w:tcBorders>
            <w:hideMark/>
          </w:tcPr>
          <w:p w14:paraId="3B65397B" w14:textId="77777777" w:rsidR="00A32A52" w:rsidRPr="00A32A52" w:rsidRDefault="00A32A52" w:rsidP="00A32A52">
            <w:r w:rsidRPr="00A32A52">
              <w:t xml:space="preserve">December 31, 2025, followed by a two-year exemption for replacement lamps ending on December 31, </w:t>
            </w:r>
            <w:proofErr w:type="gramStart"/>
            <w:r w:rsidRPr="00A32A52">
              <w:t>2027</w:t>
            </w:r>
            <w:proofErr w:type="gramEnd"/>
            <w:r w:rsidRPr="00A32A52">
              <w:t> </w:t>
            </w:r>
          </w:p>
        </w:tc>
        <w:tc>
          <w:tcPr>
            <w:tcW w:w="1695" w:type="dxa"/>
            <w:tcBorders>
              <w:top w:val="single" w:sz="6" w:space="0" w:color="auto"/>
              <w:left w:val="single" w:sz="6" w:space="0" w:color="auto"/>
              <w:bottom w:val="single" w:sz="6" w:space="0" w:color="auto"/>
              <w:right w:val="single" w:sz="6" w:space="0" w:color="auto"/>
            </w:tcBorders>
            <w:hideMark/>
          </w:tcPr>
          <w:p w14:paraId="355AE7CB" w14:textId="77777777" w:rsidR="00A32A52" w:rsidRPr="00A32A52" w:rsidRDefault="00A32A52" w:rsidP="00A32A52">
            <w:r w:rsidRPr="00A32A52">
              <w:t>Canada has not yet formally ratified this amendment to Annex A. </w:t>
            </w:r>
          </w:p>
        </w:tc>
      </w:tr>
      <w:tr w:rsidR="00A32A52" w:rsidRPr="00A32A52" w14:paraId="64210D7B" w14:textId="77777777">
        <w:trPr>
          <w:trHeight w:val="1665"/>
        </w:trPr>
        <w:tc>
          <w:tcPr>
            <w:tcW w:w="3810" w:type="dxa"/>
            <w:tcBorders>
              <w:top w:val="single" w:sz="6" w:space="0" w:color="auto"/>
              <w:left w:val="single" w:sz="6" w:space="0" w:color="auto"/>
              <w:bottom w:val="single" w:sz="6" w:space="0" w:color="auto"/>
              <w:right w:val="single" w:sz="6" w:space="0" w:color="auto"/>
            </w:tcBorders>
            <w:hideMark/>
          </w:tcPr>
          <w:p w14:paraId="40A794CB" w14:textId="77777777" w:rsidR="00A32A52" w:rsidRPr="00A32A52" w:rsidRDefault="00A32A52" w:rsidP="00A32A52">
            <w:r w:rsidRPr="00A32A52">
              <w:t>Linear fluorescent lamps (LFLs) for general lighting purposes:  </w:t>
            </w:r>
            <w:r w:rsidRPr="00A32A52">
              <w:br/>
              <w:t>(a) Triband phosphor &lt; 60 watts with a mercury content not exceeding 5 mg/lamp  </w:t>
            </w:r>
            <w:r w:rsidRPr="00A32A52">
              <w:br/>
              <w:t xml:space="preserve">(b) Triband phosphor ≥ 60 watts with </w:t>
            </w:r>
            <w:r w:rsidRPr="00A32A52">
              <w:lastRenderedPageBreak/>
              <w:t>a mercury content not exceeding 5 mg per lamp  </w:t>
            </w:r>
            <w:r w:rsidRPr="00A32A52">
              <w:br/>
              <w:t>(c) Triband phosphor ≥ 60 watts with a mercury content exceeding 5 mg per lamp </w:t>
            </w:r>
          </w:p>
        </w:tc>
        <w:tc>
          <w:tcPr>
            <w:tcW w:w="1410" w:type="dxa"/>
            <w:tcBorders>
              <w:top w:val="single" w:sz="6" w:space="0" w:color="auto"/>
              <w:left w:val="single" w:sz="6" w:space="0" w:color="auto"/>
              <w:bottom w:val="single" w:sz="6" w:space="0" w:color="auto"/>
              <w:right w:val="single" w:sz="6" w:space="0" w:color="auto"/>
            </w:tcBorders>
            <w:hideMark/>
          </w:tcPr>
          <w:p w14:paraId="7804047D" w14:textId="77777777" w:rsidR="00A32A52" w:rsidRPr="00A32A52" w:rsidRDefault="00A32A52" w:rsidP="00A32A52">
            <w:r w:rsidRPr="00A32A52">
              <w:lastRenderedPageBreak/>
              <w:t>2027 </w:t>
            </w:r>
          </w:p>
        </w:tc>
        <w:tc>
          <w:tcPr>
            <w:tcW w:w="2400" w:type="dxa"/>
            <w:tcBorders>
              <w:top w:val="single" w:sz="6" w:space="0" w:color="auto"/>
              <w:left w:val="single" w:sz="6" w:space="0" w:color="auto"/>
              <w:bottom w:val="single" w:sz="6" w:space="0" w:color="auto"/>
              <w:right w:val="single" w:sz="6" w:space="0" w:color="auto"/>
            </w:tcBorders>
            <w:hideMark/>
          </w:tcPr>
          <w:p w14:paraId="4D2D19F5" w14:textId="77777777" w:rsidR="00A32A52" w:rsidRPr="00A32A52" w:rsidRDefault="00A32A52" w:rsidP="00A32A52">
            <w:r w:rsidRPr="00A32A52">
              <w:t xml:space="preserve">December 31, 2025, followed by a two-year exemption for replacement lamps </w:t>
            </w:r>
            <w:r w:rsidRPr="00A32A52">
              <w:lastRenderedPageBreak/>
              <w:t xml:space="preserve">ending on December 31, </w:t>
            </w:r>
            <w:proofErr w:type="gramStart"/>
            <w:r w:rsidRPr="00A32A52">
              <w:t>2027</w:t>
            </w:r>
            <w:proofErr w:type="gramEnd"/>
            <w:r w:rsidRPr="00A32A52">
              <w:t> </w:t>
            </w:r>
          </w:p>
        </w:tc>
        <w:tc>
          <w:tcPr>
            <w:tcW w:w="1695" w:type="dxa"/>
            <w:tcBorders>
              <w:top w:val="single" w:sz="6" w:space="0" w:color="auto"/>
              <w:left w:val="single" w:sz="6" w:space="0" w:color="auto"/>
              <w:bottom w:val="single" w:sz="6" w:space="0" w:color="auto"/>
              <w:right w:val="single" w:sz="6" w:space="0" w:color="auto"/>
            </w:tcBorders>
            <w:hideMark/>
          </w:tcPr>
          <w:p w14:paraId="5649B13B" w14:textId="77777777" w:rsidR="00A32A52" w:rsidRPr="00A32A52" w:rsidRDefault="00A32A52" w:rsidP="00A32A52">
            <w:r w:rsidRPr="00A32A52">
              <w:lastRenderedPageBreak/>
              <w:t> </w:t>
            </w:r>
          </w:p>
        </w:tc>
      </w:tr>
      <w:tr w:rsidR="00A32A52" w:rsidRPr="00A32A52" w14:paraId="4D4DD1D1" w14:textId="77777777">
        <w:trPr>
          <w:trHeight w:val="300"/>
        </w:trPr>
        <w:tc>
          <w:tcPr>
            <w:tcW w:w="3810" w:type="dxa"/>
            <w:tcBorders>
              <w:top w:val="single" w:sz="6" w:space="0" w:color="auto"/>
              <w:left w:val="single" w:sz="6" w:space="0" w:color="auto"/>
              <w:bottom w:val="single" w:sz="6" w:space="0" w:color="auto"/>
              <w:right w:val="single" w:sz="6" w:space="0" w:color="auto"/>
            </w:tcBorders>
            <w:hideMark/>
          </w:tcPr>
          <w:p w14:paraId="630F1AD9" w14:textId="77777777" w:rsidR="00A32A52" w:rsidRPr="00A32A52" w:rsidRDefault="00A32A52" w:rsidP="00A32A52">
            <w:r w:rsidRPr="00A32A52">
              <w:t>Non-linear fluorescent lamps (NFLs) (e.g., U-bend and circular) for general lighting purposes:  </w:t>
            </w:r>
            <w:r w:rsidRPr="00A32A52">
              <w:br/>
              <w:t>(a) Triband phosphor, all wattages </w:t>
            </w:r>
          </w:p>
        </w:tc>
        <w:tc>
          <w:tcPr>
            <w:tcW w:w="1410" w:type="dxa"/>
            <w:tcBorders>
              <w:top w:val="single" w:sz="6" w:space="0" w:color="auto"/>
              <w:left w:val="single" w:sz="6" w:space="0" w:color="auto"/>
              <w:bottom w:val="single" w:sz="6" w:space="0" w:color="auto"/>
              <w:right w:val="single" w:sz="6" w:space="0" w:color="auto"/>
            </w:tcBorders>
            <w:hideMark/>
          </w:tcPr>
          <w:p w14:paraId="5585D7A3" w14:textId="77777777" w:rsidR="00A32A52" w:rsidRPr="00A32A52" w:rsidRDefault="00A32A52" w:rsidP="00A32A52">
            <w:r w:rsidRPr="00A32A52">
              <w:t>2027 </w:t>
            </w:r>
          </w:p>
        </w:tc>
        <w:tc>
          <w:tcPr>
            <w:tcW w:w="2400" w:type="dxa"/>
            <w:tcBorders>
              <w:top w:val="single" w:sz="6" w:space="0" w:color="auto"/>
              <w:left w:val="single" w:sz="6" w:space="0" w:color="auto"/>
              <w:bottom w:val="single" w:sz="6" w:space="0" w:color="auto"/>
              <w:right w:val="single" w:sz="6" w:space="0" w:color="auto"/>
            </w:tcBorders>
            <w:hideMark/>
          </w:tcPr>
          <w:p w14:paraId="0AAE7C22" w14:textId="77777777" w:rsidR="00A32A52" w:rsidRPr="00A32A52" w:rsidRDefault="00A32A52" w:rsidP="00A32A52">
            <w:r w:rsidRPr="00A32A52">
              <w:t xml:space="preserve">December 31, 2025, followed by a two-year exemption for replacement lamps ending on December 31, </w:t>
            </w:r>
            <w:proofErr w:type="gramStart"/>
            <w:r w:rsidRPr="00A32A52">
              <w:t>2027</w:t>
            </w:r>
            <w:proofErr w:type="gramEnd"/>
            <w:r w:rsidRPr="00A32A52">
              <w:t> </w:t>
            </w:r>
          </w:p>
        </w:tc>
        <w:tc>
          <w:tcPr>
            <w:tcW w:w="1695" w:type="dxa"/>
            <w:tcBorders>
              <w:top w:val="single" w:sz="6" w:space="0" w:color="auto"/>
              <w:left w:val="single" w:sz="6" w:space="0" w:color="auto"/>
              <w:bottom w:val="single" w:sz="6" w:space="0" w:color="auto"/>
              <w:right w:val="single" w:sz="6" w:space="0" w:color="auto"/>
            </w:tcBorders>
            <w:hideMark/>
          </w:tcPr>
          <w:p w14:paraId="62DCD7C0" w14:textId="77777777" w:rsidR="00A32A52" w:rsidRPr="00A32A52" w:rsidRDefault="00A32A52" w:rsidP="00A32A52">
            <w:r w:rsidRPr="00A32A52">
              <w:t> </w:t>
            </w:r>
          </w:p>
        </w:tc>
      </w:tr>
      <w:tr w:rsidR="00A32A52" w:rsidRPr="00A32A52" w14:paraId="58CF9BDE" w14:textId="77777777">
        <w:trPr>
          <w:trHeight w:val="300"/>
        </w:trPr>
        <w:tc>
          <w:tcPr>
            <w:tcW w:w="3810" w:type="dxa"/>
            <w:tcBorders>
              <w:top w:val="single" w:sz="6" w:space="0" w:color="auto"/>
              <w:left w:val="single" w:sz="6" w:space="0" w:color="auto"/>
              <w:bottom w:val="single" w:sz="6" w:space="0" w:color="auto"/>
              <w:right w:val="single" w:sz="6" w:space="0" w:color="auto"/>
            </w:tcBorders>
            <w:hideMark/>
          </w:tcPr>
          <w:p w14:paraId="3D771C70" w14:textId="77777777" w:rsidR="00A32A52" w:rsidRPr="00A32A52" w:rsidRDefault="00A32A52" w:rsidP="00A32A52">
            <w:r w:rsidRPr="00A32A52">
              <w:t>(b) </w:t>
            </w:r>
            <w:proofErr w:type="spellStart"/>
            <w:r w:rsidRPr="00A32A52">
              <w:t>Halophosphate</w:t>
            </w:r>
            <w:proofErr w:type="spellEnd"/>
            <w:r w:rsidRPr="00A32A52">
              <w:t> phosphor, all wattages </w:t>
            </w:r>
          </w:p>
        </w:tc>
        <w:tc>
          <w:tcPr>
            <w:tcW w:w="1410" w:type="dxa"/>
            <w:tcBorders>
              <w:top w:val="single" w:sz="6" w:space="0" w:color="auto"/>
              <w:left w:val="single" w:sz="6" w:space="0" w:color="auto"/>
              <w:bottom w:val="single" w:sz="6" w:space="0" w:color="auto"/>
              <w:right w:val="single" w:sz="6" w:space="0" w:color="auto"/>
            </w:tcBorders>
            <w:hideMark/>
          </w:tcPr>
          <w:p w14:paraId="1D8AC28A" w14:textId="77777777" w:rsidR="00A32A52" w:rsidRPr="00A32A52" w:rsidRDefault="00A32A52" w:rsidP="00A32A52">
            <w:r w:rsidRPr="00A32A52">
              <w:t>2026 </w:t>
            </w:r>
          </w:p>
        </w:tc>
        <w:tc>
          <w:tcPr>
            <w:tcW w:w="2400" w:type="dxa"/>
            <w:tcBorders>
              <w:top w:val="single" w:sz="6" w:space="0" w:color="auto"/>
              <w:left w:val="single" w:sz="6" w:space="0" w:color="auto"/>
              <w:bottom w:val="single" w:sz="6" w:space="0" w:color="auto"/>
              <w:right w:val="single" w:sz="6" w:space="0" w:color="auto"/>
            </w:tcBorders>
            <w:hideMark/>
          </w:tcPr>
          <w:p w14:paraId="6F55F768" w14:textId="77777777" w:rsidR="00A32A52" w:rsidRPr="00A32A52" w:rsidRDefault="00A32A52" w:rsidP="00A32A52">
            <w:r w:rsidRPr="00A32A52">
              <w:t xml:space="preserve">December 31, 2025, followed by a two-year exemption for replacement lamps ending on December 31, </w:t>
            </w:r>
            <w:proofErr w:type="gramStart"/>
            <w:r w:rsidRPr="00A32A52">
              <w:t>2027</w:t>
            </w:r>
            <w:proofErr w:type="gramEnd"/>
            <w:r w:rsidRPr="00A32A52">
              <w:t> </w:t>
            </w:r>
          </w:p>
        </w:tc>
        <w:tc>
          <w:tcPr>
            <w:tcW w:w="1695" w:type="dxa"/>
            <w:tcBorders>
              <w:top w:val="single" w:sz="6" w:space="0" w:color="auto"/>
              <w:left w:val="single" w:sz="6" w:space="0" w:color="auto"/>
              <w:bottom w:val="single" w:sz="6" w:space="0" w:color="auto"/>
              <w:right w:val="single" w:sz="6" w:space="0" w:color="auto"/>
            </w:tcBorders>
            <w:hideMark/>
          </w:tcPr>
          <w:p w14:paraId="5001315D" w14:textId="77777777" w:rsidR="00A32A52" w:rsidRPr="00A32A52" w:rsidRDefault="00A32A52" w:rsidP="00A32A52">
            <w:r w:rsidRPr="00A32A52">
              <w:t>Canada has not yet formally ratified this amendment to Annex A. </w:t>
            </w:r>
          </w:p>
        </w:tc>
      </w:tr>
      <w:tr w:rsidR="00A32A52" w:rsidRPr="00A32A52" w14:paraId="54E3F252" w14:textId="77777777">
        <w:trPr>
          <w:trHeight w:val="300"/>
        </w:trPr>
        <w:tc>
          <w:tcPr>
            <w:tcW w:w="3810" w:type="dxa"/>
            <w:tcBorders>
              <w:top w:val="single" w:sz="6" w:space="0" w:color="auto"/>
              <w:left w:val="single" w:sz="6" w:space="0" w:color="auto"/>
              <w:bottom w:val="single" w:sz="6" w:space="0" w:color="auto"/>
              <w:right w:val="single" w:sz="6" w:space="0" w:color="auto"/>
            </w:tcBorders>
            <w:hideMark/>
          </w:tcPr>
          <w:p w14:paraId="2F9B80BF" w14:textId="77777777" w:rsidR="00A32A52" w:rsidRPr="00A32A52" w:rsidRDefault="00A32A52" w:rsidP="00A32A52">
            <w:r w:rsidRPr="00A32A52">
              <w:t>High pressure mercury </w:t>
            </w:r>
            <w:proofErr w:type="spellStart"/>
            <w:r w:rsidRPr="00A32A52">
              <w:t>vapour</w:t>
            </w:r>
            <w:proofErr w:type="spellEnd"/>
            <w:r w:rsidRPr="00A32A52">
              <w:t> lamps (HPMV) for general lighting purposes </w:t>
            </w:r>
          </w:p>
        </w:tc>
        <w:tc>
          <w:tcPr>
            <w:tcW w:w="1410" w:type="dxa"/>
            <w:tcBorders>
              <w:top w:val="single" w:sz="6" w:space="0" w:color="auto"/>
              <w:left w:val="single" w:sz="6" w:space="0" w:color="auto"/>
              <w:bottom w:val="single" w:sz="6" w:space="0" w:color="auto"/>
              <w:right w:val="single" w:sz="6" w:space="0" w:color="auto"/>
            </w:tcBorders>
            <w:hideMark/>
          </w:tcPr>
          <w:p w14:paraId="7BA6E4D8" w14:textId="77777777" w:rsidR="00A32A52" w:rsidRPr="00A32A52" w:rsidRDefault="00A32A52" w:rsidP="00A32A52">
            <w:r w:rsidRPr="00A32A52">
              <w:t>2020 </w:t>
            </w:r>
          </w:p>
        </w:tc>
        <w:tc>
          <w:tcPr>
            <w:tcW w:w="2400" w:type="dxa"/>
            <w:tcBorders>
              <w:top w:val="single" w:sz="6" w:space="0" w:color="auto"/>
              <w:left w:val="single" w:sz="6" w:space="0" w:color="auto"/>
              <w:bottom w:val="single" w:sz="6" w:space="0" w:color="auto"/>
              <w:right w:val="single" w:sz="6" w:space="0" w:color="auto"/>
            </w:tcBorders>
            <w:hideMark/>
          </w:tcPr>
          <w:p w14:paraId="4CA61AEB" w14:textId="77777777" w:rsidR="00A32A52" w:rsidRPr="00A32A52" w:rsidRDefault="00A32A52" w:rsidP="00A32A52">
            <w:r w:rsidRPr="00A32A52">
              <w:t xml:space="preserve">December 31, </w:t>
            </w:r>
            <w:proofErr w:type="gramStart"/>
            <w:r w:rsidRPr="00A32A52">
              <w:t>2017</w:t>
            </w:r>
            <w:proofErr w:type="gramEnd"/>
            <w:r w:rsidRPr="00A32A52">
              <w:t> </w:t>
            </w:r>
          </w:p>
        </w:tc>
        <w:tc>
          <w:tcPr>
            <w:tcW w:w="1695" w:type="dxa"/>
            <w:tcBorders>
              <w:top w:val="single" w:sz="6" w:space="0" w:color="auto"/>
              <w:left w:val="single" w:sz="6" w:space="0" w:color="auto"/>
              <w:bottom w:val="single" w:sz="6" w:space="0" w:color="auto"/>
              <w:right w:val="single" w:sz="6" w:space="0" w:color="auto"/>
            </w:tcBorders>
            <w:hideMark/>
          </w:tcPr>
          <w:p w14:paraId="1B638B4E" w14:textId="77777777" w:rsidR="00A32A52" w:rsidRPr="00A32A52" w:rsidRDefault="00A32A52" w:rsidP="00A32A52">
            <w:r w:rsidRPr="00A32A52">
              <w:t>- </w:t>
            </w:r>
          </w:p>
        </w:tc>
      </w:tr>
      <w:tr w:rsidR="00A32A52" w:rsidRPr="00A32A52" w14:paraId="52F5C933" w14:textId="77777777">
        <w:trPr>
          <w:trHeight w:val="300"/>
        </w:trPr>
        <w:tc>
          <w:tcPr>
            <w:tcW w:w="3810" w:type="dxa"/>
            <w:tcBorders>
              <w:top w:val="single" w:sz="6" w:space="0" w:color="auto"/>
              <w:left w:val="single" w:sz="6" w:space="0" w:color="auto"/>
              <w:bottom w:val="single" w:sz="6" w:space="0" w:color="auto"/>
              <w:right w:val="single" w:sz="6" w:space="0" w:color="auto"/>
            </w:tcBorders>
            <w:hideMark/>
          </w:tcPr>
          <w:p w14:paraId="47D41C77" w14:textId="77777777" w:rsidR="00A32A52" w:rsidRPr="00A32A52" w:rsidRDefault="00A32A52" w:rsidP="00A32A52">
            <w:r w:rsidRPr="00A32A52">
              <w:t>Mercury in Cold cathode fluorescent lamps and external electrode fluorescent lamps (CCFL and EEFL) for electronic displays:  </w:t>
            </w:r>
            <w:r w:rsidRPr="00A32A52">
              <w:br/>
              <w:t>(a) Short length (≤ 500 mm) with mercury content exceeding 3.5 mg per lamp  </w:t>
            </w:r>
            <w:r w:rsidRPr="00A32A52">
              <w:br/>
              <w:t>(b) Medium length (&gt; 500 mm and ≤ 1,500 mm) with mercury content exceeding 5 mg per lamp </w:t>
            </w:r>
          </w:p>
        </w:tc>
        <w:tc>
          <w:tcPr>
            <w:tcW w:w="1410" w:type="dxa"/>
            <w:tcBorders>
              <w:top w:val="single" w:sz="6" w:space="0" w:color="auto"/>
              <w:left w:val="single" w:sz="6" w:space="0" w:color="auto"/>
              <w:bottom w:val="single" w:sz="6" w:space="0" w:color="auto"/>
              <w:right w:val="single" w:sz="6" w:space="0" w:color="auto"/>
            </w:tcBorders>
            <w:hideMark/>
          </w:tcPr>
          <w:p w14:paraId="2F54D18E" w14:textId="77777777" w:rsidR="00A32A52" w:rsidRPr="00A32A52" w:rsidRDefault="00A32A52" w:rsidP="00A32A52">
            <w:r w:rsidRPr="00A32A52">
              <w:t>2020 </w:t>
            </w:r>
          </w:p>
        </w:tc>
        <w:tc>
          <w:tcPr>
            <w:tcW w:w="2400" w:type="dxa"/>
            <w:tcBorders>
              <w:top w:val="single" w:sz="6" w:space="0" w:color="auto"/>
              <w:left w:val="single" w:sz="6" w:space="0" w:color="auto"/>
              <w:bottom w:val="single" w:sz="6" w:space="0" w:color="auto"/>
              <w:right w:val="single" w:sz="6" w:space="0" w:color="auto"/>
            </w:tcBorders>
            <w:hideMark/>
          </w:tcPr>
          <w:p w14:paraId="63F803A2" w14:textId="77777777" w:rsidR="00A32A52" w:rsidRPr="00A32A52" w:rsidRDefault="00A32A52" w:rsidP="00A32A52">
            <w:r w:rsidRPr="00A32A52">
              <w:t>June</w:t>
            </w:r>
            <w:r w:rsidRPr="00A32A52">
              <w:rPr>
                <w:rFonts w:ascii="Arial" w:hAnsi="Arial" w:cs="Arial"/>
              </w:rPr>
              <w:t> </w:t>
            </w:r>
            <w:r w:rsidRPr="00A32A52">
              <w:t xml:space="preserve">19, </w:t>
            </w:r>
            <w:proofErr w:type="gramStart"/>
            <w:r w:rsidRPr="00A32A52">
              <w:t>2025</w:t>
            </w:r>
            <w:proofErr w:type="gramEnd"/>
            <w:r w:rsidRPr="00A32A52">
              <w:t> </w:t>
            </w:r>
          </w:p>
        </w:tc>
        <w:tc>
          <w:tcPr>
            <w:tcW w:w="1695" w:type="dxa"/>
            <w:tcBorders>
              <w:top w:val="single" w:sz="6" w:space="0" w:color="auto"/>
              <w:left w:val="single" w:sz="6" w:space="0" w:color="auto"/>
              <w:bottom w:val="single" w:sz="6" w:space="0" w:color="auto"/>
              <w:right w:val="single" w:sz="6" w:space="0" w:color="auto"/>
            </w:tcBorders>
            <w:hideMark/>
          </w:tcPr>
          <w:p w14:paraId="3CB04FE5" w14:textId="77777777" w:rsidR="00A32A52" w:rsidRPr="00A32A52" w:rsidRDefault="00A32A52" w:rsidP="00A32A52">
            <w:r w:rsidRPr="00A32A52">
              <w:t>Canada registered for an exemption until 2025. </w:t>
            </w:r>
          </w:p>
        </w:tc>
      </w:tr>
      <w:tr w:rsidR="00A32A52" w:rsidRPr="00A32A52" w14:paraId="0C6BBA6D" w14:textId="77777777">
        <w:trPr>
          <w:trHeight w:val="300"/>
        </w:trPr>
        <w:tc>
          <w:tcPr>
            <w:tcW w:w="3810" w:type="dxa"/>
            <w:tcBorders>
              <w:top w:val="single" w:sz="6" w:space="0" w:color="auto"/>
              <w:left w:val="single" w:sz="6" w:space="0" w:color="auto"/>
              <w:bottom w:val="single" w:sz="6" w:space="0" w:color="auto"/>
              <w:right w:val="single" w:sz="6" w:space="0" w:color="auto"/>
            </w:tcBorders>
            <w:hideMark/>
          </w:tcPr>
          <w:p w14:paraId="3A348E88" w14:textId="77777777" w:rsidR="00A32A52" w:rsidRPr="00A32A52" w:rsidRDefault="00A32A52" w:rsidP="00A32A52">
            <w:r w:rsidRPr="00A32A52">
              <w:t>(c) Long length (&gt; 1,500 mm) with mercury content exceeding 13 mg per lamp </w:t>
            </w:r>
          </w:p>
        </w:tc>
        <w:tc>
          <w:tcPr>
            <w:tcW w:w="1410" w:type="dxa"/>
            <w:tcBorders>
              <w:top w:val="single" w:sz="6" w:space="0" w:color="auto"/>
              <w:left w:val="single" w:sz="6" w:space="0" w:color="auto"/>
              <w:bottom w:val="single" w:sz="6" w:space="0" w:color="auto"/>
              <w:right w:val="single" w:sz="6" w:space="0" w:color="auto"/>
            </w:tcBorders>
            <w:hideMark/>
          </w:tcPr>
          <w:p w14:paraId="0D4CCB8E" w14:textId="77777777" w:rsidR="00A32A52" w:rsidRPr="00A32A52" w:rsidRDefault="00A32A52" w:rsidP="00A32A52">
            <w:r w:rsidRPr="00A32A52">
              <w:t>2020 </w:t>
            </w:r>
          </w:p>
        </w:tc>
        <w:tc>
          <w:tcPr>
            <w:tcW w:w="2400" w:type="dxa"/>
            <w:tcBorders>
              <w:top w:val="single" w:sz="6" w:space="0" w:color="auto"/>
              <w:left w:val="single" w:sz="6" w:space="0" w:color="auto"/>
              <w:bottom w:val="single" w:sz="6" w:space="0" w:color="auto"/>
              <w:right w:val="single" w:sz="6" w:space="0" w:color="auto"/>
            </w:tcBorders>
            <w:hideMark/>
          </w:tcPr>
          <w:p w14:paraId="5629B963" w14:textId="77777777" w:rsidR="00A32A52" w:rsidRPr="00A32A52" w:rsidRDefault="00A32A52" w:rsidP="00A32A52">
            <w:r w:rsidRPr="00A32A52">
              <w:t>November</w:t>
            </w:r>
            <w:r w:rsidRPr="00A32A52">
              <w:rPr>
                <w:rFonts w:ascii="Arial" w:hAnsi="Arial" w:cs="Arial"/>
              </w:rPr>
              <w:t> </w:t>
            </w:r>
            <w:r w:rsidRPr="00A32A52">
              <w:t xml:space="preserve">8, </w:t>
            </w:r>
            <w:proofErr w:type="gramStart"/>
            <w:r w:rsidRPr="00A32A52">
              <w:t>2015</w:t>
            </w:r>
            <w:proofErr w:type="gramEnd"/>
            <w:r w:rsidRPr="00A32A52">
              <w:t> </w:t>
            </w:r>
          </w:p>
        </w:tc>
        <w:tc>
          <w:tcPr>
            <w:tcW w:w="1695" w:type="dxa"/>
            <w:tcBorders>
              <w:top w:val="single" w:sz="6" w:space="0" w:color="auto"/>
              <w:left w:val="single" w:sz="6" w:space="0" w:color="auto"/>
              <w:bottom w:val="single" w:sz="6" w:space="0" w:color="auto"/>
              <w:right w:val="single" w:sz="6" w:space="0" w:color="auto"/>
            </w:tcBorders>
            <w:hideMark/>
          </w:tcPr>
          <w:p w14:paraId="19B9EAA7" w14:textId="77777777" w:rsidR="00A32A52" w:rsidRPr="00A32A52" w:rsidRDefault="00A32A52" w:rsidP="00A32A52">
            <w:r w:rsidRPr="00A32A52">
              <w:t>- </w:t>
            </w:r>
          </w:p>
        </w:tc>
      </w:tr>
      <w:tr w:rsidR="00A32A52" w:rsidRPr="00A32A52" w14:paraId="403A4C69" w14:textId="77777777">
        <w:trPr>
          <w:trHeight w:val="300"/>
        </w:trPr>
        <w:tc>
          <w:tcPr>
            <w:tcW w:w="3810" w:type="dxa"/>
            <w:tcBorders>
              <w:top w:val="single" w:sz="6" w:space="0" w:color="auto"/>
              <w:left w:val="single" w:sz="6" w:space="0" w:color="auto"/>
              <w:bottom w:val="single" w:sz="6" w:space="0" w:color="auto"/>
              <w:right w:val="single" w:sz="6" w:space="0" w:color="auto"/>
            </w:tcBorders>
            <w:hideMark/>
          </w:tcPr>
          <w:p w14:paraId="1BDB8C17" w14:textId="77777777" w:rsidR="00A32A52" w:rsidRPr="00A32A52" w:rsidRDefault="00A32A52" w:rsidP="00A32A52">
            <w:r w:rsidRPr="00A32A52">
              <w:t xml:space="preserve">Cold cathode fluorescent lamps (CCFL) and external electrode fluorescent lamps (EEFL) of all </w:t>
            </w:r>
            <w:r w:rsidRPr="00A32A52">
              <w:lastRenderedPageBreak/>
              <w:t>lengths for electronic displays, not included in the listing directly above </w:t>
            </w:r>
          </w:p>
        </w:tc>
        <w:tc>
          <w:tcPr>
            <w:tcW w:w="1410" w:type="dxa"/>
            <w:tcBorders>
              <w:top w:val="single" w:sz="6" w:space="0" w:color="auto"/>
              <w:left w:val="single" w:sz="6" w:space="0" w:color="auto"/>
              <w:bottom w:val="single" w:sz="6" w:space="0" w:color="auto"/>
              <w:right w:val="single" w:sz="6" w:space="0" w:color="auto"/>
            </w:tcBorders>
            <w:hideMark/>
          </w:tcPr>
          <w:p w14:paraId="509A1370" w14:textId="77777777" w:rsidR="00A32A52" w:rsidRPr="00A32A52" w:rsidRDefault="00A32A52" w:rsidP="00A32A52">
            <w:r w:rsidRPr="00A32A52">
              <w:lastRenderedPageBreak/>
              <w:t>2025 </w:t>
            </w:r>
          </w:p>
        </w:tc>
        <w:tc>
          <w:tcPr>
            <w:tcW w:w="2400" w:type="dxa"/>
            <w:tcBorders>
              <w:top w:val="single" w:sz="6" w:space="0" w:color="auto"/>
              <w:left w:val="single" w:sz="6" w:space="0" w:color="auto"/>
              <w:bottom w:val="single" w:sz="6" w:space="0" w:color="auto"/>
              <w:right w:val="single" w:sz="6" w:space="0" w:color="auto"/>
            </w:tcBorders>
            <w:hideMark/>
          </w:tcPr>
          <w:p w14:paraId="41E89BA9" w14:textId="77777777" w:rsidR="00A32A52" w:rsidRPr="00A32A52" w:rsidRDefault="00A32A52" w:rsidP="00A32A52">
            <w:r w:rsidRPr="00A32A52">
              <w:t>June</w:t>
            </w:r>
            <w:r w:rsidRPr="00A32A52">
              <w:rPr>
                <w:rFonts w:ascii="Arial" w:hAnsi="Arial" w:cs="Arial"/>
              </w:rPr>
              <w:t> </w:t>
            </w:r>
            <w:r w:rsidRPr="00A32A52">
              <w:t xml:space="preserve">19, </w:t>
            </w:r>
            <w:proofErr w:type="gramStart"/>
            <w:r w:rsidRPr="00A32A52">
              <w:t>2025</w:t>
            </w:r>
            <w:proofErr w:type="gramEnd"/>
            <w:r w:rsidRPr="00A32A52">
              <w:t> </w:t>
            </w:r>
          </w:p>
        </w:tc>
        <w:tc>
          <w:tcPr>
            <w:tcW w:w="1695" w:type="dxa"/>
            <w:tcBorders>
              <w:top w:val="single" w:sz="6" w:space="0" w:color="auto"/>
              <w:left w:val="single" w:sz="6" w:space="0" w:color="auto"/>
              <w:bottom w:val="single" w:sz="6" w:space="0" w:color="auto"/>
              <w:right w:val="single" w:sz="6" w:space="0" w:color="auto"/>
            </w:tcBorders>
            <w:hideMark/>
          </w:tcPr>
          <w:p w14:paraId="13A8726C" w14:textId="77777777" w:rsidR="00A32A52" w:rsidRPr="00A32A52" w:rsidRDefault="00A32A52" w:rsidP="00A32A52">
            <w:r w:rsidRPr="00A32A52">
              <w:t>- </w:t>
            </w:r>
          </w:p>
        </w:tc>
      </w:tr>
      <w:tr w:rsidR="00A32A52" w:rsidRPr="00A32A52" w14:paraId="4613658D" w14:textId="77777777">
        <w:trPr>
          <w:trHeight w:val="300"/>
        </w:trPr>
        <w:tc>
          <w:tcPr>
            <w:tcW w:w="3810" w:type="dxa"/>
            <w:tcBorders>
              <w:top w:val="single" w:sz="6" w:space="0" w:color="auto"/>
              <w:left w:val="single" w:sz="6" w:space="0" w:color="auto"/>
              <w:bottom w:val="single" w:sz="6" w:space="0" w:color="auto"/>
              <w:right w:val="single" w:sz="6" w:space="0" w:color="auto"/>
            </w:tcBorders>
            <w:hideMark/>
          </w:tcPr>
          <w:p w14:paraId="1792344F" w14:textId="77777777" w:rsidR="00A32A52" w:rsidRPr="00A32A52" w:rsidRDefault="00A32A52" w:rsidP="00A32A52">
            <w:r w:rsidRPr="00A32A52">
              <w:t>Cosmetics (with mercury content above 1ppm), including skin lightening soaps and creams, and not including eye area cosmetics where mercury is used as a preservative and no effective and safe substitute preservatives are available </w:t>
            </w:r>
          </w:p>
        </w:tc>
        <w:tc>
          <w:tcPr>
            <w:tcW w:w="1410" w:type="dxa"/>
            <w:tcBorders>
              <w:top w:val="single" w:sz="6" w:space="0" w:color="auto"/>
              <w:left w:val="single" w:sz="6" w:space="0" w:color="auto"/>
              <w:bottom w:val="single" w:sz="6" w:space="0" w:color="auto"/>
              <w:right w:val="single" w:sz="6" w:space="0" w:color="auto"/>
            </w:tcBorders>
            <w:hideMark/>
          </w:tcPr>
          <w:p w14:paraId="5EED7E35" w14:textId="77777777" w:rsidR="00A32A52" w:rsidRPr="00A32A52" w:rsidRDefault="00A32A52" w:rsidP="00A32A52">
            <w:r w:rsidRPr="00A32A52">
              <w:t>2020 </w:t>
            </w:r>
          </w:p>
        </w:tc>
        <w:tc>
          <w:tcPr>
            <w:tcW w:w="2400" w:type="dxa"/>
            <w:tcBorders>
              <w:top w:val="single" w:sz="6" w:space="0" w:color="auto"/>
              <w:left w:val="single" w:sz="6" w:space="0" w:color="auto"/>
              <w:bottom w:val="single" w:sz="6" w:space="0" w:color="auto"/>
              <w:right w:val="single" w:sz="6" w:space="0" w:color="auto"/>
            </w:tcBorders>
            <w:hideMark/>
          </w:tcPr>
          <w:p w14:paraId="580FAA58" w14:textId="77777777" w:rsidR="00A32A52" w:rsidRPr="00A32A52" w:rsidRDefault="00A32A52" w:rsidP="00A32A52">
            <w:r w:rsidRPr="00A32A52">
              <w:rPr>
                <w:i/>
                <w:iCs/>
                <w:lang w:val="en-GB"/>
              </w:rPr>
              <w:t>Cosmetic Regulations</w:t>
            </w:r>
            <w:r w:rsidRPr="00A32A52">
              <w:rPr>
                <w:i/>
                <w:iCs/>
              </w:rPr>
              <w:t> </w:t>
            </w:r>
            <w:r w:rsidRPr="00A32A52">
              <w:t>(2024) </w:t>
            </w:r>
          </w:p>
          <w:p w14:paraId="6C06CBCE" w14:textId="77777777" w:rsidR="00A32A52" w:rsidRPr="00A32A52" w:rsidRDefault="00A32A52" w:rsidP="00A32A52">
            <w:r w:rsidRPr="00A32A52">
              <w:t> </w:t>
            </w:r>
          </w:p>
        </w:tc>
        <w:tc>
          <w:tcPr>
            <w:tcW w:w="1695" w:type="dxa"/>
            <w:tcBorders>
              <w:top w:val="single" w:sz="6" w:space="0" w:color="auto"/>
              <w:left w:val="single" w:sz="6" w:space="0" w:color="auto"/>
              <w:bottom w:val="single" w:sz="6" w:space="0" w:color="auto"/>
              <w:right w:val="single" w:sz="6" w:space="0" w:color="auto"/>
            </w:tcBorders>
            <w:hideMark/>
          </w:tcPr>
          <w:p w14:paraId="5BC595DF" w14:textId="77777777" w:rsidR="00A32A52" w:rsidRPr="00A32A52" w:rsidRDefault="00A32A52" w:rsidP="00A32A52">
            <w:r w:rsidRPr="00A32A52">
              <w:t>- </w:t>
            </w:r>
          </w:p>
        </w:tc>
      </w:tr>
      <w:tr w:rsidR="00A32A52" w:rsidRPr="00A32A52" w14:paraId="7FB46A1E" w14:textId="77777777">
        <w:trPr>
          <w:trHeight w:val="300"/>
        </w:trPr>
        <w:tc>
          <w:tcPr>
            <w:tcW w:w="3810" w:type="dxa"/>
            <w:tcBorders>
              <w:top w:val="single" w:sz="6" w:space="0" w:color="auto"/>
              <w:left w:val="single" w:sz="6" w:space="0" w:color="auto"/>
              <w:bottom w:val="single" w:sz="6" w:space="0" w:color="auto"/>
              <w:right w:val="single" w:sz="6" w:space="0" w:color="auto"/>
            </w:tcBorders>
            <w:hideMark/>
          </w:tcPr>
          <w:p w14:paraId="712BAE62" w14:textId="77777777" w:rsidR="00A32A52" w:rsidRPr="00A32A52" w:rsidRDefault="00A32A52" w:rsidP="00A32A52">
            <w:r w:rsidRPr="00A32A52">
              <w:t>Cosmetics, including skin-lightening soaps and creams, and not including eye area cosmetics where mercury is used as a preservative and no effective and safe substitute preservatives are available </w:t>
            </w:r>
          </w:p>
        </w:tc>
        <w:tc>
          <w:tcPr>
            <w:tcW w:w="1410" w:type="dxa"/>
            <w:tcBorders>
              <w:top w:val="single" w:sz="6" w:space="0" w:color="auto"/>
              <w:left w:val="single" w:sz="6" w:space="0" w:color="auto"/>
              <w:bottom w:val="single" w:sz="6" w:space="0" w:color="auto"/>
              <w:right w:val="single" w:sz="6" w:space="0" w:color="auto"/>
            </w:tcBorders>
            <w:hideMark/>
          </w:tcPr>
          <w:p w14:paraId="33CDCF7A" w14:textId="77777777" w:rsidR="00A32A52" w:rsidRPr="00A32A52" w:rsidRDefault="00A32A52" w:rsidP="00A32A52">
            <w:r w:rsidRPr="00A32A52">
              <w:t>2025 </w:t>
            </w:r>
          </w:p>
        </w:tc>
        <w:tc>
          <w:tcPr>
            <w:tcW w:w="2400" w:type="dxa"/>
            <w:tcBorders>
              <w:top w:val="single" w:sz="6" w:space="0" w:color="auto"/>
              <w:left w:val="single" w:sz="6" w:space="0" w:color="auto"/>
              <w:bottom w:val="single" w:sz="6" w:space="0" w:color="auto"/>
              <w:right w:val="single" w:sz="6" w:space="0" w:color="auto"/>
            </w:tcBorders>
            <w:hideMark/>
          </w:tcPr>
          <w:p w14:paraId="799D481E" w14:textId="77777777" w:rsidR="00A32A52" w:rsidRPr="00A32A52" w:rsidRDefault="00A32A52" w:rsidP="00A32A52">
            <w:r w:rsidRPr="00A32A52">
              <w:t> </w:t>
            </w:r>
            <w:r w:rsidRPr="00A32A52">
              <w:rPr>
                <w:i/>
                <w:iCs/>
                <w:lang w:val="en-GB"/>
              </w:rPr>
              <w:t>Cosmetic Regulations</w:t>
            </w:r>
            <w:r w:rsidRPr="00A32A52">
              <w:rPr>
                <w:i/>
                <w:iCs/>
              </w:rPr>
              <w:t> </w:t>
            </w:r>
            <w:r w:rsidRPr="00A32A52">
              <w:t>(2024) </w:t>
            </w:r>
          </w:p>
          <w:p w14:paraId="21E4AE12" w14:textId="77777777" w:rsidR="00A32A52" w:rsidRPr="00A32A52" w:rsidRDefault="00A32A52" w:rsidP="00A32A52">
            <w:r w:rsidRPr="00A32A52">
              <w:t> </w:t>
            </w:r>
          </w:p>
        </w:tc>
        <w:tc>
          <w:tcPr>
            <w:tcW w:w="1695" w:type="dxa"/>
            <w:tcBorders>
              <w:top w:val="single" w:sz="6" w:space="0" w:color="auto"/>
              <w:left w:val="single" w:sz="6" w:space="0" w:color="auto"/>
              <w:bottom w:val="single" w:sz="6" w:space="0" w:color="auto"/>
              <w:right w:val="single" w:sz="6" w:space="0" w:color="auto"/>
            </w:tcBorders>
            <w:hideMark/>
          </w:tcPr>
          <w:p w14:paraId="5CF6B617" w14:textId="77777777" w:rsidR="00A32A52" w:rsidRPr="00A32A52" w:rsidRDefault="00A32A52" w:rsidP="00A32A52">
            <w:r w:rsidRPr="00A32A52">
              <w:t>Canada has not yet formally ratified this amendment to Annex A. </w:t>
            </w:r>
          </w:p>
        </w:tc>
      </w:tr>
      <w:tr w:rsidR="00A32A52" w:rsidRPr="00A32A52" w14:paraId="4A401E7E" w14:textId="77777777">
        <w:trPr>
          <w:trHeight w:val="300"/>
        </w:trPr>
        <w:tc>
          <w:tcPr>
            <w:tcW w:w="3810" w:type="dxa"/>
            <w:tcBorders>
              <w:top w:val="single" w:sz="6" w:space="0" w:color="auto"/>
              <w:left w:val="single" w:sz="6" w:space="0" w:color="auto"/>
              <w:bottom w:val="single" w:sz="6" w:space="0" w:color="auto"/>
              <w:right w:val="single" w:sz="6" w:space="0" w:color="auto"/>
            </w:tcBorders>
            <w:hideMark/>
          </w:tcPr>
          <w:p w14:paraId="4757F1F7" w14:textId="77777777" w:rsidR="00A32A52" w:rsidRPr="00A32A52" w:rsidRDefault="00A32A52" w:rsidP="00A32A52">
            <w:r w:rsidRPr="00A32A52">
              <w:t>Pesticides, biocides and topical antiseptics </w:t>
            </w:r>
          </w:p>
        </w:tc>
        <w:tc>
          <w:tcPr>
            <w:tcW w:w="1410" w:type="dxa"/>
            <w:tcBorders>
              <w:top w:val="single" w:sz="6" w:space="0" w:color="auto"/>
              <w:left w:val="single" w:sz="6" w:space="0" w:color="auto"/>
              <w:bottom w:val="single" w:sz="6" w:space="0" w:color="auto"/>
              <w:right w:val="single" w:sz="6" w:space="0" w:color="auto"/>
            </w:tcBorders>
            <w:hideMark/>
          </w:tcPr>
          <w:p w14:paraId="13EA6E52" w14:textId="77777777" w:rsidR="00A32A52" w:rsidRPr="00A32A52" w:rsidRDefault="00A32A52" w:rsidP="00A32A52">
            <w:r w:rsidRPr="00A32A52">
              <w:t>2020 </w:t>
            </w:r>
          </w:p>
        </w:tc>
        <w:tc>
          <w:tcPr>
            <w:tcW w:w="2400" w:type="dxa"/>
            <w:tcBorders>
              <w:top w:val="single" w:sz="6" w:space="0" w:color="auto"/>
              <w:left w:val="single" w:sz="6" w:space="0" w:color="auto"/>
              <w:bottom w:val="single" w:sz="6" w:space="0" w:color="auto"/>
              <w:right w:val="single" w:sz="6" w:space="0" w:color="auto"/>
            </w:tcBorders>
            <w:hideMark/>
          </w:tcPr>
          <w:p w14:paraId="2396EE3F" w14:textId="77777777" w:rsidR="00A32A52" w:rsidRPr="00A32A52" w:rsidRDefault="00A32A52" w:rsidP="00A32A52">
            <w:r w:rsidRPr="00A32A52">
              <w:rPr>
                <w:i/>
                <w:iCs/>
              </w:rPr>
              <w:t>Canada’s Food and Drug Regulations </w:t>
            </w:r>
            <w:r w:rsidRPr="00A32A52">
              <w:t>and </w:t>
            </w:r>
          </w:p>
          <w:p w14:paraId="703EB20A" w14:textId="77777777" w:rsidR="00A32A52" w:rsidRPr="00A32A52" w:rsidRDefault="00A32A52" w:rsidP="00A32A52">
            <w:r w:rsidRPr="00A32A52">
              <w:rPr>
                <w:i/>
                <w:iCs/>
              </w:rPr>
              <w:t>Pest Control Products Regulations</w:t>
            </w:r>
            <w:r w:rsidRPr="00A32A52">
              <w:t> (2006)  </w:t>
            </w:r>
          </w:p>
        </w:tc>
        <w:tc>
          <w:tcPr>
            <w:tcW w:w="1695" w:type="dxa"/>
            <w:tcBorders>
              <w:top w:val="single" w:sz="6" w:space="0" w:color="auto"/>
              <w:left w:val="single" w:sz="6" w:space="0" w:color="auto"/>
              <w:bottom w:val="single" w:sz="6" w:space="0" w:color="auto"/>
              <w:right w:val="single" w:sz="6" w:space="0" w:color="auto"/>
            </w:tcBorders>
            <w:hideMark/>
          </w:tcPr>
          <w:p w14:paraId="30410A97" w14:textId="77777777" w:rsidR="00A32A52" w:rsidRPr="00A32A52" w:rsidRDefault="00A32A52" w:rsidP="00A32A52">
            <w:r w:rsidRPr="00A32A52">
              <w:t>- </w:t>
            </w:r>
          </w:p>
        </w:tc>
      </w:tr>
      <w:tr w:rsidR="00A32A52" w:rsidRPr="00A32A52" w14:paraId="2C5B838D" w14:textId="77777777">
        <w:trPr>
          <w:trHeight w:val="2925"/>
        </w:trPr>
        <w:tc>
          <w:tcPr>
            <w:tcW w:w="3810" w:type="dxa"/>
            <w:tcBorders>
              <w:top w:val="single" w:sz="6" w:space="0" w:color="auto"/>
              <w:left w:val="single" w:sz="6" w:space="0" w:color="auto"/>
              <w:bottom w:val="single" w:sz="6" w:space="0" w:color="auto"/>
              <w:right w:val="single" w:sz="6" w:space="0" w:color="auto"/>
            </w:tcBorders>
            <w:hideMark/>
          </w:tcPr>
          <w:p w14:paraId="18DEA73C" w14:textId="77777777" w:rsidR="00A32A52" w:rsidRPr="00A32A52" w:rsidRDefault="00A32A52" w:rsidP="00A32A52">
            <w:r w:rsidRPr="00A32A52">
              <w:t>The following non-electronic measuring devices except non-electronic measuring devices installed in large-scale equipment or those used for high precision measurement, where no suitable mercury-free alternative is available:  </w:t>
            </w:r>
            <w:r w:rsidRPr="00A32A52">
              <w:br/>
              <w:t>(a) barometers;  </w:t>
            </w:r>
            <w:r w:rsidRPr="00A32A52">
              <w:br/>
              <w:t>(b) hygrometers;  </w:t>
            </w:r>
            <w:r w:rsidRPr="00A32A52">
              <w:br/>
              <w:t>(c) manometers;  </w:t>
            </w:r>
            <w:r w:rsidRPr="00A32A52">
              <w:br/>
              <w:t>(d) thermometers;  </w:t>
            </w:r>
            <w:r w:rsidRPr="00A32A52">
              <w:br/>
              <w:t>(e) sphygmomanometers. </w:t>
            </w:r>
          </w:p>
        </w:tc>
        <w:tc>
          <w:tcPr>
            <w:tcW w:w="1410" w:type="dxa"/>
            <w:tcBorders>
              <w:top w:val="single" w:sz="6" w:space="0" w:color="auto"/>
              <w:left w:val="single" w:sz="6" w:space="0" w:color="auto"/>
              <w:bottom w:val="single" w:sz="6" w:space="0" w:color="auto"/>
              <w:right w:val="single" w:sz="6" w:space="0" w:color="auto"/>
            </w:tcBorders>
            <w:hideMark/>
          </w:tcPr>
          <w:p w14:paraId="30C26C02" w14:textId="77777777" w:rsidR="00A32A52" w:rsidRPr="00A32A52" w:rsidRDefault="00A32A52" w:rsidP="00A32A52">
            <w:r w:rsidRPr="00A32A52">
              <w:t>2020 </w:t>
            </w:r>
          </w:p>
        </w:tc>
        <w:tc>
          <w:tcPr>
            <w:tcW w:w="2400" w:type="dxa"/>
            <w:tcBorders>
              <w:top w:val="single" w:sz="6" w:space="0" w:color="auto"/>
              <w:left w:val="single" w:sz="6" w:space="0" w:color="auto"/>
              <w:bottom w:val="single" w:sz="6" w:space="0" w:color="auto"/>
              <w:right w:val="single" w:sz="6" w:space="0" w:color="auto"/>
            </w:tcBorders>
            <w:hideMark/>
          </w:tcPr>
          <w:p w14:paraId="2DB65FF2" w14:textId="77777777" w:rsidR="00A32A52" w:rsidRPr="00A32A52" w:rsidRDefault="00A32A52" w:rsidP="00A32A52">
            <w:r w:rsidRPr="00A32A52">
              <w:t>November</w:t>
            </w:r>
            <w:r w:rsidRPr="00A32A52">
              <w:rPr>
                <w:rFonts w:ascii="Arial" w:hAnsi="Arial" w:cs="Arial"/>
              </w:rPr>
              <w:t> </w:t>
            </w:r>
            <w:r w:rsidRPr="00A32A52">
              <w:t xml:space="preserve">8, </w:t>
            </w:r>
            <w:proofErr w:type="gramStart"/>
            <w:r w:rsidRPr="00A32A52">
              <w:t>2015</w:t>
            </w:r>
            <w:proofErr w:type="gramEnd"/>
            <w:r w:rsidRPr="00A32A52">
              <w:t> </w:t>
            </w:r>
          </w:p>
        </w:tc>
        <w:tc>
          <w:tcPr>
            <w:tcW w:w="1695" w:type="dxa"/>
            <w:tcBorders>
              <w:top w:val="single" w:sz="6" w:space="0" w:color="auto"/>
              <w:left w:val="single" w:sz="6" w:space="0" w:color="auto"/>
              <w:bottom w:val="single" w:sz="6" w:space="0" w:color="auto"/>
              <w:right w:val="single" w:sz="6" w:space="0" w:color="auto"/>
            </w:tcBorders>
            <w:hideMark/>
          </w:tcPr>
          <w:p w14:paraId="488B8AE0" w14:textId="77777777" w:rsidR="00A32A52" w:rsidRPr="00A32A52" w:rsidRDefault="00A32A52" w:rsidP="00A32A52">
            <w:r w:rsidRPr="00A32A52">
              <w:t> </w:t>
            </w:r>
          </w:p>
        </w:tc>
      </w:tr>
      <w:tr w:rsidR="00A32A52" w:rsidRPr="00A32A52" w14:paraId="20AC5DFE" w14:textId="77777777">
        <w:trPr>
          <w:trHeight w:val="300"/>
        </w:trPr>
        <w:tc>
          <w:tcPr>
            <w:tcW w:w="3810" w:type="dxa"/>
            <w:tcBorders>
              <w:top w:val="single" w:sz="6" w:space="0" w:color="auto"/>
              <w:left w:val="single" w:sz="6" w:space="0" w:color="auto"/>
              <w:bottom w:val="single" w:sz="6" w:space="0" w:color="auto"/>
              <w:right w:val="single" w:sz="6" w:space="0" w:color="auto"/>
            </w:tcBorders>
            <w:hideMark/>
          </w:tcPr>
          <w:p w14:paraId="4DD27956" w14:textId="77777777" w:rsidR="00A32A52" w:rsidRPr="00A32A52" w:rsidRDefault="00A32A52" w:rsidP="00A32A52">
            <w:r w:rsidRPr="00A32A52">
              <w:lastRenderedPageBreak/>
              <w:t>Strain gauges to be used in plethysmographs </w:t>
            </w:r>
          </w:p>
        </w:tc>
        <w:tc>
          <w:tcPr>
            <w:tcW w:w="1410" w:type="dxa"/>
            <w:tcBorders>
              <w:top w:val="single" w:sz="6" w:space="0" w:color="auto"/>
              <w:left w:val="single" w:sz="6" w:space="0" w:color="auto"/>
              <w:bottom w:val="single" w:sz="6" w:space="0" w:color="auto"/>
              <w:right w:val="single" w:sz="6" w:space="0" w:color="auto"/>
            </w:tcBorders>
            <w:hideMark/>
          </w:tcPr>
          <w:p w14:paraId="1E85AC2A" w14:textId="77777777" w:rsidR="00A32A52" w:rsidRPr="00A32A52" w:rsidRDefault="00A32A52" w:rsidP="00A32A52">
            <w:r w:rsidRPr="00A32A52">
              <w:t>2025 </w:t>
            </w:r>
          </w:p>
        </w:tc>
        <w:tc>
          <w:tcPr>
            <w:tcW w:w="2400" w:type="dxa"/>
            <w:tcBorders>
              <w:top w:val="single" w:sz="6" w:space="0" w:color="auto"/>
              <w:left w:val="single" w:sz="6" w:space="0" w:color="auto"/>
              <w:bottom w:val="single" w:sz="6" w:space="0" w:color="auto"/>
              <w:right w:val="single" w:sz="6" w:space="0" w:color="auto"/>
            </w:tcBorders>
            <w:hideMark/>
          </w:tcPr>
          <w:p w14:paraId="092A8B85" w14:textId="77777777" w:rsidR="00A32A52" w:rsidRPr="00A32A52" w:rsidRDefault="00A32A52" w:rsidP="00A32A52">
            <w:r w:rsidRPr="00A32A52">
              <w:t>November</w:t>
            </w:r>
            <w:r w:rsidRPr="00A32A52">
              <w:rPr>
                <w:rFonts w:ascii="Arial" w:hAnsi="Arial" w:cs="Arial"/>
              </w:rPr>
              <w:t> </w:t>
            </w:r>
            <w:r w:rsidRPr="00A32A52">
              <w:t xml:space="preserve">8, </w:t>
            </w:r>
            <w:proofErr w:type="gramStart"/>
            <w:r w:rsidRPr="00A32A52">
              <w:t>2015</w:t>
            </w:r>
            <w:proofErr w:type="gramEnd"/>
            <w:r w:rsidRPr="00A32A52">
              <w:t> </w:t>
            </w:r>
          </w:p>
        </w:tc>
        <w:tc>
          <w:tcPr>
            <w:tcW w:w="1695" w:type="dxa"/>
            <w:tcBorders>
              <w:top w:val="single" w:sz="6" w:space="0" w:color="auto"/>
              <w:left w:val="single" w:sz="6" w:space="0" w:color="auto"/>
              <w:bottom w:val="single" w:sz="6" w:space="0" w:color="auto"/>
              <w:right w:val="single" w:sz="6" w:space="0" w:color="auto"/>
            </w:tcBorders>
            <w:hideMark/>
          </w:tcPr>
          <w:p w14:paraId="40373300" w14:textId="77777777" w:rsidR="00A32A52" w:rsidRPr="00A32A52" w:rsidRDefault="00A32A52" w:rsidP="00A32A52">
            <w:r w:rsidRPr="00A32A52">
              <w:t> </w:t>
            </w:r>
          </w:p>
        </w:tc>
      </w:tr>
      <w:tr w:rsidR="00A32A52" w:rsidRPr="00A32A52" w14:paraId="5E03919A" w14:textId="77777777">
        <w:trPr>
          <w:trHeight w:val="300"/>
        </w:trPr>
        <w:tc>
          <w:tcPr>
            <w:tcW w:w="3810" w:type="dxa"/>
            <w:tcBorders>
              <w:top w:val="single" w:sz="6" w:space="0" w:color="auto"/>
              <w:left w:val="single" w:sz="6" w:space="0" w:color="auto"/>
              <w:bottom w:val="single" w:sz="6" w:space="0" w:color="auto"/>
              <w:right w:val="single" w:sz="6" w:space="0" w:color="auto"/>
            </w:tcBorders>
            <w:hideMark/>
          </w:tcPr>
          <w:p w14:paraId="0F9EAEB2" w14:textId="77777777" w:rsidR="00A32A52" w:rsidRPr="00A32A52" w:rsidRDefault="00A32A52" w:rsidP="00A32A52">
            <w:r w:rsidRPr="00A32A52">
              <w:t>The following electrical and electronic measuring devices except those installed in large-scale equipment or those used for high precision measurement, where no suitable mercury free alternative is available: (a) Melt pressure transducers, melt pressure transmitters and melt pressure sensors. </w:t>
            </w:r>
          </w:p>
        </w:tc>
        <w:tc>
          <w:tcPr>
            <w:tcW w:w="1410" w:type="dxa"/>
            <w:tcBorders>
              <w:top w:val="single" w:sz="6" w:space="0" w:color="auto"/>
              <w:left w:val="single" w:sz="6" w:space="0" w:color="auto"/>
              <w:bottom w:val="single" w:sz="6" w:space="0" w:color="auto"/>
              <w:right w:val="single" w:sz="6" w:space="0" w:color="auto"/>
            </w:tcBorders>
            <w:hideMark/>
          </w:tcPr>
          <w:p w14:paraId="55A098D6" w14:textId="77777777" w:rsidR="00A32A52" w:rsidRPr="00A32A52" w:rsidRDefault="00A32A52" w:rsidP="00A32A52">
            <w:r w:rsidRPr="00A32A52">
              <w:t>2025 </w:t>
            </w:r>
          </w:p>
        </w:tc>
        <w:tc>
          <w:tcPr>
            <w:tcW w:w="2400" w:type="dxa"/>
            <w:tcBorders>
              <w:top w:val="single" w:sz="6" w:space="0" w:color="auto"/>
              <w:left w:val="single" w:sz="6" w:space="0" w:color="auto"/>
              <w:bottom w:val="single" w:sz="6" w:space="0" w:color="auto"/>
              <w:right w:val="single" w:sz="6" w:space="0" w:color="auto"/>
            </w:tcBorders>
            <w:hideMark/>
          </w:tcPr>
          <w:p w14:paraId="0D143019" w14:textId="77777777" w:rsidR="00A32A52" w:rsidRPr="00A32A52" w:rsidRDefault="00A32A52" w:rsidP="00A32A52">
            <w:r w:rsidRPr="00A32A52">
              <w:t>November</w:t>
            </w:r>
            <w:r w:rsidRPr="00A32A52">
              <w:rPr>
                <w:rFonts w:ascii="Arial" w:hAnsi="Arial" w:cs="Arial"/>
              </w:rPr>
              <w:t> </w:t>
            </w:r>
            <w:r w:rsidRPr="00A32A52">
              <w:t xml:space="preserve">8, </w:t>
            </w:r>
            <w:proofErr w:type="gramStart"/>
            <w:r w:rsidRPr="00A32A52">
              <w:t>2015</w:t>
            </w:r>
            <w:proofErr w:type="gramEnd"/>
            <w:r w:rsidRPr="00A32A52">
              <w:t> </w:t>
            </w:r>
          </w:p>
        </w:tc>
        <w:tc>
          <w:tcPr>
            <w:tcW w:w="1695" w:type="dxa"/>
            <w:tcBorders>
              <w:top w:val="single" w:sz="6" w:space="0" w:color="auto"/>
              <w:left w:val="single" w:sz="6" w:space="0" w:color="auto"/>
              <w:bottom w:val="single" w:sz="6" w:space="0" w:color="auto"/>
              <w:right w:val="single" w:sz="6" w:space="0" w:color="auto"/>
            </w:tcBorders>
            <w:hideMark/>
          </w:tcPr>
          <w:p w14:paraId="5A85E734" w14:textId="77777777" w:rsidR="00A32A52" w:rsidRPr="00A32A52" w:rsidRDefault="00A32A52" w:rsidP="00A32A52">
            <w:r w:rsidRPr="00A32A52">
              <w:t> </w:t>
            </w:r>
          </w:p>
        </w:tc>
      </w:tr>
      <w:tr w:rsidR="00A32A52" w:rsidRPr="00A32A52" w14:paraId="424EC1A9" w14:textId="77777777">
        <w:trPr>
          <w:trHeight w:val="300"/>
        </w:trPr>
        <w:tc>
          <w:tcPr>
            <w:tcW w:w="3810" w:type="dxa"/>
            <w:tcBorders>
              <w:top w:val="single" w:sz="6" w:space="0" w:color="auto"/>
              <w:left w:val="single" w:sz="6" w:space="0" w:color="auto"/>
              <w:bottom w:val="single" w:sz="6" w:space="0" w:color="auto"/>
              <w:right w:val="single" w:sz="6" w:space="0" w:color="auto"/>
            </w:tcBorders>
            <w:hideMark/>
          </w:tcPr>
          <w:p w14:paraId="49F5A75F" w14:textId="77777777" w:rsidR="00A32A52" w:rsidRPr="00A32A52" w:rsidRDefault="00A32A52" w:rsidP="00A32A52">
            <w:r w:rsidRPr="00A32A52">
              <w:t>Mercury vacuum pumps </w:t>
            </w:r>
          </w:p>
        </w:tc>
        <w:tc>
          <w:tcPr>
            <w:tcW w:w="1410" w:type="dxa"/>
            <w:tcBorders>
              <w:top w:val="single" w:sz="6" w:space="0" w:color="auto"/>
              <w:left w:val="single" w:sz="6" w:space="0" w:color="auto"/>
              <w:bottom w:val="single" w:sz="6" w:space="0" w:color="auto"/>
              <w:right w:val="single" w:sz="6" w:space="0" w:color="auto"/>
            </w:tcBorders>
            <w:hideMark/>
          </w:tcPr>
          <w:p w14:paraId="7022CCF6" w14:textId="77777777" w:rsidR="00A32A52" w:rsidRPr="00A32A52" w:rsidRDefault="00A32A52" w:rsidP="00A32A52">
            <w:r w:rsidRPr="00A32A52">
              <w:t>2025 </w:t>
            </w:r>
          </w:p>
        </w:tc>
        <w:tc>
          <w:tcPr>
            <w:tcW w:w="2400" w:type="dxa"/>
            <w:tcBorders>
              <w:top w:val="single" w:sz="6" w:space="0" w:color="auto"/>
              <w:left w:val="single" w:sz="6" w:space="0" w:color="auto"/>
              <w:bottom w:val="single" w:sz="6" w:space="0" w:color="auto"/>
              <w:right w:val="single" w:sz="6" w:space="0" w:color="auto"/>
            </w:tcBorders>
            <w:hideMark/>
          </w:tcPr>
          <w:p w14:paraId="021DF753" w14:textId="77777777" w:rsidR="00A32A52" w:rsidRPr="00A32A52" w:rsidRDefault="00A32A52" w:rsidP="00A32A52">
            <w:r w:rsidRPr="00A32A52">
              <w:t>November</w:t>
            </w:r>
            <w:r w:rsidRPr="00A32A52">
              <w:rPr>
                <w:rFonts w:ascii="Arial" w:hAnsi="Arial" w:cs="Arial"/>
              </w:rPr>
              <w:t> </w:t>
            </w:r>
            <w:r w:rsidRPr="00A32A52">
              <w:t xml:space="preserve">8, </w:t>
            </w:r>
            <w:proofErr w:type="gramStart"/>
            <w:r w:rsidRPr="00A32A52">
              <w:t>2015</w:t>
            </w:r>
            <w:proofErr w:type="gramEnd"/>
            <w:r w:rsidRPr="00A32A52">
              <w:t> </w:t>
            </w:r>
          </w:p>
        </w:tc>
        <w:tc>
          <w:tcPr>
            <w:tcW w:w="1695" w:type="dxa"/>
            <w:tcBorders>
              <w:top w:val="single" w:sz="6" w:space="0" w:color="auto"/>
              <w:left w:val="single" w:sz="6" w:space="0" w:color="auto"/>
              <w:bottom w:val="single" w:sz="6" w:space="0" w:color="auto"/>
              <w:right w:val="single" w:sz="6" w:space="0" w:color="auto"/>
            </w:tcBorders>
            <w:hideMark/>
          </w:tcPr>
          <w:p w14:paraId="52A5EBAA" w14:textId="77777777" w:rsidR="00A32A52" w:rsidRPr="00A32A52" w:rsidRDefault="00A32A52" w:rsidP="00A32A52">
            <w:r w:rsidRPr="00A32A52">
              <w:t> </w:t>
            </w:r>
          </w:p>
        </w:tc>
      </w:tr>
      <w:tr w:rsidR="00A32A52" w:rsidRPr="00A32A52" w14:paraId="138A7721" w14:textId="77777777">
        <w:trPr>
          <w:trHeight w:val="300"/>
        </w:trPr>
        <w:tc>
          <w:tcPr>
            <w:tcW w:w="3810" w:type="dxa"/>
            <w:tcBorders>
              <w:top w:val="single" w:sz="6" w:space="0" w:color="auto"/>
              <w:left w:val="single" w:sz="6" w:space="0" w:color="auto"/>
              <w:bottom w:val="single" w:sz="6" w:space="0" w:color="auto"/>
              <w:right w:val="single" w:sz="6" w:space="0" w:color="auto"/>
            </w:tcBorders>
            <w:hideMark/>
          </w:tcPr>
          <w:p w14:paraId="62684643" w14:textId="77777777" w:rsidR="00A32A52" w:rsidRPr="00A32A52" w:rsidRDefault="00A32A52" w:rsidP="00A32A52">
            <w:proofErr w:type="spellStart"/>
            <w:r w:rsidRPr="00A32A52">
              <w:t>Tyre</w:t>
            </w:r>
            <w:proofErr w:type="spellEnd"/>
            <w:r w:rsidRPr="00A32A52">
              <w:t> balancers and wheel weights </w:t>
            </w:r>
          </w:p>
        </w:tc>
        <w:tc>
          <w:tcPr>
            <w:tcW w:w="1410" w:type="dxa"/>
            <w:tcBorders>
              <w:top w:val="single" w:sz="6" w:space="0" w:color="auto"/>
              <w:left w:val="single" w:sz="6" w:space="0" w:color="auto"/>
              <w:bottom w:val="single" w:sz="6" w:space="0" w:color="auto"/>
              <w:right w:val="single" w:sz="6" w:space="0" w:color="auto"/>
            </w:tcBorders>
            <w:hideMark/>
          </w:tcPr>
          <w:p w14:paraId="555C5852" w14:textId="77777777" w:rsidR="00A32A52" w:rsidRPr="00A32A52" w:rsidRDefault="00A32A52" w:rsidP="00A32A52">
            <w:r w:rsidRPr="00A32A52">
              <w:t>2025 </w:t>
            </w:r>
          </w:p>
        </w:tc>
        <w:tc>
          <w:tcPr>
            <w:tcW w:w="2400" w:type="dxa"/>
            <w:tcBorders>
              <w:top w:val="single" w:sz="6" w:space="0" w:color="auto"/>
              <w:left w:val="single" w:sz="6" w:space="0" w:color="auto"/>
              <w:bottom w:val="single" w:sz="6" w:space="0" w:color="auto"/>
              <w:right w:val="single" w:sz="6" w:space="0" w:color="auto"/>
            </w:tcBorders>
            <w:hideMark/>
          </w:tcPr>
          <w:p w14:paraId="52B535C7" w14:textId="77777777" w:rsidR="00A32A52" w:rsidRPr="00A32A52" w:rsidRDefault="00A32A52" w:rsidP="00A32A52">
            <w:r w:rsidRPr="00A32A52">
              <w:t>November</w:t>
            </w:r>
            <w:r w:rsidRPr="00A32A52">
              <w:rPr>
                <w:rFonts w:ascii="Arial" w:hAnsi="Arial" w:cs="Arial"/>
              </w:rPr>
              <w:t> </w:t>
            </w:r>
            <w:r w:rsidRPr="00A32A52">
              <w:t xml:space="preserve">8, </w:t>
            </w:r>
            <w:proofErr w:type="gramStart"/>
            <w:r w:rsidRPr="00A32A52">
              <w:t>2015</w:t>
            </w:r>
            <w:proofErr w:type="gramEnd"/>
            <w:r w:rsidRPr="00A32A52">
              <w:t> </w:t>
            </w:r>
          </w:p>
        </w:tc>
        <w:tc>
          <w:tcPr>
            <w:tcW w:w="1695" w:type="dxa"/>
            <w:tcBorders>
              <w:top w:val="single" w:sz="6" w:space="0" w:color="auto"/>
              <w:left w:val="single" w:sz="6" w:space="0" w:color="auto"/>
              <w:bottom w:val="single" w:sz="6" w:space="0" w:color="auto"/>
              <w:right w:val="single" w:sz="6" w:space="0" w:color="auto"/>
            </w:tcBorders>
            <w:hideMark/>
          </w:tcPr>
          <w:p w14:paraId="0CDCF407" w14:textId="77777777" w:rsidR="00A32A52" w:rsidRPr="00A32A52" w:rsidRDefault="00A32A52" w:rsidP="00A32A52">
            <w:r w:rsidRPr="00A32A52">
              <w:t> </w:t>
            </w:r>
          </w:p>
        </w:tc>
      </w:tr>
      <w:tr w:rsidR="00A32A52" w:rsidRPr="00A32A52" w14:paraId="7430DEC6" w14:textId="77777777">
        <w:trPr>
          <w:trHeight w:val="300"/>
        </w:trPr>
        <w:tc>
          <w:tcPr>
            <w:tcW w:w="3810" w:type="dxa"/>
            <w:tcBorders>
              <w:top w:val="single" w:sz="6" w:space="0" w:color="auto"/>
              <w:left w:val="single" w:sz="6" w:space="0" w:color="auto"/>
              <w:bottom w:val="single" w:sz="6" w:space="0" w:color="auto"/>
              <w:right w:val="single" w:sz="6" w:space="0" w:color="auto"/>
            </w:tcBorders>
            <w:hideMark/>
          </w:tcPr>
          <w:p w14:paraId="4208E483" w14:textId="77777777" w:rsidR="00A32A52" w:rsidRPr="00A32A52" w:rsidRDefault="00A32A52" w:rsidP="00A32A52">
            <w:r w:rsidRPr="00A32A52">
              <w:t>Photographic film and paper </w:t>
            </w:r>
          </w:p>
        </w:tc>
        <w:tc>
          <w:tcPr>
            <w:tcW w:w="1410" w:type="dxa"/>
            <w:tcBorders>
              <w:top w:val="single" w:sz="6" w:space="0" w:color="auto"/>
              <w:left w:val="single" w:sz="6" w:space="0" w:color="auto"/>
              <w:bottom w:val="single" w:sz="6" w:space="0" w:color="auto"/>
              <w:right w:val="single" w:sz="6" w:space="0" w:color="auto"/>
            </w:tcBorders>
            <w:hideMark/>
          </w:tcPr>
          <w:p w14:paraId="6A333FEB" w14:textId="77777777" w:rsidR="00A32A52" w:rsidRPr="00A32A52" w:rsidRDefault="00A32A52" w:rsidP="00A32A52">
            <w:r w:rsidRPr="00A32A52">
              <w:t>2025 </w:t>
            </w:r>
          </w:p>
        </w:tc>
        <w:tc>
          <w:tcPr>
            <w:tcW w:w="2400" w:type="dxa"/>
            <w:tcBorders>
              <w:top w:val="single" w:sz="6" w:space="0" w:color="auto"/>
              <w:left w:val="single" w:sz="6" w:space="0" w:color="auto"/>
              <w:bottom w:val="single" w:sz="6" w:space="0" w:color="auto"/>
              <w:right w:val="single" w:sz="6" w:space="0" w:color="auto"/>
            </w:tcBorders>
            <w:hideMark/>
          </w:tcPr>
          <w:p w14:paraId="4B27FB67" w14:textId="77777777" w:rsidR="00A32A52" w:rsidRPr="00A32A52" w:rsidRDefault="00A32A52" w:rsidP="00A32A52">
            <w:r w:rsidRPr="00A32A52">
              <w:t>June</w:t>
            </w:r>
            <w:r w:rsidRPr="00A32A52">
              <w:rPr>
                <w:rFonts w:ascii="Arial" w:hAnsi="Arial" w:cs="Arial"/>
              </w:rPr>
              <w:t> </w:t>
            </w:r>
            <w:r w:rsidRPr="00A32A52">
              <w:t xml:space="preserve">19, </w:t>
            </w:r>
            <w:proofErr w:type="gramStart"/>
            <w:r w:rsidRPr="00A32A52">
              <w:t>2025</w:t>
            </w:r>
            <w:proofErr w:type="gramEnd"/>
            <w:r w:rsidRPr="00A32A52">
              <w:t> </w:t>
            </w:r>
          </w:p>
        </w:tc>
        <w:tc>
          <w:tcPr>
            <w:tcW w:w="1695" w:type="dxa"/>
            <w:tcBorders>
              <w:top w:val="single" w:sz="6" w:space="0" w:color="auto"/>
              <w:left w:val="single" w:sz="6" w:space="0" w:color="auto"/>
              <w:bottom w:val="single" w:sz="6" w:space="0" w:color="auto"/>
              <w:right w:val="single" w:sz="6" w:space="0" w:color="auto"/>
            </w:tcBorders>
            <w:hideMark/>
          </w:tcPr>
          <w:p w14:paraId="57E480DF" w14:textId="77777777" w:rsidR="00A32A52" w:rsidRPr="00A32A52" w:rsidRDefault="00A32A52" w:rsidP="00A32A52">
            <w:r w:rsidRPr="00A32A52">
              <w:t> </w:t>
            </w:r>
          </w:p>
        </w:tc>
      </w:tr>
      <w:tr w:rsidR="00A32A52" w:rsidRPr="00A32A52" w14:paraId="3F74B874" w14:textId="77777777">
        <w:trPr>
          <w:trHeight w:val="300"/>
        </w:trPr>
        <w:tc>
          <w:tcPr>
            <w:tcW w:w="3810" w:type="dxa"/>
            <w:tcBorders>
              <w:top w:val="single" w:sz="6" w:space="0" w:color="auto"/>
              <w:left w:val="single" w:sz="6" w:space="0" w:color="auto"/>
              <w:bottom w:val="single" w:sz="6" w:space="0" w:color="auto"/>
              <w:right w:val="single" w:sz="6" w:space="0" w:color="auto"/>
            </w:tcBorders>
            <w:hideMark/>
          </w:tcPr>
          <w:p w14:paraId="11DF4420" w14:textId="77777777" w:rsidR="00A32A52" w:rsidRPr="00A32A52" w:rsidRDefault="00A32A52" w:rsidP="00A32A52">
            <w:r w:rsidRPr="00A32A52">
              <w:t>Propellant for satellites and spacecraft </w:t>
            </w:r>
          </w:p>
        </w:tc>
        <w:tc>
          <w:tcPr>
            <w:tcW w:w="1410" w:type="dxa"/>
            <w:tcBorders>
              <w:top w:val="single" w:sz="6" w:space="0" w:color="auto"/>
              <w:left w:val="single" w:sz="6" w:space="0" w:color="auto"/>
              <w:bottom w:val="single" w:sz="6" w:space="0" w:color="auto"/>
              <w:right w:val="single" w:sz="6" w:space="0" w:color="auto"/>
            </w:tcBorders>
            <w:hideMark/>
          </w:tcPr>
          <w:p w14:paraId="3D452C35" w14:textId="77777777" w:rsidR="00A32A52" w:rsidRPr="00A32A52" w:rsidRDefault="00A32A52" w:rsidP="00A32A52">
            <w:r w:rsidRPr="00A32A52">
              <w:t>2025 </w:t>
            </w:r>
          </w:p>
        </w:tc>
        <w:tc>
          <w:tcPr>
            <w:tcW w:w="2400" w:type="dxa"/>
            <w:tcBorders>
              <w:top w:val="single" w:sz="6" w:space="0" w:color="auto"/>
              <w:left w:val="single" w:sz="6" w:space="0" w:color="auto"/>
              <w:bottom w:val="single" w:sz="6" w:space="0" w:color="auto"/>
              <w:right w:val="single" w:sz="6" w:space="0" w:color="auto"/>
            </w:tcBorders>
            <w:hideMark/>
          </w:tcPr>
          <w:p w14:paraId="21BDCA04" w14:textId="77777777" w:rsidR="00A32A52" w:rsidRPr="00A32A52" w:rsidRDefault="00A32A52" w:rsidP="00A32A52">
            <w:r w:rsidRPr="00A32A52">
              <w:t>November</w:t>
            </w:r>
            <w:r w:rsidRPr="00A32A52">
              <w:rPr>
                <w:rFonts w:ascii="Arial" w:hAnsi="Arial" w:cs="Arial"/>
              </w:rPr>
              <w:t> </w:t>
            </w:r>
            <w:r w:rsidRPr="00A32A52">
              <w:t xml:space="preserve">8, </w:t>
            </w:r>
            <w:proofErr w:type="gramStart"/>
            <w:r w:rsidRPr="00A32A52">
              <w:t>2015</w:t>
            </w:r>
            <w:proofErr w:type="gramEnd"/>
            <w:r w:rsidRPr="00A32A52">
              <w:t> </w:t>
            </w:r>
          </w:p>
        </w:tc>
        <w:tc>
          <w:tcPr>
            <w:tcW w:w="1695" w:type="dxa"/>
            <w:tcBorders>
              <w:top w:val="single" w:sz="6" w:space="0" w:color="auto"/>
              <w:left w:val="single" w:sz="6" w:space="0" w:color="auto"/>
              <w:bottom w:val="single" w:sz="6" w:space="0" w:color="auto"/>
              <w:right w:val="single" w:sz="6" w:space="0" w:color="auto"/>
            </w:tcBorders>
            <w:hideMark/>
          </w:tcPr>
          <w:p w14:paraId="08FBD05A" w14:textId="77777777" w:rsidR="00A32A52" w:rsidRPr="00A32A52" w:rsidRDefault="00A32A52" w:rsidP="00A32A52">
            <w:r w:rsidRPr="00A32A52">
              <w:t> </w:t>
            </w:r>
          </w:p>
        </w:tc>
      </w:tr>
    </w:tbl>
    <w:p w14:paraId="7BD516F9" w14:textId="77777777" w:rsidR="00A32A52" w:rsidRPr="00A32A52" w:rsidRDefault="00A32A52" w:rsidP="00A32A52">
      <w:r w:rsidRPr="00A32A52">
        <w:t> </w:t>
      </w:r>
    </w:p>
    <w:p w14:paraId="41912254" w14:textId="77777777" w:rsidR="00A32A52" w:rsidRDefault="00A32A52"/>
    <w:sectPr w:rsidR="00A32A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D7E5A"/>
    <w:multiLevelType w:val="multilevel"/>
    <w:tmpl w:val="2452AA6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3515256D"/>
    <w:multiLevelType w:val="multilevel"/>
    <w:tmpl w:val="19145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7C37269"/>
    <w:multiLevelType w:val="multilevel"/>
    <w:tmpl w:val="00ECDA1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42CC5705"/>
    <w:multiLevelType w:val="multilevel"/>
    <w:tmpl w:val="3878C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5E35CE1"/>
    <w:multiLevelType w:val="multilevel"/>
    <w:tmpl w:val="BA644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78F0A1D"/>
    <w:multiLevelType w:val="multilevel"/>
    <w:tmpl w:val="7BCE3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A9F4C1E"/>
    <w:multiLevelType w:val="multilevel"/>
    <w:tmpl w:val="A796A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EBA5502"/>
    <w:multiLevelType w:val="multilevel"/>
    <w:tmpl w:val="C89EF8E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71C01BD9"/>
    <w:multiLevelType w:val="multilevel"/>
    <w:tmpl w:val="33F23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8E53048"/>
    <w:multiLevelType w:val="multilevel"/>
    <w:tmpl w:val="EC867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D531F26"/>
    <w:multiLevelType w:val="multilevel"/>
    <w:tmpl w:val="5EEE5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15854780">
    <w:abstractNumId w:val="3"/>
  </w:num>
  <w:num w:numId="2" w16cid:durableId="1785924179">
    <w:abstractNumId w:val="8"/>
  </w:num>
  <w:num w:numId="3" w16cid:durableId="1655840190">
    <w:abstractNumId w:val="2"/>
  </w:num>
  <w:num w:numId="4" w16cid:durableId="2119327744">
    <w:abstractNumId w:val="4"/>
  </w:num>
  <w:num w:numId="5" w16cid:durableId="1203517218">
    <w:abstractNumId w:val="1"/>
  </w:num>
  <w:num w:numId="6" w16cid:durableId="1553074913">
    <w:abstractNumId w:val="7"/>
  </w:num>
  <w:num w:numId="7" w16cid:durableId="492841472">
    <w:abstractNumId w:val="0"/>
  </w:num>
  <w:num w:numId="8" w16cid:durableId="89283651">
    <w:abstractNumId w:val="9"/>
  </w:num>
  <w:num w:numId="9" w16cid:durableId="923145736">
    <w:abstractNumId w:val="5"/>
  </w:num>
  <w:num w:numId="10" w16cid:durableId="1619407617">
    <w:abstractNumId w:val="6"/>
  </w:num>
  <w:num w:numId="11" w16cid:durableId="4995878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A52"/>
    <w:rsid w:val="00A32A52"/>
    <w:rsid w:val="00EC3B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848F6"/>
  <w15:chartTrackingRefBased/>
  <w15:docId w15:val="{A211486D-471C-4BD2-BC29-A4049E5B9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2A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32A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32A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32A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32A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32A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2A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2A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2A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2A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32A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32A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32A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32A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32A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2A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2A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2A52"/>
    <w:rPr>
      <w:rFonts w:eastAsiaTheme="majorEastAsia" w:cstheme="majorBidi"/>
      <w:color w:val="272727" w:themeColor="text1" w:themeTint="D8"/>
    </w:rPr>
  </w:style>
  <w:style w:type="paragraph" w:styleId="Title">
    <w:name w:val="Title"/>
    <w:basedOn w:val="Normal"/>
    <w:next w:val="Normal"/>
    <w:link w:val="TitleChar"/>
    <w:uiPriority w:val="10"/>
    <w:qFormat/>
    <w:rsid w:val="00A32A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2A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2A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2A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2A52"/>
    <w:pPr>
      <w:spacing w:before="160"/>
      <w:jc w:val="center"/>
    </w:pPr>
    <w:rPr>
      <w:i/>
      <w:iCs/>
      <w:color w:val="404040" w:themeColor="text1" w:themeTint="BF"/>
    </w:rPr>
  </w:style>
  <w:style w:type="character" w:customStyle="1" w:styleId="QuoteChar">
    <w:name w:val="Quote Char"/>
    <w:basedOn w:val="DefaultParagraphFont"/>
    <w:link w:val="Quote"/>
    <w:uiPriority w:val="29"/>
    <w:rsid w:val="00A32A52"/>
    <w:rPr>
      <w:i/>
      <w:iCs/>
      <w:color w:val="404040" w:themeColor="text1" w:themeTint="BF"/>
    </w:rPr>
  </w:style>
  <w:style w:type="paragraph" w:styleId="ListParagraph">
    <w:name w:val="List Paragraph"/>
    <w:basedOn w:val="Normal"/>
    <w:uiPriority w:val="34"/>
    <w:qFormat/>
    <w:rsid w:val="00A32A52"/>
    <w:pPr>
      <w:ind w:left="720"/>
      <w:contextualSpacing/>
    </w:pPr>
  </w:style>
  <w:style w:type="character" w:styleId="IntenseEmphasis">
    <w:name w:val="Intense Emphasis"/>
    <w:basedOn w:val="DefaultParagraphFont"/>
    <w:uiPriority w:val="21"/>
    <w:qFormat/>
    <w:rsid w:val="00A32A52"/>
    <w:rPr>
      <w:i/>
      <w:iCs/>
      <w:color w:val="0F4761" w:themeColor="accent1" w:themeShade="BF"/>
    </w:rPr>
  </w:style>
  <w:style w:type="paragraph" w:styleId="IntenseQuote">
    <w:name w:val="Intense Quote"/>
    <w:basedOn w:val="Normal"/>
    <w:next w:val="Normal"/>
    <w:link w:val="IntenseQuoteChar"/>
    <w:uiPriority w:val="30"/>
    <w:qFormat/>
    <w:rsid w:val="00A32A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32A52"/>
    <w:rPr>
      <w:i/>
      <w:iCs/>
      <w:color w:val="0F4761" w:themeColor="accent1" w:themeShade="BF"/>
    </w:rPr>
  </w:style>
  <w:style w:type="character" w:styleId="IntenseReference">
    <w:name w:val="Intense Reference"/>
    <w:basedOn w:val="DefaultParagraphFont"/>
    <w:uiPriority w:val="32"/>
    <w:qFormat/>
    <w:rsid w:val="00A32A5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A186B34AAF4047A570F9DFA6808567" ma:contentTypeVersion="21" ma:contentTypeDescription="Crée un document." ma:contentTypeScope="" ma:versionID="fce0365f084aa83c939fd411890ab9a5">
  <xsd:schema xmlns:xsd="http://www.w3.org/2001/XMLSchema" xmlns:xs="http://www.w3.org/2001/XMLSchema" xmlns:p="http://schemas.microsoft.com/office/2006/metadata/properties" xmlns:ns2="822da31b-d518-49e2-88cd-1351ccd720a8" xmlns:ns3="8e99bad0-3155-475a-8063-b4d93685c2ad" xmlns:ns4="985ec44e-1bab-4c0b-9df0-6ba128686fc9" targetNamespace="http://schemas.microsoft.com/office/2006/metadata/properties" ma:root="true" ma:fieldsID="da1c42d73d31e540a9d6d98fc89285d8" ns2:_="" ns3:_="" ns4:_="">
    <xsd:import namespace="822da31b-d518-49e2-88cd-1351ccd720a8"/>
    <xsd:import namespace="8e99bad0-3155-475a-8063-b4d93685c2ad"/>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Hypelink"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2da31b-d518-49e2-88cd-1351ccd72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Hypelink" ma:index="26" nillable="true" ma:displayName="Hypelink" ma:format="Hyperlink" ma:internalName="Hyp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99bad0-3155-475a-8063-b4d93685c2ad"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42ff2ae-b80c-41f6-b4f1-f813bc1fe85a}" ma:internalName="TaxCatchAll" ma:showField="CatchAllData" ma:web="8e99bad0-3155-475a-8063-b4d93685c2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Hypelink xmlns="822da31b-d518-49e2-88cd-1351ccd720a8">
      <Url xsi:nil="true"/>
      <Description xsi:nil="true"/>
    </Hypelink>
    <lcf76f155ced4ddcb4097134ff3c332f xmlns="822da31b-d518-49e2-88cd-1351ccd720a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C69368C-B5EE-42FF-9D35-56954D612F6A}"/>
</file>

<file path=customXml/itemProps2.xml><?xml version="1.0" encoding="utf-8"?>
<ds:datastoreItem xmlns:ds="http://schemas.openxmlformats.org/officeDocument/2006/customXml" ds:itemID="{A6328CE7-9E47-411B-9996-8B8F08F515FE}"/>
</file>

<file path=customXml/itemProps3.xml><?xml version="1.0" encoding="utf-8"?>
<ds:datastoreItem xmlns:ds="http://schemas.openxmlformats.org/officeDocument/2006/customXml" ds:itemID="{80D07CAE-BB17-47BC-9275-3131D8089D31}"/>
</file>

<file path=docProps/app.xml><?xml version="1.0" encoding="utf-8"?>
<Properties xmlns="http://schemas.openxmlformats.org/officeDocument/2006/extended-properties" xmlns:vt="http://schemas.openxmlformats.org/officeDocument/2006/docPropsVTypes">
  <Template>Normal.dotm</Template>
  <TotalTime>2</TotalTime>
  <Pages>7</Pages>
  <Words>1446</Words>
  <Characters>8927</Characters>
  <Application>Microsoft Office Word</Application>
  <DocSecurity>0</DocSecurity>
  <Lines>168</Lines>
  <Paragraphs>57</Paragraphs>
  <ScaleCrop>false</ScaleCrop>
  <Company>Environment and Climate Change Canada</Company>
  <LinksUpToDate>false</LinksUpToDate>
  <CharactersWithSpaces>10316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 Carpio,Daniel (ECCC)</dc:creator>
  <cp:keywords/>
  <dc:description/>
  <cp:lastModifiedBy>Del Carpio,Daniel (ECCC)</cp:lastModifiedBy>
  <cp:revision>1</cp:revision>
  <dcterms:created xsi:type="dcterms:W3CDTF">2025-12-24T16:30:00Z</dcterms:created>
  <dcterms:modified xsi:type="dcterms:W3CDTF">2025-12-24T16:32:00Z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0x010100D4A186B34AAF4047A570F9DFA6808567</vt:lpwstr>
  </property>
</Properties>
</file>